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5160" w14:textId="77777777" w:rsidR="00FE1E3C" w:rsidRDefault="00FE1E3C" w:rsidP="00FE1E3C">
      <w:pPr>
        <w:pStyle w:val="Heading1"/>
      </w:pPr>
      <w:bookmarkStart w:id="0" w:name="_Toc145304907"/>
      <w:r>
        <w:t>PM, EPG interview</w:t>
      </w:r>
      <w:bookmarkEnd w:id="0"/>
    </w:p>
    <w:p w14:paraId="47B691E3" w14:textId="77777777" w:rsidR="00FE1E3C" w:rsidRDefault="00FE1E3C" w:rsidP="00FE1E3C">
      <w:pPr>
        <w:pStyle w:val="ListParagraph"/>
        <w:numPr>
          <w:ilvl w:val="0"/>
          <w:numId w:val="2"/>
        </w:numPr>
      </w:pPr>
      <w:r>
        <w:t>Introduce yourself and the team (Bianca, Loretta)</w:t>
      </w:r>
    </w:p>
    <w:p w14:paraId="42078C47" w14:textId="77777777" w:rsidR="00FE1E3C" w:rsidRDefault="00FE1E3C" w:rsidP="00FE1E3C">
      <w:pPr>
        <w:pStyle w:val="ListParagraph"/>
        <w:numPr>
          <w:ilvl w:val="0"/>
          <w:numId w:val="2"/>
        </w:numPr>
      </w:pPr>
      <w:r>
        <w:t>Ask them to introduce themselves</w:t>
      </w:r>
    </w:p>
    <w:p w14:paraId="369D5F54" w14:textId="77777777" w:rsidR="00FE1E3C" w:rsidRDefault="00FE1E3C" w:rsidP="00FE1E3C">
      <w:pPr>
        <w:pStyle w:val="ListParagraph"/>
        <w:numPr>
          <w:ilvl w:val="0"/>
          <w:numId w:val="2"/>
        </w:numPr>
      </w:pPr>
      <w:r>
        <w:t>Talk about confidentiality and non-attribution</w:t>
      </w:r>
    </w:p>
    <w:p w14:paraId="4E5EE3B2" w14:textId="77777777" w:rsidR="00FE1E3C" w:rsidRDefault="00FE1E3C" w:rsidP="00FE1E3C">
      <w:pPr>
        <w:pStyle w:val="ListParagraph"/>
        <w:numPr>
          <w:ilvl w:val="0"/>
          <w:numId w:val="2"/>
        </w:numPr>
      </w:pPr>
      <w:r>
        <w:t xml:space="preserve">We are not appraising your organisation today. This is just an introductory discussion. </w:t>
      </w:r>
      <w:proofErr w:type="spellStart"/>
      <w:r>
        <w:t>Non of</w:t>
      </w:r>
      <w:proofErr w:type="spellEnd"/>
      <w:r>
        <w:t xml:space="preserve"> what we discuss today will impact or be used in your appraisals, we will evaluate that next week.</w:t>
      </w:r>
    </w:p>
    <w:p w14:paraId="2951F6C3" w14:textId="77777777" w:rsidR="00FE1E3C" w:rsidRDefault="00FE1E3C" w:rsidP="00FE1E3C">
      <w:pPr>
        <w:pStyle w:val="ListParagraph"/>
        <w:numPr>
          <w:ilvl w:val="0"/>
          <w:numId w:val="2"/>
        </w:numPr>
      </w:pPr>
      <w:r>
        <w:t xml:space="preserve">Any questions from your side before start. </w:t>
      </w:r>
    </w:p>
    <w:p w14:paraId="48745B2D" w14:textId="77777777" w:rsidR="00FE1E3C" w:rsidRDefault="00FE1E3C" w:rsidP="00FE1E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302"/>
        <w:gridCol w:w="608"/>
      </w:tblGrid>
      <w:tr w:rsidR="00FE1E3C" w14:paraId="6F28DBD9" w14:textId="77777777" w:rsidTr="00030094">
        <w:tc>
          <w:tcPr>
            <w:tcW w:w="4106" w:type="dxa"/>
          </w:tcPr>
          <w:p w14:paraId="32DA9A00" w14:textId="77777777" w:rsidR="00FE1E3C" w:rsidRDefault="00FE1E3C" w:rsidP="00030094">
            <w:pPr>
              <w:pStyle w:val="NoSpacing"/>
            </w:pPr>
            <w:r>
              <w:t>Question</w:t>
            </w:r>
          </w:p>
        </w:tc>
        <w:tc>
          <w:tcPr>
            <w:tcW w:w="4302" w:type="dxa"/>
          </w:tcPr>
          <w:p w14:paraId="0752C4E0" w14:textId="77777777" w:rsidR="00FE1E3C" w:rsidRDefault="00FE1E3C" w:rsidP="00030094">
            <w:pPr>
              <w:pStyle w:val="NoSpacing"/>
            </w:pPr>
            <w:r>
              <w:t>Answer</w:t>
            </w:r>
          </w:p>
        </w:tc>
        <w:tc>
          <w:tcPr>
            <w:tcW w:w="0" w:type="auto"/>
          </w:tcPr>
          <w:p w14:paraId="0D5774CF" w14:textId="77777777" w:rsidR="00FE1E3C" w:rsidRDefault="00FE1E3C" w:rsidP="00030094">
            <w:pPr>
              <w:pStyle w:val="NoSpacing"/>
            </w:pPr>
            <w:r>
              <w:t>Pass</w:t>
            </w:r>
          </w:p>
        </w:tc>
      </w:tr>
      <w:tr w:rsidR="00FE1E3C" w14:paraId="1AF73BC5" w14:textId="77777777" w:rsidTr="00030094">
        <w:tc>
          <w:tcPr>
            <w:tcW w:w="4106" w:type="dxa"/>
          </w:tcPr>
          <w:p w14:paraId="0D870BF2" w14:textId="77777777" w:rsidR="00FE1E3C" w:rsidRDefault="00FE1E3C" w:rsidP="00030094">
            <w:pPr>
              <w:pStyle w:val="NoSpacing"/>
            </w:pPr>
            <w:r>
              <w:t>PAD 2.3 Make processes and assets available.</w:t>
            </w:r>
          </w:p>
        </w:tc>
        <w:tc>
          <w:tcPr>
            <w:tcW w:w="4302" w:type="dxa"/>
          </w:tcPr>
          <w:p w14:paraId="10E1FCFD" w14:textId="77777777" w:rsidR="00FE1E3C" w:rsidRDefault="00FE1E3C" w:rsidP="00030094">
            <w:pPr>
              <w:pStyle w:val="NoSpacing"/>
            </w:pPr>
          </w:p>
        </w:tc>
        <w:tc>
          <w:tcPr>
            <w:tcW w:w="0" w:type="auto"/>
          </w:tcPr>
          <w:p w14:paraId="48B3209E" w14:textId="77777777" w:rsidR="00FE1E3C" w:rsidRDefault="00FE1E3C" w:rsidP="00030094">
            <w:pPr>
              <w:pStyle w:val="NoSpacing"/>
            </w:pPr>
          </w:p>
        </w:tc>
      </w:tr>
      <w:tr w:rsidR="00FE1E3C" w14:paraId="6B2B65C0" w14:textId="77777777" w:rsidTr="00030094">
        <w:tc>
          <w:tcPr>
            <w:tcW w:w="4106" w:type="dxa"/>
          </w:tcPr>
          <w:p w14:paraId="19BCBD66" w14:textId="77777777" w:rsidR="00FE1E3C" w:rsidRDefault="00FE1E3C" w:rsidP="00030094">
            <w:pPr>
              <w:pStyle w:val="NoSpacing"/>
            </w:pPr>
            <w:r>
              <w:t>PAD 3.4</w:t>
            </w:r>
            <w:r>
              <w:tab/>
              <w:t xml:space="preserve"> Develop, keep updated, and use tailoring criteria and guidelines for the set of standard processes and assets.</w:t>
            </w:r>
          </w:p>
        </w:tc>
        <w:tc>
          <w:tcPr>
            <w:tcW w:w="4302" w:type="dxa"/>
          </w:tcPr>
          <w:p w14:paraId="78BABACF" w14:textId="77777777" w:rsidR="00FE1E3C" w:rsidRDefault="00FE1E3C" w:rsidP="00030094">
            <w:pPr>
              <w:pStyle w:val="NoSpacing"/>
            </w:pPr>
          </w:p>
        </w:tc>
        <w:tc>
          <w:tcPr>
            <w:tcW w:w="0" w:type="auto"/>
          </w:tcPr>
          <w:p w14:paraId="2E9D7F5A" w14:textId="77777777" w:rsidR="00FE1E3C" w:rsidRDefault="00FE1E3C" w:rsidP="00030094">
            <w:pPr>
              <w:pStyle w:val="NoSpacing"/>
            </w:pPr>
          </w:p>
        </w:tc>
      </w:tr>
      <w:tr w:rsidR="00FE1E3C" w14:paraId="710A40C8" w14:textId="77777777" w:rsidTr="00030094">
        <w:tc>
          <w:tcPr>
            <w:tcW w:w="4106" w:type="dxa"/>
          </w:tcPr>
          <w:p w14:paraId="7AEB7095" w14:textId="77777777" w:rsidR="00FE1E3C" w:rsidRDefault="00FE1E3C" w:rsidP="00030094">
            <w:pPr>
              <w:pStyle w:val="NoSpacing"/>
            </w:pPr>
            <w:r>
              <w:t>PAD 3.7</w:t>
            </w:r>
            <w:r>
              <w:tab/>
              <w:t xml:space="preserve"> Develop, keep updated, and make organizational measurement and analysis standards available for use.</w:t>
            </w:r>
            <w:r>
              <w:tab/>
            </w:r>
          </w:p>
        </w:tc>
        <w:tc>
          <w:tcPr>
            <w:tcW w:w="4302" w:type="dxa"/>
          </w:tcPr>
          <w:p w14:paraId="354AEB75" w14:textId="77777777" w:rsidR="00FE1E3C" w:rsidRDefault="00FE1E3C" w:rsidP="00030094">
            <w:pPr>
              <w:pStyle w:val="NoSpacing"/>
              <w:rPr>
                <w:highlight w:val="green"/>
              </w:rPr>
            </w:pPr>
          </w:p>
        </w:tc>
        <w:tc>
          <w:tcPr>
            <w:tcW w:w="0" w:type="auto"/>
          </w:tcPr>
          <w:p w14:paraId="1637AD91" w14:textId="77777777" w:rsidR="00FE1E3C" w:rsidRDefault="00FE1E3C" w:rsidP="00030094">
            <w:pPr>
              <w:pStyle w:val="NoSpacing"/>
            </w:pPr>
          </w:p>
        </w:tc>
      </w:tr>
      <w:tr w:rsidR="00FE1E3C" w14:paraId="6797FE10" w14:textId="77777777" w:rsidTr="00030094">
        <w:tc>
          <w:tcPr>
            <w:tcW w:w="4106" w:type="dxa"/>
          </w:tcPr>
          <w:p w14:paraId="31641FD5" w14:textId="77777777" w:rsidR="00FE1E3C" w:rsidRDefault="00FE1E3C" w:rsidP="00030094">
            <w:pPr>
              <w:pStyle w:val="NoSpacing"/>
            </w:pPr>
            <w:r>
              <w:t xml:space="preserve">PCM 2.1 Identify improvements to the processes and assets. </w:t>
            </w:r>
          </w:p>
        </w:tc>
        <w:tc>
          <w:tcPr>
            <w:tcW w:w="4302" w:type="dxa"/>
          </w:tcPr>
          <w:p w14:paraId="69260CDC" w14:textId="77777777" w:rsidR="00FE1E3C" w:rsidRDefault="00FE1E3C" w:rsidP="00030094">
            <w:pPr>
              <w:pStyle w:val="NoSpacing"/>
            </w:pPr>
          </w:p>
        </w:tc>
        <w:tc>
          <w:tcPr>
            <w:tcW w:w="0" w:type="auto"/>
          </w:tcPr>
          <w:p w14:paraId="73C855FF" w14:textId="77777777" w:rsidR="00FE1E3C" w:rsidRDefault="00FE1E3C" w:rsidP="00030094">
            <w:pPr>
              <w:pStyle w:val="NoSpacing"/>
            </w:pPr>
          </w:p>
        </w:tc>
      </w:tr>
      <w:tr w:rsidR="00FE1E3C" w14:paraId="0EA22F7F" w14:textId="77777777" w:rsidTr="00030094">
        <w:tc>
          <w:tcPr>
            <w:tcW w:w="4106" w:type="dxa"/>
          </w:tcPr>
          <w:p w14:paraId="4CFA9157" w14:textId="77777777" w:rsidR="00FE1E3C" w:rsidRDefault="00FE1E3C" w:rsidP="00030094">
            <w:pPr>
              <w:pStyle w:val="NoSpacing"/>
            </w:pPr>
            <w:r>
              <w:t>PCM 3.2 Identify processes that are the largest contributors to meeting business objectives.</w:t>
            </w:r>
          </w:p>
        </w:tc>
        <w:tc>
          <w:tcPr>
            <w:tcW w:w="4302" w:type="dxa"/>
          </w:tcPr>
          <w:p w14:paraId="43A6952A" w14:textId="77777777" w:rsidR="00FE1E3C" w:rsidRDefault="00FE1E3C" w:rsidP="00030094">
            <w:pPr>
              <w:pStyle w:val="NoSpacing"/>
            </w:pPr>
          </w:p>
        </w:tc>
        <w:tc>
          <w:tcPr>
            <w:tcW w:w="0" w:type="auto"/>
          </w:tcPr>
          <w:p w14:paraId="68B54EF0" w14:textId="77777777" w:rsidR="00FE1E3C" w:rsidRDefault="00FE1E3C" w:rsidP="00030094">
            <w:pPr>
              <w:pStyle w:val="NoSpacing"/>
            </w:pPr>
          </w:p>
        </w:tc>
      </w:tr>
      <w:tr w:rsidR="00FE1E3C" w14:paraId="49CECCED" w14:textId="77777777" w:rsidTr="00030094">
        <w:tc>
          <w:tcPr>
            <w:tcW w:w="4106" w:type="dxa"/>
          </w:tcPr>
          <w:p w14:paraId="7F04DA99" w14:textId="77777777" w:rsidR="00FE1E3C" w:rsidRDefault="00FE1E3C" w:rsidP="00030094">
            <w:pPr>
              <w:pStyle w:val="NoSpacing"/>
            </w:pPr>
          </w:p>
        </w:tc>
        <w:tc>
          <w:tcPr>
            <w:tcW w:w="4302" w:type="dxa"/>
          </w:tcPr>
          <w:p w14:paraId="78431A03" w14:textId="77777777" w:rsidR="00FE1E3C" w:rsidRDefault="00FE1E3C" w:rsidP="00030094">
            <w:pPr>
              <w:pStyle w:val="NoSpacing"/>
            </w:pPr>
          </w:p>
        </w:tc>
        <w:tc>
          <w:tcPr>
            <w:tcW w:w="0" w:type="auto"/>
          </w:tcPr>
          <w:p w14:paraId="4149DDCD" w14:textId="77777777" w:rsidR="00FE1E3C" w:rsidRDefault="00FE1E3C" w:rsidP="00030094">
            <w:pPr>
              <w:pStyle w:val="NoSpacing"/>
            </w:pPr>
          </w:p>
        </w:tc>
      </w:tr>
      <w:tr w:rsidR="00FE1E3C" w14:paraId="35D1042A" w14:textId="77777777" w:rsidTr="00030094">
        <w:tc>
          <w:tcPr>
            <w:tcW w:w="4106" w:type="dxa"/>
          </w:tcPr>
          <w:p w14:paraId="1D987691" w14:textId="77777777" w:rsidR="00FE1E3C" w:rsidRDefault="00FE1E3C" w:rsidP="00030094">
            <w:pPr>
              <w:pStyle w:val="NoSpacing"/>
            </w:pPr>
            <w:proofErr w:type="spellStart"/>
            <w:r>
              <w:t>MPM</w:t>
            </w:r>
            <w:proofErr w:type="spellEnd"/>
            <w:r>
              <w:t xml:space="preserve"> 2.2 Develop, keep updated, and use operational definitions for measures.</w:t>
            </w:r>
          </w:p>
        </w:tc>
        <w:tc>
          <w:tcPr>
            <w:tcW w:w="4302" w:type="dxa"/>
          </w:tcPr>
          <w:p w14:paraId="7D0963AD" w14:textId="77777777" w:rsidR="00FE1E3C" w:rsidRDefault="00FE1E3C" w:rsidP="00030094">
            <w:pPr>
              <w:pStyle w:val="NoSpacing"/>
            </w:pPr>
          </w:p>
        </w:tc>
        <w:tc>
          <w:tcPr>
            <w:tcW w:w="0" w:type="auto"/>
          </w:tcPr>
          <w:p w14:paraId="6C41DD3B" w14:textId="77777777" w:rsidR="00FE1E3C" w:rsidRDefault="00FE1E3C" w:rsidP="00030094">
            <w:pPr>
              <w:pStyle w:val="NoSpacing"/>
            </w:pPr>
          </w:p>
        </w:tc>
      </w:tr>
      <w:tr w:rsidR="00FE1E3C" w14:paraId="0E9E28C3" w14:textId="77777777" w:rsidTr="00030094">
        <w:tc>
          <w:tcPr>
            <w:tcW w:w="4106" w:type="dxa"/>
          </w:tcPr>
          <w:p w14:paraId="2E99901B" w14:textId="77777777" w:rsidR="00FE1E3C" w:rsidRDefault="00FE1E3C" w:rsidP="00030094">
            <w:pPr>
              <w:pStyle w:val="NoSpacing"/>
            </w:pPr>
            <w:proofErr w:type="spellStart"/>
            <w:r>
              <w:t>MPM</w:t>
            </w:r>
            <w:proofErr w:type="spellEnd"/>
            <w:r>
              <w:t xml:space="preserve"> 4.1 Use statistical and other quantitative techniques to develop, keep updated, and communicate quality and process performance objectives that are traceable to business objectives.</w:t>
            </w:r>
          </w:p>
        </w:tc>
        <w:tc>
          <w:tcPr>
            <w:tcW w:w="4302" w:type="dxa"/>
          </w:tcPr>
          <w:p w14:paraId="543A3546" w14:textId="77777777" w:rsidR="00FE1E3C" w:rsidRDefault="00FE1E3C" w:rsidP="00030094">
            <w:pPr>
              <w:pStyle w:val="NoSpacing"/>
            </w:pPr>
          </w:p>
        </w:tc>
        <w:tc>
          <w:tcPr>
            <w:tcW w:w="0" w:type="auto"/>
          </w:tcPr>
          <w:p w14:paraId="581A939F" w14:textId="77777777" w:rsidR="00FE1E3C" w:rsidRDefault="00FE1E3C" w:rsidP="00030094">
            <w:pPr>
              <w:pStyle w:val="NoSpacing"/>
            </w:pPr>
          </w:p>
        </w:tc>
      </w:tr>
      <w:tr w:rsidR="00FE1E3C" w14:paraId="70EF64AE" w14:textId="77777777" w:rsidTr="00030094">
        <w:tc>
          <w:tcPr>
            <w:tcW w:w="4106" w:type="dxa"/>
          </w:tcPr>
          <w:p w14:paraId="648E66D4" w14:textId="77777777" w:rsidR="00FE1E3C" w:rsidRDefault="00FE1E3C" w:rsidP="00030094">
            <w:pPr>
              <w:pStyle w:val="NoSpacing"/>
            </w:pPr>
            <w:proofErr w:type="spellStart"/>
            <w:r>
              <w:t>MPM</w:t>
            </w:r>
            <w:proofErr w:type="spellEnd"/>
            <w:r>
              <w:t xml:space="preserve"> 4.3 Use statistical and other quantitative techniques to develop and analyse process performance baselines (PPBs) and keep them updated. </w:t>
            </w:r>
          </w:p>
        </w:tc>
        <w:tc>
          <w:tcPr>
            <w:tcW w:w="4302" w:type="dxa"/>
          </w:tcPr>
          <w:p w14:paraId="460BB060" w14:textId="77777777" w:rsidR="00FE1E3C" w:rsidRDefault="00FE1E3C" w:rsidP="00030094">
            <w:pPr>
              <w:pStyle w:val="NoSpacing"/>
            </w:pPr>
          </w:p>
        </w:tc>
        <w:tc>
          <w:tcPr>
            <w:tcW w:w="0" w:type="auto"/>
          </w:tcPr>
          <w:p w14:paraId="497A3927" w14:textId="77777777" w:rsidR="00FE1E3C" w:rsidRDefault="00FE1E3C" w:rsidP="00030094">
            <w:pPr>
              <w:pStyle w:val="NoSpacing"/>
            </w:pPr>
          </w:p>
        </w:tc>
      </w:tr>
      <w:tr w:rsidR="00FE1E3C" w14:paraId="58458AC8" w14:textId="77777777" w:rsidTr="00030094">
        <w:tc>
          <w:tcPr>
            <w:tcW w:w="4106" w:type="dxa"/>
          </w:tcPr>
          <w:p w14:paraId="2AF66D69" w14:textId="77777777" w:rsidR="00FE1E3C" w:rsidRDefault="00FE1E3C" w:rsidP="00030094">
            <w:pPr>
              <w:pStyle w:val="NoSpacing"/>
            </w:pPr>
            <w:proofErr w:type="spellStart"/>
            <w:r>
              <w:t>MPM</w:t>
            </w:r>
            <w:proofErr w:type="spellEnd"/>
            <w:r>
              <w:t xml:space="preserve"> 4.4 Use statistical and other quantitative techniques to develop and analyse process performance models (PPMs) and keep them updated.</w:t>
            </w:r>
          </w:p>
        </w:tc>
        <w:tc>
          <w:tcPr>
            <w:tcW w:w="4302" w:type="dxa"/>
          </w:tcPr>
          <w:p w14:paraId="4AD014E8" w14:textId="77777777" w:rsidR="00FE1E3C" w:rsidRDefault="00FE1E3C" w:rsidP="00030094">
            <w:pPr>
              <w:pStyle w:val="NoSpacing"/>
            </w:pPr>
          </w:p>
        </w:tc>
        <w:tc>
          <w:tcPr>
            <w:tcW w:w="0" w:type="auto"/>
          </w:tcPr>
          <w:p w14:paraId="2BBEF83A" w14:textId="77777777" w:rsidR="00FE1E3C" w:rsidRDefault="00FE1E3C" w:rsidP="00030094">
            <w:pPr>
              <w:pStyle w:val="NoSpacing"/>
            </w:pPr>
          </w:p>
        </w:tc>
      </w:tr>
      <w:tr w:rsidR="00FE1E3C" w14:paraId="090E090E" w14:textId="77777777" w:rsidTr="00030094">
        <w:tc>
          <w:tcPr>
            <w:tcW w:w="4106" w:type="dxa"/>
          </w:tcPr>
          <w:p w14:paraId="7EE9FFF5" w14:textId="77777777" w:rsidR="00FE1E3C" w:rsidRDefault="00FE1E3C" w:rsidP="00030094">
            <w:pPr>
              <w:pStyle w:val="NoSpacing"/>
            </w:pPr>
          </w:p>
        </w:tc>
        <w:tc>
          <w:tcPr>
            <w:tcW w:w="4302" w:type="dxa"/>
          </w:tcPr>
          <w:p w14:paraId="720D4A05" w14:textId="77777777" w:rsidR="00FE1E3C" w:rsidRDefault="00FE1E3C" w:rsidP="00030094">
            <w:pPr>
              <w:pStyle w:val="NoSpacing"/>
            </w:pPr>
          </w:p>
        </w:tc>
        <w:tc>
          <w:tcPr>
            <w:tcW w:w="0" w:type="auto"/>
          </w:tcPr>
          <w:p w14:paraId="02DD90F0" w14:textId="77777777" w:rsidR="00FE1E3C" w:rsidRDefault="00FE1E3C" w:rsidP="00030094">
            <w:pPr>
              <w:pStyle w:val="NoSpacing"/>
            </w:pPr>
          </w:p>
        </w:tc>
      </w:tr>
      <w:tr w:rsidR="00FE1E3C" w14:paraId="6826BB52" w14:textId="77777777" w:rsidTr="00030094">
        <w:tc>
          <w:tcPr>
            <w:tcW w:w="4106" w:type="dxa"/>
          </w:tcPr>
          <w:p w14:paraId="7A7E0499" w14:textId="77777777" w:rsidR="00FE1E3C" w:rsidRDefault="00FE1E3C" w:rsidP="00030094">
            <w:pPr>
              <w:pStyle w:val="NoSpacing"/>
            </w:pPr>
            <w:r>
              <w:t>CAR 4.1</w:t>
            </w:r>
            <w:r>
              <w:tab/>
              <w:t>Perform root cause analysis of selected outcomes using statistical and other quantitative techniques. [Special cause of variation]</w:t>
            </w:r>
          </w:p>
        </w:tc>
        <w:tc>
          <w:tcPr>
            <w:tcW w:w="4302" w:type="dxa"/>
          </w:tcPr>
          <w:p w14:paraId="4F83605A" w14:textId="77777777" w:rsidR="00FE1E3C" w:rsidRDefault="00FE1E3C" w:rsidP="00030094">
            <w:pPr>
              <w:pStyle w:val="NoSpacing"/>
            </w:pPr>
          </w:p>
        </w:tc>
        <w:tc>
          <w:tcPr>
            <w:tcW w:w="0" w:type="auto"/>
          </w:tcPr>
          <w:p w14:paraId="7E143448" w14:textId="77777777" w:rsidR="00FE1E3C" w:rsidRDefault="00FE1E3C" w:rsidP="00030094">
            <w:pPr>
              <w:pStyle w:val="NoSpacing"/>
            </w:pPr>
          </w:p>
        </w:tc>
      </w:tr>
      <w:tr w:rsidR="00FE1E3C" w14:paraId="7CDA26FD" w14:textId="77777777" w:rsidTr="00030094">
        <w:tc>
          <w:tcPr>
            <w:tcW w:w="4106" w:type="dxa"/>
          </w:tcPr>
          <w:p w14:paraId="30ED1AB9" w14:textId="77777777" w:rsidR="00FE1E3C" w:rsidRDefault="00FE1E3C" w:rsidP="00030094">
            <w:pPr>
              <w:pStyle w:val="NoSpacing"/>
            </w:pPr>
            <w:r>
              <w:t>CAR 5.1</w:t>
            </w:r>
            <w:r>
              <w:tab/>
              <w:t>Use statistical and other quantitative techniques to evaluate other solutions and processes to determine</w:t>
            </w:r>
          </w:p>
          <w:p w14:paraId="1326EE32" w14:textId="77777777" w:rsidR="00FE1E3C" w:rsidRDefault="00FE1E3C" w:rsidP="00030094">
            <w:pPr>
              <w:pStyle w:val="NoSpacing"/>
            </w:pPr>
            <w:r>
              <w:lastRenderedPageBreak/>
              <w:t>if the resolution should be applied on a broader scale." [Common cause of variation]</w:t>
            </w:r>
          </w:p>
        </w:tc>
        <w:tc>
          <w:tcPr>
            <w:tcW w:w="4302" w:type="dxa"/>
          </w:tcPr>
          <w:p w14:paraId="578CB679" w14:textId="77777777" w:rsidR="00FE1E3C" w:rsidRDefault="00FE1E3C" w:rsidP="00030094">
            <w:pPr>
              <w:pStyle w:val="NoSpacing"/>
            </w:pPr>
          </w:p>
        </w:tc>
        <w:tc>
          <w:tcPr>
            <w:tcW w:w="0" w:type="auto"/>
          </w:tcPr>
          <w:p w14:paraId="4C4136A5" w14:textId="77777777" w:rsidR="00FE1E3C" w:rsidRDefault="00FE1E3C" w:rsidP="00030094">
            <w:pPr>
              <w:pStyle w:val="NoSpacing"/>
            </w:pPr>
          </w:p>
        </w:tc>
      </w:tr>
      <w:tr w:rsidR="00FE1E3C" w14:paraId="579219C6" w14:textId="77777777" w:rsidTr="00030094">
        <w:tc>
          <w:tcPr>
            <w:tcW w:w="4106" w:type="dxa"/>
          </w:tcPr>
          <w:p w14:paraId="5816A9F3" w14:textId="77777777" w:rsidR="00FE1E3C" w:rsidRDefault="00FE1E3C" w:rsidP="00030094">
            <w:pPr>
              <w:pStyle w:val="NoSpacing"/>
            </w:pPr>
          </w:p>
        </w:tc>
        <w:tc>
          <w:tcPr>
            <w:tcW w:w="4302" w:type="dxa"/>
          </w:tcPr>
          <w:p w14:paraId="7882BACC" w14:textId="77777777" w:rsidR="00FE1E3C" w:rsidRDefault="00FE1E3C" w:rsidP="00030094">
            <w:pPr>
              <w:pStyle w:val="NoSpacing"/>
            </w:pPr>
          </w:p>
        </w:tc>
        <w:tc>
          <w:tcPr>
            <w:tcW w:w="0" w:type="auto"/>
          </w:tcPr>
          <w:p w14:paraId="4A45170D" w14:textId="77777777" w:rsidR="00FE1E3C" w:rsidRDefault="00FE1E3C" w:rsidP="00030094">
            <w:pPr>
              <w:pStyle w:val="NoSpacing"/>
            </w:pPr>
          </w:p>
        </w:tc>
      </w:tr>
      <w:tr w:rsidR="00FE1E3C" w14:paraId="62F6BF5D" w14:textId="77777777" w:rsidTr="00030094">
        <w:tc>
          <w:tcPr>
            <w:tcW w:w="4106" w:type="dxa"/>
          </w:tcPr>
          <w:p w14:paraId="1AF3A8C8" w14:textId="77777777" w:rsidR="00FE1E3C" w:rsidRDefault="00FE1E3C" w:rsidP="00030094">
            <w:pPr>
              <w:pStyle w:val="NoSpacing"/>
            </w:pPr>
            <w:r>
              <w:t>EST 2.2</w:t>
            </w:r>
            <w:r>
              <w:tab/>
              <w:t>Develop and keep updated estimates for the size of the solution.</w:t>
            </w:r>
          </w:p>
        </w:tc>
        <w:tc>
          <w:tcPr>
            <w:tcW w:w="4302" w:type="dxa"/>
          </w:tcPr>
          <w:p w14:paraId="109ED10F" w14:textId="77777777" w:rsidR="00FE1E3C" w:rsidRDefault="00FE1E3C" w:rsidP="00030094">
            <w:pPr>
              <w:pStyle w:val="NoSpacing"/>
              <w:rPr>
                <w:highlight w:val="yellow"/>
              </w:rPr>
            </w:pPr>
          </w:p>
        </w:tc>
        <w:tc>
          <w:tcPr>
            <w:tcW w:w="0" w:type="auto"/>
          </w:tcPr>
          <w:p w14:paraId="37C6DC1B" w14:textId="77777777" w:rsidR="00FE1E3C" w:rsidRDefault="00FE1E3C" w:rsidP="00030094">
            <w:pPr>
              <w:pStyle w:val="NoSpacing"/>
            </w:pPr>
          </w:p>
        </w:tc>
      </w:tr>
      <w:tr w:rsidR="00FE1E3C" w14:paraId="00A1FB31" w14:textId="77777777" w:rsidTr="00030094">
        <w:tc>
          <w:tcPr>
            <w:tcW w:w="4106" w:type="dxa"/>
          </w:tcPr>
          <w:p w14:paraId="2F183E89" w14:textId="77777777" w:rsidR="00FE1E3C" w:rsidRDefault="00FE1E3C" w:rsidP="00030094">
            <w:pPr>
              <w:pStyle w:val="NoSpacing"/>
            </w:pPr>
            <w:r>
              <w:t>EST 3.2</w:t>
            </w:r>
            <w:r>
              <w:tab/>
              <w:t>Use the organizational measurement repository and process assets for estimating work.</w:t>
            </w:r>
          </w:p>
        </w:tc>
        <w:tc>
          <w:tcPr>
            <w:tcW w:w="4302" w:type="dxa"/>
          </w:tcPr>
          <w:p w14:paraId="5023C8E3" w14:textId="77777777" w:rsidR="00FE1E3C" w:rsidRDefault="00FE1E3C" w:rsidP="00030094">
            <w:pPr>
              <w:pStyle w:val="NoSpacing"/>
            </w:pPr>
          </w:p>
        </w:tc>
        <w:tc>
          <w:tcPr>
            <w:tcW w:w="0" w:type="auto"/>
          </w:tcPr>
          <w:p w14:paraId="07DE925F" w14:textId="77777777" w:rsidR="00FE1E3C" w:rsidRDefault="00FE1E3C" w:rsidP="00030094">
            <w:pPr>
              <w:pStyle w:val="NoSpacing"/>
            </w:pPr>
          </w:p>
        </w:tc>
      </w:tr>
      <w:tr w:rsidR="00FE1E3C" w14:paraId="320B735E" w14:textId="77777777" w:rsidTr="00030094">
        <w:tc>
          <w:tcPr>
            <w:tcW w:w="4106" w:type="dxa"/>
          </w:tcPr>
          <w:p w14:paraId="612E2E83" w14:textId="77777777" w:rsidR="00FE1E3C" w:rsidRDefault="00FE1E3C" w:rsidP="00030094">
            <w:pPr>
              <w:pStyle w:val="NoSpacing"/>
            </w:pPr>
          </w:p>
        </w:tc>
        <w:tc>
          <w:tcPr>
            <w:tcW w:w="4302" w:type="dxa"/>
          </w:tcPr>
          <w:p w14:paraId="43BB3BC5" w14:textId="77777777" w:rsidR="00FE1E3C" w:rsidRDefault="00FE1E3C" w:rsidP="00030094">
            <w:pPr>
              <w:pStyle w:val="NoSpacing"/>
            </w:pPr>
          </w:p>
        </w:tc>
        <w:tc>
          <w:tcPr>
            <w:tcW w:w="0" w:type="auto"/>
          </w:tcPr>
          <w:p w14:paraId="00F0D441" w14:textId="77777777" w:rsidR="00FE1E3C" w:rsidRDefault="00FE1E3C" w:rsidP="00030094">
            <w:pPr>
              <w:pStyle w:val="NoSpacing"/>
            </w:pPr>
          </w:p>
        </w:tc>
      </w:tr>
      <w:tr w:rsidR="00FE1E3C" w14:paraId="74F1BC36" w14:textId="77777777" w:rsidTr="00030094">
        <w:tc>
          <w:tcPr>
            <w:tcW w:w="4106" w:type="dxa"/>
          </w:tcPr>
          <w:p w14:paraId="7C55A800" w14:textId="77777777" w:rsidR="00FE1E3C" w:rsidRDefault="00FE1E3C" w:rsidP="00030094">
            <w:pPr>
              <w:pStyle w:val="NoSpacing"/>
            </w:pPr>
            <w:r>
              <w:t xml:space="preserve">PLAN 2.3 Based on recorded estimates, </w:t>
            </w:r>
            <w:proofErr w:type="gramStart"/>
            <w:r>
              <w:t>develop</w:t>
            </w:r>
            <w:proofErr w:type="gramEnd"/>
            <w:r>
              <w:t xml:space="preserve"> and keep the budget and schedule updated.</w:t>
            </w:r>
          </w:p>
        </w:tc>
        <w:tc>
          <w:tcPr>
            <w:tcW w:w="4302" w:type="dxa"/>
          </w:tcPr>
          <w:p w14:paraId="7D1AFEF2" w14:textId="77777777" w:rsidR="00FE1E3C" w:rsidRDefault="00FE1E3C" w:rsidP="00030094">
            <w:pPr>
              <w:pStyle w:val="NoSpacing"/>
            </w:pPr>
          </w:p>
        </w:tc>
        <w:tc>
          <w:tcPr>
            <w:tcW w:w="0" w:type="auto"/>
          </w:tcPr>
          <w:p w14:paraId="0FB38493" w14:textId="77777777" w:rsidR="00FE1E3C" w:rsidRDefault="00FE1E3C" w:rsidP="00030094">
            <w:pPr>
              <w:pStyle w:val="NoSpacing"/>
            </w:pPr>
          </w:p>
        </w:tc>
      </w:tr>
      <w:tr w:rsidR="00FE1E3C" w14:paraId="3422D7EA" w14:textId="77777777" w:rsidTr="00030094">
        <w:tc>
          <w:tcPr>
            <w:tcW w:w="4106" w:type="dxa"/>
          </w:tcPr>
          <w:p w14:paraId="78CE6863" w14:textId="77777777" w:rsidR="00FE1E3C" w:rsidRDefault="00FE1E3C" w:rsidP="00030094">
            <w:pPr>
              <w:pStyle w:val="NoSpacing"/>
            </w:pPr>
            <w:r>
              <w:t>How do you use the PPB and PPM to plan and track your project work?</w:t>
            </w:r>
          </w:p>
          <w:p w14:paraId="21879913" w14:textId="77777777" w:rsidR="00FE1E3C" w:rsidRDefault="00FE1E3C" w:rsidP="00030094">
            <w:pPr>
              <w:pStyle w:val="NoSpacing"/>
            </w:pPr>
          </w:p>
          <w:p w14:paraId="6A083229" w14:textId="77777777" w:rsidR="00FE1E3C" w:rsidRDefault="00FE1E3C" w:rsidP="00030094">
            <w:pPr>
              <w:pStyle w:val="NoSpacing"/>
            </w:pPr>
            <w:r>
              <w:t xml:space="preserve">PLAN 4.1 Use statistical and other quantitative techniques to develop and keep the project processes updated to enable the achievement of the quality and process performance </w:t>
            </w:r>
            <w:proofErr w:type="gramStart"/>
            <w:r>
              <w:t>objectives.[</w:t>
            </w:r>
            <w:proofErr w:type="gramEnd"/>
            <w:r>
              <w:t xml:space="preserve">Additional Requirement Information: Managing the progress towards achieving </w:t>
            </w:r>
            <w:proofErr w:type="spellStart"/>
            <w:r>
              <w:t>QPPO</w:t>
            </w:r>
            <w:proofErr w:type="spellEnd"/>
            <w:r>
              <w:t xml:space="preserve"> objectives should be an integral part of how the project is planned and manged.]</w:t>
            </w:r>
            <w:r>
              <w:tab/>
            </w:r>
          </w:p>
        </w:tc>
        <w:tc>
          <w:tcPr>
            <w:tcW w:w="4302" w:type="dxa"/>
          </w:tcPr>
          <w:p w14:paraId="57793AF1" w14:textId="77777777" w:rsidR="00FE1E3C" w:rsidRDefault="00FE1E3C" w:rsidP="00030094">
            <w:pPr>
              <w:pStyle w:val="NoSpacing"/>
            </w:pPr>
          </w:p>
        </w:tc>
        <w:tc>
          <w:tcPr>
            <w:tcW w:w="0" w:type="auto"/>
          </w:tcPr>
          <w:p w14:paraId="60D7068A" w14:textId="77777777" w:rsidR="00FE1E3C" w:rsidRDefault="00FE1E3C" w:rsidP="00030094">
            <w:pPr>
              <w:pStyle w:val="NoSpacing"/>
            </w:pPr>
          </w:p>
        </w:tc>
      </w:tr>
    </w:tbl>
    <w:p w14:paraId="37C2088C" w14:textId="77777777" w:rsidR="00FE1E3C" w:rsidRDefault="00FE1E3C" w:rsidP="00FE1E3C"/>
    <w:p w14:paraId="29CEA2DA" w14:textId="77777777" w:rsidR="00FE1E3C" w:rsidRDefault="00FE1E3C" w:rsidP="00FE1E3C"/>
    <w:p w14:paraId="774A3D50" w14:textId="77777777" w:rsidR="00FE1E3C" w:rsidRDefault="00FE1E3C" w:rsidP="00FE1E3C"/>
    <w:p w14:paraId="761F2823" w14:textId="77777777" w:rsidR="00FE1E3C" w:rsidRDefault="00FE1E3C" w:rsidP="00FE1E3C"/>
    <w:p w14:paraId="2453AD25" w14:textId="77777777" w:rsidR="00FE1E3C" w:rsidRDefault="00FE1E3C" w:rsidP="00FE1E3C"/>
    <w:p w14:paraId="3926239B" w14:textId="77777777" w:rsidR="00FE1E3C" w:rsidRDefault="00FE1E3C" w:rsidP="00FE1E3C"/>
    <w:p w14:paraId="0730CFDF" w14:textId="77777777" w:rsidR="00FE1E3C" w:rsidRDefault="00FE1E3C" w:rsidP="00FE1E3C"/>
    <w:p w14:paraId="76A35A53" w14:textId="77777777" w:rsidR="00FE1E3C" w:rsidRDefault="00FE1E3C" w:rsidP="00FE1E3C"/>
    <w:p w14:paraId="73CD2AD2" w14:textId="77777777" w:rsidR="00FE1E3C" w:rsidRDefault="00FE1E3C" w:rsidP="00FE1E3C"/>
    <w:p w14:paraId="20F0A01E" w14:textId="77777777" w:rsidR="00FE1E3C" w:rsidRDefault="00FE1E3C" w:rsidP="00FE1E3C"/>
    <w:p w14:paraId="4A3B730B" w14:textId="77777777" w:rsidR="00FE1E3C" w:rsidRDefault="00FE1E3C" w:rsidP="00FE1E3C"/>
    <w:p w14:paraId="65B94629" w14:textId="77777777" w:rsidR="00FE1E3C" w:rsidRDefault="00FE1E3C" w:rsidP="00FE1E3C"/>
    <w:p w14:paraId="38F3687D" w14:textId="77777777" w:rsidR="002B0478" w:rsidRDefault="002B0478"/>
    <w:sectPr w:rsidR="002B0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CFA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D935B1"/>
    <w:multiLevelType w:val="hybridMultilevel"/>
    <w:tmpl w:val="B1FEDBEC"/>
    <w:lvl w:ilvl="0" w:tplc="1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4C"/>
    <w:rsid w:val="002B0478"/>
    <w:rsid w:val="00FB294C"/>
    <w:rsid w:val="00FE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E9372-499A-4495-BE50-A25CC296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E3C"/>
  </w:style>
  <w:style w:type="paragraph" w:styleId="Heading1">
    <w:name w:val="heading 1"/>
    <w:basedOn w:val="Normal"/>
    <w:next w:val="Normal"/>
    <w:link w:val="Heading1Char"/>
    <w:uiPriority w:val="9"/>
    <w:qFormat/>
    <w:rsid w:val="00FE1E3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E3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E3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E3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E3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E3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E3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E3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E3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1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1E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1E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E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E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E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E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E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E1E3C"/>
    <w:pPr>
      <w:ind w:left="720"/>
      <w:contextualSpacing/>
    </w:pPr>
  </w:style>
  <w:style w:type="table" w:styleId="TableGrid">
    <w:name w:val="Table Grid"/>
    <w:basedOn w:val="TableNormal"/>
    <w:uiPriority w:val="39"/>
    <w:rsid w:val="00FE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E1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2</cp:revision>
  <dcterms:created xsi:type="dcterms:W3CDTF">2023-10-09T07:50:00Z</dcterms:created>
  <dcterms:modified xsi:type="dcterms:W3CDTF">2023-10-09T07:50:00Z</dcterms:modified>
</cp:coreProperties>
</file>