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32"/>
        </w:rPr>
        <w:t>ĐỀ CƯƠNG ĐỒ ÁN TỐT NGHIỆP</w:t>
        <w:br/>
        <w:t>NỀN TẢNG EDUSHARE VIETNAM</w:t>
        <w:br/>
      </w:r>
    </w:p>
    <w:p>
      <w:pPr>
        <w:jc w:val="center"/>
      </w:pPr>
      <w:r>
        <w:rPr>
          <w:i/>
          <w:sz w:val="24"/>
        </w:rPr>
        <w:t>Phần 13: Rủi ro tiềm ẩn &amp; Giải pháp | Phần 14: Kết quả bàn giao | Phần 15: Tài liệu tham khảo</w:t>
        <w:br/>
      </w:r>
    </w:p>
    <w:p>
      <w:pPr>
        <w:keepNext/>
        <w:spacing w:before="280" w:after="120"/>
      </w:pPr>
      <w:r>
        <w:rPr>
          <w:rFonts w:ascii="Times New Roman" w:hAnsi="Times New Roman"/>
          <w:b/>
          <w:color w:val="8B0000"/>
          <w:sz w:val="28"/>
        </w:rPr>
        <w:t>13. Rủi ro tiềm ẩn và Chiến lược giảm thiểu (Potential Risks and Mitigation Strategies)</w:t>
      </w:r>
    </w:p>
    <w:p>
      <w:r>
        <w:rPr>
          <w:b/>
        </w:rPr>
        <w:t>Bảng 9. Ma trận Đánh giá Rủi ro và Kế hoạch Ứng phó Toàn diện</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2280"/>
        <w:gridCol w:w="2280"/>
        <w:gridCol w:w="2280"/>
        <w:gridCol w:w="2280"/>
      </w:tblGrid>
      <w:tr>
        <w:tc>
          <w:tcPr>
            <w:tcW w:type="dxa" w:w="2280"/>
            <w:shd w:fill="8B0000"/>
          </w:tcPr>
          <w:p>
            <w:pPr>
              <w:jc w:val="center"/>
            </w:pPr>
            <w:r>
              <w:rPr>
                <w:b/>
                <w:color w:val="FFFFFF"/>
                <w:sz w:val="20"/>
              </w:rPr>
              <w:t>Mô tả rủi ro</w:t>
            </w:r>
          </w:p>
        </w:tc>
        <w:tc>
          <w:tcPr>
            <w:tcW w:type="dxa" w:w="2280"/>
            <w:shd w:fill="8B0000"/>
          </w:tcPr>
          <w:p>
            <w:pPr>
              <w:jc w:val="center"/>
            </w:pPr>
            <w:r>
              <w:rPr>
                <w:b/>
                <w:color w:val="FFFFFF"/>
                <w:sz w:val="20"/>
              </w:rPr>
              <w:t>Phân loại</w:t>
            </w:r>
          </w:p>
        </w:tc>
        <w:tc>
          <w:tcPr>
            <w:tcW w:type="dxa" w:w="2280"/>
            <w:shd w:fill="8B0000"/>
          </w:tcPr>
          <w:p>
            <w:pPr>
              <w:jc w:val="center"/>
            </w:pPr>
            <w:r>
              <w:rPr>
                <w:b/>
                <w:color w:val="FFFFFF"/>
                <w:sz w:val="20"/>
              </w:rPr>
              <w:t>Mức độ</w:t>
            </w:r>
          </w:p>
        </w:tc>
        <w:tc>
          <w:tcPr>
            <w:tcW w:type="dxa" w:w="2280"/>
            <w:shd w:fill="8B0000"/>
          </w:tcPr>
          <w:p>
            <w:pPr>
              <w:jc w:val="center"/>
            </w:pPr>
            <w:r>
              <w:rPr>
                <w:b/>
                <w:color w:val="FFFFFF"/>
                <w:sz w:val="20"/>
              </w:rPr>
              <w:t>Kế hoạch phòng ngừa và ứng phó cụ thể</w:t>
            </w:r>
          </w:p>
        </w:tc>
      </w:tr>
      <w:tr>
        <w:tc>
          <w:tcPr>
            <w:tcW w:type="dxa" w:w="2280"/>
            <w:shd w:fill="F8FAFC"/>
          </w:tcPr>
          <w:p>
            <w:r>
              <w:rPr>
                <w:b/>
                <w:sz w:val="19"/>
              </w:rPr>
              <w:t>Vật phẩm quyên góp chất lượng kém hoặc không sử dụng được:</w:t>
              <w:br/>
              <w:t>Nhà tài trợ gửi sách rách nát, đồng phục cũ hỏng hoặc thiết bị IT lỗi thời/hư hỏng nặng không thể sửa chữa, gây lãng phí chi phí vận chuyển và kho bãi.</w:t>
            </w:r>
          </w:p>
        </w:tc>
        <w:tc>
          <w:tcPr>
            <w:tcW w:type="dxa" w:w="2280"/>
          </w:tcPr>
          <w:p>
            <w:pPr>
              <w:jc w:val="center"/>
            </w:pPr>
            <w:r>
              <w:rPr>
                <w:sz w:val="19"/>
              </w:rPr>
              <w:t>Vận hành / Nghiệp vụ</w:t>
            </w:r>
          </w:p>
        </w:tc>
        <w:tc>
          <w:tcPr>
            <w:tcW w:type="dxa" w:w="2280"/>
          </w:tcPr>
          <w:p>
            <w:pPr>
              <w:jc w:val="center"/>
            </w:pPr>
            <w:r>
              <w:rPr>
                <w:b/>
                <w:color w:val="C00000"/>
                <w:sz w:val="19"/>
              </w:rPr>
              <w:t>Cao</w:t>
            </w:r>
          </w:p>
        </w:tc>
        <w:tc>
          <w:tcPr>
            <w:tcW w:type="dxa" w:w="2280"/>
          </w:tcPr>
          <w:p>
            <w:r>
              <w:rPr>
                <w:sz w:val="19"/>
              </w:rPr>
              <w:t>• Bắt buộc người tặng tải ảnh chụp thực tế và hoàn thành danh mục tự khai báo tình trạng trên Cổng Nhà tài trợ.</w:t>
              <w:br/>
              <w:t>• Triển khai quy trình kiểm định 3 mức tiêu chuẩn (Loại A / Loại B / Loại C) ngay tại khâu tiếp nhận.</w:t>
              <w:br/>
              <w:t>• Thiết lập thỏa thuận hợp tác với các đơn vị xử lý rác thải điện tử để tái chế thiết bị hỏng hoàn toàn.</w:t>
            </w:r>
          </w:p>
        </w:tc>
      </w:tr>
      <w:tr>
        <w:tc>
          <w:tcPr>
            <w:tcW w:type="dxa" w:w="2280"/>
            <w:shd w:fill="F8FAFC"/>
          </w:tcPr>
          <w:p>
            <w:r>
              <w:rPr>
                <w:b/>
                <w:sz w:val="19"/>
              </w:rPr>
              <w:t>Tranh chấp dữ liệu &amp; Xung đột tồn kho đa kho (Race Conditions):</w:t>
              <w:br/>
              <w:t>Nhiều điều phối viên đồng thời phân bổ cùng một lô hàng trong đợt cao điểm chiến dịch ('Tiếp sức đến trường') dẫn đến xuất trùng hoặc sai lệch số lượng tồn thực tế.</w:t>
            </w:r>
          </w:p>
        </w:tc>
        <w:tc>
          <w:tcPr>
            <w:tcW w:type="dxa" w:w="2280"/>
          </w:tcPr>
          <w:p>
            <w:pPr>
              <w:jc w:val="center"/>
            </w:pPr>
            <w:r>
              <w:rPr>
                <w:sz w:val="19"/>
              </w:rPr>
              <w:t>Kỹ thuật</w:t>
            </w:r>
          </w:p>
        </w:tc>
        <w:tc>
          <w:tcPr>
            <w:tcW w:type="dxa" w:w="2280"/>
          </w:tcPr>
          <w:p>
            <w:pPr>
              <w:jc w:val="center"/>
            </w:pPr>
            <w:r>
              <w:rPr>
                <w:b/>
                <w:color w:val="C00000"/>
                <w:sz w:val="19"/>
              </w:rPr>
              <w:t>Cao</w:t>
            </w:r>
          </w:p>
        </w:tc>
        <w:tc>
          <w:tcPr>
            <w:tcW w:type="dxa" w:w="2280"/>
          </w:tcPr>
          <w:p>
            <w:r>
              <w:rPr>
                <w:sz w:val="19"/>
              </w:rPr>
              <w:t>• Áp dụng cơ chế khóa phân tán (Distributed Locks) với Redis để giữ chỗ tồn kho tức thời.</w:t>
              <w:br/>
              <w:t>• Thực thi nghiêm ngặt các giao dịch toàn vẹn ACID kết hợp khóa lạc quan (Optimistic Locking) trên PostgreSQL.</w:t>
              <w:br/>
              <w:t>• Ghi nhật ký kiểm toán (Audit Logs) bất biến cho từng bước thay đổi trạng thái hiện vật (Chờ duyệt → Đã kiểm định → Sẵn sàng phân phối → Đã xuất kho).</w:t>
            </w:r>
          </w:p>
        </w:tc>
      </w:tr>
      <w:tr>
        <w:tc>
          <w:tcPr>
            <w:tcW w:type="dxa" w:w="2280"/>
            <w:shd w:fill="F8FAFC"/>
          </w:tcPr>
          <w:p>
            <w:r>
              <w:rPr>
                <w:b/>
                <w:sz w:val="19"/>
              </w:rPr>
              <w:t>Rò rỉ quyền riêng tư và Dữ liệu học sinh khó khăn:</w:t>
              <w:br/>
              <w:t>Việc công khai thông tin gia cảnh, hình ảnh hoặc danh tính của học sinh có hoàn cảnh khó khăn vi phạm các quy định về bảo vệ dữ liệu cá nhân và quyền trẻ em.</w:t>
            </w:r>
          </w:p>
        </w:tc>
        <w:tc>
          <w:tcPr>
            <w:tcW w:type="dxa" w:w="2280"/>
          </w:tcPr>
          <w:p>
            <w:pPr>
              <w:jc w:val="center"/>
            </w:pPr>
            <w:r>
              <w:rPr>
                <w:sz w:val="19"/>
              </w:rPr>
              <w:t>Bảo mật / Pháp lý</w:t>
            </w:r>
          </w:p>
        </w:tc>
        <w:tc>
          <w:tcPr>
            <w:tcW w:type="dxa" w:w="2280"/>
          </w:tcPr>
          <w:p>
            <w:pPr>
              <w:jc w:val="center"/>
            </w:pPr>
            <w:r>
              <w:rPr>
                <w:b/>
                <w:color w:val="C00000"/>
                <w:sz w:val="19"/>
              </w:rPr>
              <w:t>Cao</w:t>
            </w:r>
          </w:p>
        </w:tc>
        <w:tc>
          <w:tcPr>
            <w:tcW w:type="dxa" w:w="2280"/>
          </w:tcPr>
          <w:p>
            <w:r>
              <w:rPr>
                <w:sz w:val="19"/>
              </w:rPr>
              <w:t>• Thực hiện che mờ / ẩn danh (Data Masking &amp; Pseudonymization) đối với toàn bộ dữ liệu học sinh trên các cổng tra cứu công khai.</w:t>
              <w:br/>
              <w:t>• Giới hạn quyền xem hồ sơ chi tiết chỉ dành riêng cho đại diện trường học và ban quản trị có thẩm quyền.</w:t>
              <w:br/>
              <w:t>• Áp dụng cơ chế phân quyền RBAC và mã hóa toàn bộ dữ liệu truyền tải qua giao thức TLS 1.3.</w:t>
            </w:r>
          </w:p>
        </w:tc>
      </w:tr>
      <w:tr>
        <w:tc>
          <w:tcPr>
            <w:tcW w:type="dxa" w:w="2280"/>
            <w:shd w:fill="F8FAFC"/>
          </w:tcPr>
          <w:p>
            <w:r>
              <w:rPr>
                <w:b/>
                <w:sz w:val="19"/>
              </w:rPr>
              <w:t>Gian lận hoặc phóng đại nhu cầu hỗ trợ từ cơ sở:</w:t>
              <w:br/>
              <w:t>Các tổ chức/cá nhân chưa qua xác minh gửi danh sách học sinh khống nhằm chiếm đoạt các thiết bị giá trị cao (laptop, máy tính để bàn, tablet).</w:t>
            </w:r>
          </w:p>
        </w:tc>
        <w:tc>
          <w:tcPr>
            <w:tcW w:type="dxa" w:w="2280"/>
          </w:tcPr>
          <w:p>
            <w:pPr>
              <w:jc w:val="center"/>
            </w:pPr>
            <w:r>
              <w:rPr>
                <w:sz w:val="19"/>
              </w:rPr>
              <w:t>Quản trị / Kiểm soát</w:t>
            </w:r>
          </w:p>
        </w:tc>
        <w:tc>
          <w:tcPr>
            <w:tcW w:type="dxa" w:w="2280"/>
          </w:tcPr>
          <w:p>
            <w:pPr>
              <w:jc w:val="center"/>
            </w:pPr>
            <w:r>
              <w:rPr>
                <w:b/>
                <w:color w:val="C00000"/>
                <w:sz w:val="19"/>
              </w:rPr>
              <w:t>Cao</w:t>
            </w:r>
          </w:p>
        </w:tc>
        <w:tc>
          <w:tcPr>
            <w:tcW w:type="dxa" w:w="2280"/>
          </w:tcPr>
          <w:p>
            <w:r>
              <w:rPr>
                <w:sz w:val="19"/>
              </w:rPr>
              <w:t>• Bắt buộc xác thực pháp lý nhà trường: yêu cầu tải lên văn bản đề nghị có chữ ký Ban Giám hiệu và đóng dấu đỏ.</w:t>
              <w:br/>
              <w:t>• Thực hiện quy trình bàn giao số hóa (Proof of Delivery - PoD): chụp ảnh tại hiện trường có gắn định vị GPS, quét mã QR và ký nhận điện tử.</w:t>
            </w:r>
          </w:p>
        </w:tc>
      </w:tr>
      <w:tr>
        <w:tc>
          <w:tcPr>
            <w:tcW w:type="dxa" w:w="2280"/>
            <w:shd w:fill="F8FAFC"/>
          </w:tcPr>
          <w:p>
            <w:r>
              <w:rPr>
                <w:b/>
                <w:sz w:val="19"/>
              </w:rPr>
              <w:t>Lệch pha cung - cầu giữa các vùng địa lý:</w:t>
              <w:br/>
              <w:t>Hàng hóa quyên góp tồn đọng quá nhiều tại các thành phố lớn (như Đà Nẵng) trong khi các điểm trường vùng sâu, vùng xa (như miền núi Quảng Nam) lại thiếu hụt trầm trọng.</w:t>
            </w:r>
          </w:p>
        </w:tc>
        <w:tc>
          <w:tcPr>
            <w:tcW w:type="dxa" w:w="2280"/>
          </w:tcPr>
          <w:p>
            <w:pPr>
              <w:jc w:val="center"/>
            </w:pPr>
            <w:r>
              <w:rPr>
                <w:sz w:val="19"/>
              </w:rPr>
              <w:t>Logistics / Điều phối</w:t>
            </w:r>
          </w:p>
        </w:tc>
        <w:tc>
          <w:tcPr>
            <w:tcW w:type="dxa" w:w="2280"/>
          </w:tcPr>
          <w:p>
            <w:pPr>
              <w:jc w:val="center"/>
            </w:pPr>
            <w:r>
              <w:rPr>
                <w:b/>
                <w:color w:val="D97706"/>
                <w:sz w:val="19"/>
              </w:rPr>
              <w:t>Trung bình</w:t>
            </w:r>
          </w:p>
        </w:tc>
        <w:tc>
          <w:tcPr>
            <w:tcW w:type="dxa" w:w="2280"/>
          </w:tcPr>
          <w:p>
            <w:r>
              <w:rPr>
                <w:sz w:val="19"/>
              </w:rPr>
              <w:t>• Sử dụng thuật toán điều phối thông minh trên Python để tự động đề xuất lệnh điều chuyển nội bộ giữa các kho gần nhau.</w:t>
              <w:br/>
              <w:t>• Cập nhật danh mục thiếu hụt theo thời gian thực lên trang chủ chiến dịch để định hướng cộng đồng quyên góp đúng thứ đang cần.</w:t>
            </w:r>
          </w:p>
        </w:tc>
      </w:tr>
      <w:tr>
        <w:tc>
          <w:tcPr>
            <w:tcW w:type="dxa" w:w="2280"/>
            <w:shd w:fill="F8FAFC"/>
          </w:tcPr>
          <w:p>
            <w:r>
              <w:rPr>
                <w:b/>
                <w:sz w:val="19"/>
              </w:rPr>
              <w:t>Tình nguyện viên vắng mặt hoặc hủy ca giờ chót:</w:t>
              <w:br/>
              <w:t>Tình nguyện viên đã đăng ký nhưng không đến làm nhiệm vụ phân loại tại kho hoặc giao hàng trong đợt cao điểm đầu năm học.</w:t>
            </w:r>
          </w:p>
        </w:tc>
        <w:tc>
          <w:tcPr>
            <w:tcW w:type="dxa" w:w="2280"/>
          </w:tcPr>
          <w:p>
            <w:pPr>
              <w:jc w:val="center"/>
            </w:pPr>
            <w:r>
              <w:rPr>
                <w:sz w:val="19"/>
              </w:rPr>
              <w:t>Vận hành nhân sự</w:t>
            </w:r>
          </w:p>
        </w:tc>
        <w:tc>
          <w:tcPr>
            <w:tcW w:type="dxa" w:w="2280"/>
          </w:tcPr>
          <w:p>
            <w:pPr>
              <w:jc w:val="center"/>
            </w:pPr>
            <w:r>
              <w:rPr>
                <w:b/>
                <w:color w:val="D97706"/>
                <w:sz w:val="19"/>
              </w:rPr>
              <w:t>Trung bình</w:t>
            </w:r>
          </w:p>
        </w:tc>
        <w:tc>
          <w:tcPr>
            <w:tcW w:type="dxa" w:w="2280"/>
          </w:tcPr>
          <w:p>
            <w:r>
              <w:rPr>
                <w:sz w:val="19"/>
              </w:rPr>
              <w:t>• Xây dựng danh sách tình nguyện viên dự phòng (lên lịch dư 15–20% quân số).</w:t>
              <w:br/>
              <w:t>• Gửi thông báo nhắc lịch tự động qua Push Notification (Firebase FCM) và Email trước ca trực 24 giờ.</w:t>
              <w:br/>
              <w:t>• Tích hợp hệ thống tích điểm giờ công cống hiến và cấp Giấy chứng nhận tình nguyện viên điện tử.</w:t>
            </w:r>
          </w:p>
        </w:tc>
      </w:tr>
      <w:tr>
        <w:tc>
          <w:tcPr>
            <w:tcW w:type="dxa" w:w="2280"/>
            <w:shd w:fill="F8FAFC"/>
          </w:tcPr>
          <w:p>
            <w:r>
              <w:rPr>
                <w:b/>
                <w:sz w:val="19"/>
              </w:rPr>
              <w:t>Gián đoạn kết nối mạng và Dịch vụ bên thứ ba:</w:t>
              <w:br/>
              <w:t>Tín hiệu 3G/4G chập chờn tại các xã vùng cao khi thực hiện bàn giao hàng, hoặc dịch vụ lưu trữ đám mây/thông báo gặp sự cố kỹ thuật.</w:t>
            </w:r>
          </w:p>
        </w:tc>
        <w:tc>
          <w:tcPr>
            <w:tcW w:type="dxa" w:w="2280"/>
          </w:tcPr>
          <w:p>
            <w:pPr>
              <w:jc w:val="center"/>
            </w:pPr>
            <w:r>
              <w:rPr>
                <w:sz w:val="19"/>
              </w:rPr>
              <w:t>Kỹ thuật</w:t>
            </w:r>
          </w:p>
        </w:tc>
        <w:tc>
          <w:tcPr>
            <w:tcW w:type="dxa" w:w="2280"/>
          </w:tcPr>
          <w:p>
            <w:pPr>
              <w:jc w:val="center"/>
            </w:pPr>
            <w:r>
              <w:rPr>
                <w:b/>
                <w:color w:val="D97706"/>
                <w:sz w:val="19"/>
              </w:rPr>
              <w:t>Trung bình</w:t>
            </w:r>
          </w:p>
        </w:tc>
        <w:tc>
          <w:tcPr>
            <w:tcW w:type="dxa" w:w="2280"/>
          </w:tcPr>
          <w:p>
            <w:r>
              <w:rPr>
                <w:sz w:val="19"/>
              </w:rPr>
              <w:t>• Thiết kế ứng dụng di động React Native theo kiến trúc Offline-first: lưu dữ liệu tạm cục bộ và tự động đồng bộ khi có kết nối mạng.</w:t>
              <w:br/>
              <w:t>• Cấu hình hàng đợi xử lý bất đồng bộ (Task Queue) với cơ chế tự động thử lại (Retry) khi gọi API ngoài.</w:t>
            </w:r>
          </w:p>
        </w:tc>
      </w:tr>
      <w:tr>
        <w:tc>
          <w:tcPr>
            <w:tcW w:type="dxa" w:w="2280"/>
            <w:shd w:fill="F8FAFC"/>
          </w:tcPr>
          <w:p>
            <w:r>
              <w:rPr>
                <w:b/>
                <w:sz w:val="19"/>
              </w:rPr>
              <w:t>Trễ tiến độ phát triển đồ án:</w:t>
              <w:br/>
              <w:t>Quy trình nghiệp vụ phức tạp đa bên (Tiếp nhận, Kiểm định, Sửa chữa, Điều phối kho, Tình nguyện viên, Báo cáo ESG) vượt quá khung thời gian 14–16 tuần của đồ án.</w:t>
            </w:r>
          </w:p>
        </w:tc>
        <w:tc>
          <w:tcPr>
            <w:tcW w:type="dxa" w:w="2280"/>
          </w:tcPr>
          <w:p>
            <w:pPr>
              <w:jc w:val="center"/>
            </w:pPr>
            <w:r>
              <w:rPr>
                <w:sz w:val="19"/>
              </w:rPr>
              <w:t>Thời gian</w:t>
            </w:r>
          </w:p>
        </w:tc>
        <w:tc>
          <w:tcPr>
            <w:tcW w:type="dxa" w:w="2280"/>
          </w:tcPr>
          <w:p>
            <w:pPr>
              <w:jc w:val="center"/>
            </w:pPr>
            <w:r>
              <w:rPr>
                <w:b/>
                <w:color w:val="D97706"/>
                <w:sz w:val="19"/>
              </w:rPr>
              <w:t>Trung bình</w:t>
            </w:r>
          </w:p>
        </w:tc>
        <w:tc>
          <w:tcPr>
            <w:tcW w:type="dxa" w:w="2280"/>
          </w:tcPr>
          <w:p>
            <w:r>
              <w:rPr>
                <w:sz w:val="19"/>
              </w:rPr>
              <w:t>• Tuân thủ chặt chẽ quy trình Agile Scrum với chu kỳ phát triển 3 tuần/Sprint.</w:t>
              <w:br/>
              <w:t>• Ưu tiên hoàn thiện trước các phân hệ MVP cốt lõi (Quyên góp, Gán mã QR, Quản lý kho, Tiếp nhận yêu cầu, Điều phối, Bàn giao PoD, Dashboard).</w:t>
            </w:r>
          </w:p>
        </w:tc>
      </w:tr>
    </w:tbl>
    <w:p>
      <w:pPr>
        <w:spacing w:after="160"/>
      </w:pPr>
    </w:p>
    <w:p>
      <w:pPr>
        <w:keepNext/>
        <w:spacing w:before="280" w:after="120"/>
      </w:pPr>
      <w:r>
        <w:rPr>
          <w:rFonts w:ascii="Times New Roman" w:hAnsi="Times New Roman"/>
          <w:b/>
          <w:color w:val="8B0000"/>
          <w:sz w:val="28"/>
        </w:rPr>
        <w:t>14. Sản phẩm bàn giao dự kiến (Expected Outcomes / Deliverables)</w:t>
      </w:r>
    </w:p>
    <w:p>
      <w:r>
        <w:rPr>
          <w:b/>
          <w:sz w:val="24"/>
        </w:rPr>
        <w:t>1. Bộ Hệ thống Phần mềm Ứng dụng Hoàn chỉnh (Nền tảng EduShare Vietnam)</w:t>
      </w:r>
    </w:p>
    <w:p>
      <w:r>
        <w:t>• Cổng Web Quản trị &amp; Điều phối Tài nguyên (React.js / Next.js &amp; Spring Boot): Ứng dụng web toàn diện dành cho Quản trị viên, Nhân viên tiếp nhận, Thủ kho/Kỹ thuật viên và Đại diện trường học. Bao gồm các phân hệ: Phân quyền người dùng RBAC, Quản lý kho đa điểm gắn mã QR, Kiểm định chất lượng, Quy trình sửa chữa/tân trang máy tính, Quản lý chiến dịch và Dashboard đo lường tác động ESG.</w:t>
        <w:br/>
        <w:t>• Ứng dụng Di động Đa nền tảng cho Tình nguyện viên &amp; Nhà tài trợ (React Native): Ứng dụng di động hoạt động mượt mà trên iOS và Android, hỗ trợ đăng ký quyên góp nhanh, quét mã QR/Barcode tiếp nhận hàng tại kho, điểm danh ca trực, điều hướng lộ trình giao hàng và ghi nhận biên bản bàn giao số (PoD).</w:t>
        <w:br/>
        <w:t>• Microservice Thuật toán Đối soát Cung - Cầu Thông minh (Python FastAPI &amp; Google OR-Tools): Module chuyên biệt xử lý thuật toán chấm điểm ưu tiên nhu cầu, khớp nối dữ liệu tồn kho đa hub và tối ưu hóa tuyến đường giao hàng.</w:t>
      </w:r>
    </w:p>
    <w:p>
      <w:r>
        <w:rPr>
          <w:b/>
          <w:sz w:val="24"/>
        </w:rPr>
        <w:t>2. Toàn bộ Mã nguồn &amp; Gói Triển khai Hệ thống</w:t>
      </w:r>
    </w:p>
    <w:p>
      <w:r>
        <w:t>• Mã nguồn hoàn chỉnh, cấu trúc module rõ ràng, được chú thích đầy đủ và quản lý phiên bản trên GitHub (Frontend, Backend, AI Microservice).</w:t>
        <w:br/>
        <w:t>• Bộ kịch bản đóng gói và triển khai tự động bằng Docker và Docker Compose (PostgreSQL, Redis, Spring Boot, Python FastAPI, Web Client) giúp thiết lập môi trường bằng một câu lệnh duy nhất.</w:t>
      </w:r>
    </w:p>
    <w:p>
      <w:r>
        <w:rPr>
          <w:b/>
          <w:sz w:val="24"/>
        </w:rPr>
        <w:t>3. Bộ Tài liệu Kỹ thuật Phần mềm Hoàn chỉnh (Software Engineering Documentation)</w:t>
      </w:r>
    </w:p>
    <w:p>
      <w:r>
        <w:t>• Tài liệu Đề cương Dự án (Project Proposal): Bản hoàn thiện chuẩn cấu trúc và định dạng theo quy định.</w:t>
        <w:br/>
        <w:t>• Tài liệu Đặc tả Yêu cầu Phần mềm (SRS): Chi tiết toàn bộ User Stories, Use Case Specifications và Tiêu chí nghiệm thu (Acceptance Criteria).</w:t>
        <w:br/>
        <w:t>• Tài liệu Thiết kế Kiến trúc Hệ thống (SAD): Sơ đồ Context, Container, Component (mô hình C4) và Kiến trúc triển khai hạ tầng.</w:t>
        <w:br/>
        <w:t>• Tài liệu Thiết kế Cơ sở Dữ liệu (Database Design): Sơ đồ quan hệ thực thể (ERD), Từ điển dữ liệu (Data Dictionary) và Chiến lược lập chỉ mục (Indexing).</w:t>
        <w:br/>
        <w:t>• Bộ Thiết kế Giao diện UI/UX: Toàn bộ nguyên mẫu tương tác (Interactive Prototype), Design System và Wireframes trên Figma.</w:t>
        <w:br/>
        <w:t>• Tài liệu Kiểm thử &amp; Đảm bảo Chất lượng (QA/QC): Kế hoạch kiểm thử (Test Plan), Bộ kịch bản kiểm thử chi tiết (Test Cases) và Báo cáo kết quả kiểm thử tự động.</w:t>
        <w:br/>
        <w:t>• Hiện vật Quản lý Scrum: Product Backlog, Sprint Backlogs (Sprint 1, 2, 3), Biểu đồ Burndown/Burnup, Nhật ký Rào cản (Impediments Log) và Biên bản Cải tiến (Retrospective Log).</w:t>
        <w:br/>
        <w:t>• Chuẩn Lập trình &amp; Biên bản Họp: Quy chuẩn viết mã (Google Java Style Guide, Airbnb TypeScript Guide) và Nhật ký họp định kỳ hàng tuần với Giảng viên hướng dẫn.</w:t>
      </w:r>
    </w:p>
    <w:p>
      <w:r>
        <w:rPr>
          <w:b/>
          <w:sz w:val="24"/>
        </w:rPr>
        <w:t>4. Báo cáo Khóa luận Đồ án Tốt nghiệp &amp; Phương tiện Trình diễn</w:t>
      </w:r>
    </w:p>
    <w:p>
      <w:r>
        <w:t>• Báo cáo Khóa luận Đồ án Tốt nghiệp (Capstone Final Thesis Report): Bản báo cáo học thuật toàn diện trình bày bối cảnh, giải pháp kiến trúc, mô hình toán điều phối, kết quả thực nghiệm và hướng phát triển tương lai (AI phân loại sách/đồ dùng qua ảnh, Blockchain minh bạch nhật ký trao tặng).</w:t>
        <w:br/>
        <w:t>• Video Demo Giới thiệu Sản phẩm (HD Video Demo): Video trình diễn xuyên suốt toàn bộ vòng đời tài nguyên (Đăng ký tặng → Quét QR tiếp nhận → Kiểm định &amp; Sửa chữa → Thuật toán phân bổ → Giao hàng bàn giao → Dashboard tác động xã hội).</w:t>
        <w:br/>
        <w:t>• Slide Thuyết trình Bảo vệ: Bộ slide tổng hợp trực quan phục vụ buổi báo cáo và bảo vệ trước Hội đồng chấm Đồ án tốt nghiệp.</w:t>
      </w:r>
    </w:p>
    <w:p>
      <w:pPr>
        <w:spacing w:after="160"/>
      </w:pPr>
    </w:p>
    <w:p>
      <w:pPr>
        <w:keepNext/>
        <w:spacing w:before="280" w:after="120"/>
      </w:pPr>
      <w:r>
        <w:rPr>
          <w:rFonts w:ascii="Times New Roman" w:hAnsi="Times New Roman"/>
          <w:b/>
          <w:color w:val="8B0000"/>
          <w:sz w:val="28"/>
        </w:rPr>
        <w:t>15. Danh mục Tài liệu tham khảo (References)</w:t>
      </w:r>
    </w:p>
    <w:p>
      <w:r>
        <w:rPr>
          <w:b/>
        </w:rPr>
        <w:t>Bảng 10. Danh mục Tài liệu tham khảo và Tiêu chuẩn áp dụng</w:t>
      </w:r>
    </w:p>
    <w:tbl>
      <w:tblPr>
        <w:tblW w:type="auto" w:w="0"/>
        <w:jc w:val="center"/>
        <w:tblLook w:firstColumn="1" w:firstRow="1" w:lastColumn="0" w:lastRow="0" w:noHBand="0" w:noVBand="1" w:val="04A0"/>
        <w:tblBorders>
          <w:top w:val="single" w:sz="4" w:space="0" w:color="B0C4DE"/>
          <w:bottom w:val="single" w:sz="4" w:space="0" w:color="B0C4DE"/>
          <w:left w:val="single" w:sz="4" w:space="0" w:color="B0C4DE"/>
          <w:right w:val="single" w:sz="4" w:space="0" w:color="B0C4DE"/>
          <w:insideH w:val="single" w:sz="4" w:space="0" w:color="B0C4DE"/>
          <w:insideV w:val="single" w:sz="4" w:space="0" w:color="B0C4DE"/>
        </w:tblBorders>
      </w:tblPr>
      <w:tblGrid>
        <w:gridCol w:w="3041"/>
        <w:gridCol w:w="3041"/>
        <w:gridCol w:w="3041"/>
      </w:tblGrid>
      <w:tr>
        <w:tc>
          <w:tcPr>
            <w:tcW w:type="dxa" w:w="3041"/>
            <w:shd w:fill="8B0000"/>
          </w:tcPr>
          <w:p>
            <w:pPr>
              <w:jc w:val="center"/>
            </w:pPr>
            <w:r>
              <w:rPr>
                <w:b/>
                <w:color w:val="FFFFFF"/>
                <w:sz w:val="20"/>
              </w:rPr>
              <w:t>STT</w:t>
            </w:r>
          </w:p>
        </w:tc>
        <w:tc>
          <w:tcPr>
            <w:tcW w:type="dxa" w:w="3041"/>
            <w:shd w:fill="8B0000"/>
          </w:tcPr>
          <w:p>
            <w:pPr>
              <w:jc w:val="center"/>
            </w:pPr>
            <w:r>
              <w:rPr>
                <w:b/>
                <w:color w:val="FFFFFF"/>
                <w:sz w:val="20"/>
              </w:rPr>
              <w:t>Lĩnh vực / Chủ đề</w:t>
            </w:r>
          </w:p>
        </w:tc>
        <w:tc>
          <w:tcPr>
            <w:tcW w:type="dxa" w:w="3041"/>
            <w:shd w:fill="8B0000"/>
          </w:tcPr>
          <w:p>
            <w:pPr>
              <w:jc w:val="center"/>
            </w:pPr>
            <w:r>
              <w:rPr>
                <w:b/>
                <w:color w:val="FFFFFF"/>
                <w:sz w:val="20"/>
              </w:rPr>
              <w:t>Thông tin ấn phẩm / Tài liệu tham khảo</w:t>
            </w:r>
          </w:p>
        </w:tc>
      </w:tr>
      <w:tr>
        <w:tc>
          <w:tcPr>
            <w:tcW w:type="dxa" w:w="3041"/>
          </w:tcPr>
          <w:p>
            <w:pPr>
              <w:jc w:val="center"/>
            </w:pPr>
            <w:r>
              <w:rPr>
                <w:sz w:val="19"/>
              </w:rPr>
              <w:t>1</w:t>
            </w:r>
          </w:p>
        </w:tc>
        <w:tc>
          <w:tcPr>
            <w:tcW w:type="dxa" w:w="3041"/>
            <w:shd w:fill="F8FAFC"/>
          </w:tcPr>
          <w:p>
            <w:r>
              <w:rPr>
                <w:b/>
                <w:sz w:val="19"/>
              </w:rPr>
              <w:t>Phát triển Bền vững &amp; Giáo dục</w:t>
            </w:r>
          </w:p>
        </w:tc>
        <w:tc>
          <w:tcPr>
            <w:tcW w:type="dxa" w:w="3041"/>
          </w:tcPr>
          <w:p>
            <w:r>
              <w:rPr>
                <w:sz w:val="19"/>
              </w:rPr>
              <w:t>Liên Hợp Quốc, Mục tiêu Phát triển Bền vững: Mục tiêu 4 - Giáo dục chất lượng &amp; Mục tiêu 12 - Sản xuất và tiêu dùng có trách nhiệm, Ban Truyền thông Toàn cầu LHQ, New York, 2023.</w:t>
            </w:r>
          </w:p>
        </w:tc>
      </w:tr>
      <w:tr>
        <w:tc>
          <w:tcPr>
            <w:tcW w:type="dxa" w:w="3041"/>
          </w:tcPr>
          <w:p>
            <w:pPr>
              <w:jc w:val="center"/>
            </w:pPr>
            <w:r>
              <w:rPr>
                <w:sz w:val="19"/>
              </w:rPr>
              <w:t>2</w:t>
            </w:r>
          </w:p>
        </w:tc>
        <w:tc>
          <w:tcPr>
            <w:tcW w:type="dxa" w:w="3041"/>
            <w:shd w:fill="F8FAFC"/>
          </w:tcPr>
          <w:p>
            <w:r>
              <w:rPr>
                <w:b/>
                <w:sz w:val="19"/>
              </w:rPr>
              <w:t>Phương pháp luận Agile &amp; Scrum</w:t>
            </w:r>
          </w:p>
        </w:tc>
        <w:tc>
          <w:tcPr>
            <w:tcW w:type="dxa" w:w="3041"/>
          </w:tcPr>
          <w:p>
            <w:r>
              <w:rPr>
                <w:sz w:val="19"/>
              </w:rPr>
              <w:t>K. Schwaber và J. Sutherland, The Scrum Guide: Hướng dẫn chính thức về Scrum - Quy tắc của trò chơi, Scrum.org, 2020. [Trực tuyến]. Địa chỉ: https://www.scrum.org/resources/scrum-guide</w:t>
            </w:r>
          </w:p>
        </w:tc>
      </w:tr>
      <w:tr>
        <w:tc>
          <w:tcPr>
            <w:tcW w:type="dxa" w:w="3041"/>
          </w:tcPr>
          <w:p>
            <w:pPr>
              <w:jc w:val="center"/>
            </w:pPr>
            <w:r>
              <w:rPr>
                <w:sz w:val="19"/>
              </w:rPr>
              <w:t>3</w:t>
            </w:r>
          </w:p>
        </w:tc>
        <w:tc>
          <w:tcPr>
            <w:tcW w:type="dxa" w:w="3041"/>
            <w:shd w:fill="F8FAFC"/>
          </w:tcPr>
          <w:p>
            <w:r>
              <w:rPr>
                <w:b/>
                <w:sz w:val="19"/>
              </w:rPr>
              <w:t>Vòng đời Kỹ thuật Phần mềm</w:t>
            </w:r>
          </w:p>
        </w:tc>
        <w:tc>
          <w:tcPr>
            <w:tcW w:type="dxa" w:w="3041"/>
          </w:tcPr>
          <w:p>
            <w:r>
              <w:rPr>
                <w:sz w:val="19"/>
              </w:rPr>
              <w:t>I. Sommerville, Software Engineering (Kỹ thuật phần mềm), Tái bản lần thứ 10, NXB Pearson Education, Boston, MA, 2016.</w:t>
            </w:r>
          </w:p>
        </w:tc>
      </w:tr>
      <w:tr>
        <w:tc>
          <w:tcPr>
            <w:tcW w:type="dxa" w:w="3041"/>
          </w:tcPr>
          <w:p>
            <w:pPr>
              <w:jc w:val="center"/>
            </w:pPr>
            <w:r>
              <w:rPr>
                <w:sz w:val="19"/>
              </w:rPr>
              <w:t>4</w:t>
            </w:r>
          </w:p>
        </w:tc>
        <w:tc>
          <w:tcPr>
            <w:tcW w:type="dxa" w:w="3041"/>
            <w:shd w:fill="F8FAFC"/>
          </w:tcPr>
          <w:p>
            <w:r>
              <w:rPr>
                <w:b/>
                <w:sz w:val="19"/>
              </w:rPr>
              <w:t>Kiến trúc Ứng dụng Doanh nghiệp</w:t>
            </w:r>
          </w:p>
        </w:tc>
        <w:tc>
          <w:tcPr>
            <w:tcW w:type="dxa" w:w="3041"/>
          </w:tcPr>
          <w:p>
            <w:r>
              <w:rPr>
                <w:sz w:val="19"/>
              </w:rPr>
              <w:t>M. Fowler, Patterns of Enterprise Application Architecture (Các mẫu kiến trúc ứng dụng doanh nghiệp), NXB Addison-Wesley Professional, Boston, MA, 2012.</w:t>
            </w:r>
          </w:p>
        </w:tc>
      </w:tr>
      <w:tr>
        <w:tc>
          <w:tcPr>
            <w:tcW w:type="dxa" w:w="3041"/>
          </w:tcPr>
          <w:p>
            <w:pPr>
              <w:jc w:val="center"/>
            </w:pPr>
            <w:r>
              <w:rPr>
                <w:sz w:val="19"/>
              </w:rPr>
              <w:t>5</w:t>
            </w:r>
          </w:p>
        </w:tc>
        <w:tc>
          <w:tcPr>
            <w:tcW w:type="dxa" w:w="3041"/>
            <w:shd w:fill="F8FAFC"/>
          </w:tcPr>
          <w:p>
            <w:r>
              <w:rPr>
                <w:b/>
                <w:sz w:val="19"/>
              </w:rPr>
              <w:t>Tối ưu hóa Tổ hợp &amp; Vận trù học</w:t>
            </w:r>
          </w:p>
        </w:tc>
        <w:tc>
          <w:tcPr>
            <w:tcW w:type="dxa" w:w="3041"/>
          </w:tcPr>
          <w:p>
            <w:r>
              <w:rPr>
                <w:sz w:val="19"/>
              </w:rPr>
              <w:t>Google Developers, Google OR-Tools: Bộ công cụ tối ưu hóa tổ hợp phục vụ bài toán phân bổ nguồn lực và định tuyến phương tiện, Google Open Source, 2024. [Trực tuyến]. Địa chỉ: https://developers.google.com/optimization</w:t>
            </w:r>
          </w:p>
        </w:tc>
      </w:tr>
      <w:tr>
        <w:tc>
          <w:tcPr>
            <w:tcW w:type="dxa" w:w="3041"/>
          </w:tcPr>
          <w:p>
            <w:pPr>
              <w:jc w:val="center"/>
            </w:pPr>
            <w:r>
              <w:rPr>
                <w:sz w:val="19"/>
              </w:rPr>
              <w:t>6</w:t>
            </w:r>
          </w:p>
        </w:tc>
        <w:tc>
          <w:tcPr>
            <w:tcW w:type="dxa" w:w="3041"/>
            <w:shd w:fill="F8FAFC"/>
          </w:tcPr>
          <w:p>
            <w:r>
              <w:rPr>
                <w:b/>
                <w:sz w:val="19"/>
              </w:rPr>
              <w:t>Tài liệu Nền tảng Backend Lõi</w:t>
            </w:r>
          </w:p>
        </w:tc>
        <w:tc>
          <w:tcPr>
            <w:tcW w:type="dxa" w:w="3041"/>
          </w:tcPr>
          <w:p>
            <w:r>
              <w:rPr>
                <w:sz w:val="19"/>
              </w:rPr>
              <w:t>Spring Boot Documentation Team, Tài liệu tham khảo Spring Boot v3.x, VMware Tanzu, 2024. [Trực tuyến]. Địa chỉ: https://spring.io/projects/spring-boot</w:t>
            </w:r>
          </w:p>
        </w:tc>
      </w:tr>
      <w:tr>
        <w:tc>
          <w:tcPr>
            <w:tcW w:type="dxa" w:w="3041"/>
          </w:tcPr>
          <w:p>
            <w:pPr>
              <w:jc w:val="center"/>
            </w:pPr>
            <w:r>
              <w:rPr>
                <w:sz w:val="19"/>
              </w:rPr>
              <w:t>7</w:t>
            </w:r>
          </w:p>
        </w:tc>
        <w:tc>
          <w:tcPr>
            <w:tcW w:type="dxa" w:w="3041"/>
            <w:shd w:fill="F8FAFC"/>
          </w:tcPr>
          <w:p>
            <w:r>
              <w:rPr>
                <w:b/>
                <w:sz w:val="19"/>
              </w:rPr>
              <w:t>Tài liệu Nền tảng Giao diện Di động</w:t>
            </w:r>
          </w:p>
        </w:tc>
        <w:tc>
          <w:tcPr>
            <w:tcW w:type="dxa" w:w="3041"/>
          </w:tcPr>
          <w:p>
            <w:r>
              <w:rPr>
                <w:sz w:val="19"/>
              </w:rPr>
              <w:t>Meta Open Source, Hướng dẫn Kiến trúc và Hiệu năng React Native, Meta Platforms, Inc., 2024. [Trực tuyến]. Địa chỉ: https://reactnative.dev/</w:t>
            </w:r>
          </w:p>
        </w:tc>
      </w:tr>
      <w:tr>
        <w:tc>
          <w:tcPr>
            <w:tcW w:type="dxa" w:w="3041"/>
          </w:tcPr>
          <w:p>
            <w:pPr>
              <w:jc w:val="center"/>
            </w:pPr>
            <w:r>
              <w:rPr>
                <w:sz w:val="19"/>
              </w:rPr>
              <w:t>8</w:t>
            </w:r>
          </w:p>
        </w:tc>
        <w:tc>
          <w:tcPr>
            <w:tcW w:type="dxa" w:w="3041"/>
            <w:shd w:fill="F8FAFC"/>
          </w:tcPr>
          <w:p>
            <w:r>
              <w:rPr>
                <w:b/>
                <w:sz w:val="19"/>
              </w:rPr>
              <w:t>Tiêu chuẩn Vòng đời Phần mềm Quốc tế</w:t>
            </w:r>
          </w:p>
        </w:tc>
        <w:tc>
          <w:tcPr>
            <w:tcW w:type="dxa" w:w="3041"/>
          </w:tcPr>
          <w:p>
            <w:r>
              <w:rPr>
                <w:sz w:val="19"/>
              </w:rPr>
              <w:t>IEEE Computer Society, Tiêu chuẩn IEEE về Kỹ thuật Hệ thống và Phần mềm - Các quy trình vòng đời phần mềm, IEEE Std 12207-2017.</w:t>
            </w:r>
          </w:p>
        </w:tc>
      </w:tr>
      <w:tr>
        <w:tc>
          <w:tcPr>
            <w:tcW w:type="dxa" w:w="3041"/>
          </w:tcPr>
          <w:p>
            <w:pPr>
              <w:jc w:val="center"/>
            </w:pPr>
            <w:r>
              <w:rPr>
                <w:sz w:val="19"/>
              </w:rPr>
              <w:t>9</w:t>
            </w:r>
          </w:p>
        </w:tc>
        <w:tc>
          <w:tcPr>
            <w:tcW w:type="dxa" w:w="3041"/>
            <w:shd w:fill="F8FAFC"/>
          </w:tcPr>
          <w:p>
            <w:r>
              <w:rPr>
                <w:b/>
                <w:sz w:val="19"/>
              </w:rPr>
              <w:t>Tiêu chuẩn Chất lượng Quốc gia</w:t>
            </w:r>
          </w:p>
        </w:tc>
        <w:tc>
          <w:tcPr>
            <w:tcW w:type="dxa" w:w="3041"/>
          </w:tcPr>
          <w:p>
            <w:r>
              <w:rPr>
                <w:sz w:val="19"/>
              </w:rPr>
              <w:t>Bộ Khoa học và Công nghệ, TCVN 10539:2014 (ISO/IEC/IEEE 12207:2017) Quy trình vòng đời phần mềm; TCVN 10540:2014 (ISO/IEC 25051:2006) Yêu cầu chất lượng và thử nghiệm gói sản phẩm phần mềm, NXB Tiêu chuẩn, Hà Nội.</w:t>
            </w:r>
          </w:p>
        </w:tc>
      </w:tr>
    </w:tbl>
    <w:sectPr w:rsidR="00FC693F" w:rsidRPr="0006063C" w:rsidSect="00034616">
      <w:pgSz w:w="12240" w:h="15840"/>
      <w:pgMar w:top="1134"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222222"/>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