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B3A4B"/>
          <w:sz w:val="40"/>
          <w:szCs w:val="40"/>
        </w:rPr>
        <w:t xml:space="preserve">PI INDUSTRIES LIMITED</w:t>
      </w:r>
    </w:p>
    <w:p>
      <w:pPr>
        <w:spacing w:before="400"/>
        <w:jc w:val="center"/>
      </w:pPr>
      <w:r>
        <w:rPr>
          <w:rFonts w:ascii="Arial" w:cs="Arial" w:eastAsia="Arial" w:hAnsi="Arial"/>
          <w:b/>
          <w:bCs/>
          <w:color w:val="2D6A4F"/>
          <w:sz w:val="32"/>
          <w:szCs w:val="32"/>
        </w:rPr>
        <w:t xml:space="preserve">Treasury &amp; Foreign Exchange Risk Management Policy</w:t>
      </w:r>
    </w:p>
    <w:p>
      <w:pPr>
        <w:spacing w:before="400"/>
        <w:jc w:val="center"/>
      </w:pPr>
      <w:r>
        <w:rPr>
          <w:color w:val="666666"/>
          <w:sz w:val="22"/>
          <w:szCs w:val="22"/>
        </w:rPr>
        <w:t xml:space="preserve">Policy Reference: PI/TREASURY/POL/2026-01 | Effective: 01-Apr-2026 | Version: 3.2</w:t>
      </w:r>
    </w:p>
    <w:p>
      <w:pPr>
        <w:jc w:val="center"/>
      </w:pPr>
      <w:r>
        <w:rPr>
          <w:color w:val="666666"/>
          <w:sz w:val="22"/>
          <w:szCs w:val="22"/>
        </w:rPr>
        <w:t xml:space="preserve">Approved by: Board of Directors | Classification: CONFIDENTIAL</w:t>
      </w:r>
    </w:p>
    <w:p>
      <w:r>
        <w:br w:type="page"/>
      </w:r>
    </w:p>
    <w:p>
      <w:pPr>
        <w:pStyle w:val="Heading1"/>
      </w:pPr>
      <w:r>
        <w:t xml:space="preserve">1. Purpose and Scope</w:t>
      </w:r>
    </w:p>
    <w:p>
      <w:pPr>
        <w:spacing w:after="100"/>
      </w:pPr>
      <w:r>
        <w:rPr>
          <w:rFonts w:ascii="Arial" w:cs="Arial" w:eastAsia="Arial" w:hAnsi="Arial"/>
          <w:sz w:val="22"/>
          <w:szCs w:val="22"/>
        </w:rPr>
        <w:t xml:space="preserve">This policy establishes the framework, guidelines, and operating procedures for managing foreign exchange risk arising from PI Industries Limited's export operations. The policy applies to all foreign currency exposures including export receivables in USD and EUR, import payables, External Commercial Borrowings (ECB), intercompany transactions, and any other cross-border cash flows.</w:t>
      </w:r>
    </w:p>
    <w:p>
      <w:pPr>
        <w:spacing w:after="100"/>
      </w:pPr>
      <w:r>
        <w:rPr>
          <w:rFonts w:ascii="Arial" w:cs="Arial" w:eastAsia="Arial" w:hAnsi="Arial"/>
          <w:sz w:val="22"/>
          <w:szCs w:val="22"/>
        </w:rPr>
        <w:t xml:space="preserve">PI Industries is a leading Indian agrochemical company with annual export revenues exceeding USD 450 million and EUR 120 million. Given the significance of forex earnings to total revenue (approximately 65%), effective management of currency risk is critical to protecting operating margins and shareholder value.</w:t>
      </w:r>
    </w:p>
    <w:p>
      <w:pPr>
        <w:pStyle w:val="Heading1"/>
      </w:pPr>
      <w:r>
        <w:t xml:space="preserve">2. Regulatory Framework</w:t>
      </w:r>
    </w:p>
    <w:p>
      <w:pPr>
        <w:spacing w:after="100"/>
      </w:pPr>
      <w:r>
        <w:rPr>
          <w:rFonts w:ascii="Arial" w:cs="Arial" w:eastAsia="Arial" w:hAnsi="Arial"/>
          <w:sz w:val="22"/>
          <w:szCs w:val="22"/>
        </w:rPr>
        <w:t xml:space="preserve">All foreign exchange hedging activities shall comply with:</w:t>
      </w:r>
    </w:p>
    <w:p>
      <w:pPr>
        <w:pStyle w:val="ListParagraph"/>
        <w:numPr>
          <w:ilvl w:val="0"/>
          <w:numId w:val="2"/>
        </w:numPr>
      </w:pPr>
      <w:r>
        <w:rPr>
          <w:rFonts w:ascii="Arial" w:cs="Arial" w:eastAsia="Arial" w:hAnsi="Arial"/>
          <w:sz w:val="22"/>
          <w:szCs w:val="22"/>
        </w:rPr>
        <w:t xml:space="preserve">Foreign Exchange Management Act (FEMA), 1999 and rules thereunder</w:t>
      </w:r>
    </w:p>
    <w:p>
      <w:pPr>
        <w:pStyle w:val="ListParagraph"/>
        <w:numPr>
          <w:ilvl w:val="0"/>
          <w:numId w:val="2"/>
        </w:numPr>
      </w:pPr>
      <w:r>
        <w:rPr>
          <w:rFonts w:ascii="Arial" w:cs="Arial" w:eastAsia="Arial" w:hAnsi="Arial"/>
          <w:sz w:val="22"/>
          <w:szCs w:val="22"/>
        </w:rPr>
        <w:t xml:space="preserve">RBI Master Direction on Risk Management and Inter-Bank Dealings</w:t>
      </w:r>
    </w:p>
    <w:p>
      <w:pPr>
        <w:pStyle w:val="ListParagraph"/>
        <w:numPr>
          <w:ilvl w:val="0"/>
          <w:numId w:val="2"/>
        </w:numPr>
      </w:pPr>
      <w:r>
        <w:rPr>
          <w:rFonts w:ascii="Arial" w:cs="Arial" w:eastAsia="Arial" w:hAnsi="Arial"/>
          <w:sz w:val="22"/>
          <w:szCs w:val="22"/>
        </w:rPr>
        <w:t xml:space="preserve">RBI Master Direction on Export of Goods and Services</w:t>
      </w:r>
    </w:p>
    <w:p>
      <w:pPr>
        <w:pStyle w:val="ListParagraph"/>
        <w:numPr>
          <w:ilvl w:val="0"/>
          <w:numId w:val="2"/>
        </w:numPr>
      </w:pPr>
      <w:r>
        <w:rPr>
          <w:rFonts w:ascii="Arial" w:cs="Arial" w:eastAsia="Arial" w:hAnsi="Arial"/>
          <w:sz w:val="22"/>
          <w:szCs w:val="22"/>
        </w:rPr>
        <w:t xml:space="preserve">RBI guidelines on hedging of foreign currency exposures</w:t>
      </w:r>
    </w:p>
    <w:p>
      <w:pPr>
        <w:pStyle w:val="ListParagraph"/>
        <w:numPr>
          <w:ilvl w:val="0"/>
          <w:numId w:val="2"/>
        </w:numPr>
      </w:pPr>
      <w:r>
        <w:rPr>
          <w:rFonts w:ascii="Arial" w:cs="Arial" w:eastAsia="Arial" w:hAnsi="Arial"/>
          <w:sz w:val="22"/>
          <w:szCs w:val="22"/>
        </w:rPr>
        <w:t xml:space="preserve">Indian Accounting Standard (Ind AS) 109 — Financial Instruments</w:t>
      </w:r>
    </w:p>
    <w:p>
      <w:pPr>
        <w:pStyle w:val="ListParagraph"/>
        <w:numPr>
          <w:ilvl w:val="0"/>
          <w:numId w:val="2"/>
        </w:numPr>
      </w:pPr>
      <w:r>
        <w:rPr>
          <w:rFonts w:ascii="Arial" w:cs="Arial" w:eastAsia="Arial" w:hAnsi="Arial"/>
          <w:sz w:val="22"/>
          <w:szCs w:val="22"/>
        </w:rPr>
        <w:t xml:space="preserve">SEBI LODR Regulations for material risk disclosures</w:t>
      </w:r>
    </w:p>
    <w:p>
      <w:pPr>
        <w:pStyle w:val="Heading1"/>
      </w:pPr>
      <w:r>
        <w:t xml:space="preserve">3. Hedging Objectives</w:t>
      </w:r>
    </w:p>
    <w:p>
      <w:pPr>
        <w:pStyle w:val="ListParagraph"/>
        <w:numPr>
          <w:ilvl w:val="0"/>
          <w:numId w:val="3"/>
        </w:numPr>
      </w:pPr>
      <w:r>
        <w:rPr>
          <w:rFonts w:ascii="Arial" w:cs="Arial" w:eastAsia="Arial" w:hAnsi="Arial"/>
          <w:sz w:val="22"/>
          <w:szCs w:val="22"/>
        </w:rPr>
        <w:t xml:space="preserve">Protect the INR value of confirmed and highly probable export receivables against adverse currency movements</w:t>
      </w:r>
    </w:p>
    <w:p>
      <w:pPr>
        <w:pStyle w:val="ListParagraph"/>
        <w:numPr>
          <w:ilvl w:val="0"/>
          <w:numId w:val="3"/>
        </w:numPr>
      </w:pPr>
      <w:r>
        <w:rPr>
          <w:rFonts w:ascii="Arial" w:cs="Arial" w:eastAsia="Arial" w:hAnsi="Arial"/>
          <w:sz w:val="22"/>
          <w:szCs w:val="22"/>
        </w:rPr>
        <w:t xml:space="preserve">Reduce volatility in reported earnings from foreign exchange fluctuations</w:t>
      </w:r>
    </w:p>
    <w:p>
      <w:pPr>
        <w:pStyle w:val="ListParagraph"/>
        <w:numPr>
          <w:ilvl w:val="0"/>
          <w:numId w:val="3"/>
        </w:numPr>
      </w:pPr>
      <w:r>
        <w:rPr>
          <w:rFonts w:ascii="Arial" w:cs="Arial" w:eastAsia="Arial" w:hAnsi="Arial"/>
          <w:sz w:val="22"/>
          <w:szCs w:val="22"/>
        </w:rPr>
        <w:t xml:space="preserve">Ensure compliance with all applicable RBI regulations and FEMA guidelines</w:t>
      </w:r>
    </w:p>
    <w:p>
      <w:pPr>
        <w:pStyle w:val="ListParagraph"/>
        <w:numPr>
          <w:ilvl w:val="0"/>
          <w:numId w:val="3"/>
        </w:numPr>
      </w:pPr>
      <w:r>
        <w:rPr>
          <w:rFonts w:ascii="Arial" w:cs="Arial" w:eastAsia="Arial" w:hAnsi="Arial"/>
          <w:sz w:val="22"/>
          <w:szCs w:val="22"/>
        </w:rPr>
        <w:t xml:space="preserve">Maintain flexibility to benefit from favorable currency movements within defined limits</w:t>
      </w:r>
    </w:p>
    <w:p>
      <w:pPr>
        <w:pStyle w:val="ListParagraph"/>
        <w:numPr>
          <w:ilvl w:val="0"/>
          <w:numId w:val="3"/>
        </w:numPr>
      </w:pPr>
      <w:r>
        <w:rPr>
          <w:rFonts w:ascii="Arial" w:cs="Arial" w:eastAsia="Arial" w:hAnsi="Arial"/>
          <w:b/>
          <w:bCs/>
          <w:sz w:val="22"/>
          <w:szCs w:val="22"/>
        </w:rPr>
        <w:t xml:space="preserve">Absolutely NO speculative trading — all hedges must correspond to genuine underlying business exposures</w:t>
      </w:r>
    </w:p>
    <w:p>
      <w:pPr>
        <w:pStyle w:val="Heading1"/>
      </w:pPr>
      <w:r>
        <w:t xml:space="preserve">4. Hedge Ratio Policy</w:t>
      </w:r>
    </w:p>
    <w:p>
      <w:pPr>
        <w:pStyle w:val="Heading2"/>
      </w:pPr>
      <w:r>
        <w:t xml:space="preserve">4.1 Mandatory Hedge Ratios</w:t>
      </w:r>
    </w:p>
    <w:p>
      <w:pPr>
        <w:spacing w:after="100"/>
      </w:pPr>
      <w:r>
        <w:rPr>
          <w:rFonts w:ascii="Arial" w:cs="Arial" w:eastAsia="Arial" w:hAnsi="Arial"/>
          <w:sz w:val="22"/>
          <w:szCs w:val="22"/>
        </w:rPr>
        <w:t xml:space="preserve">The following minimum and maximum hedge ratios shall apply to net export receivable exposures: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Exposure Tenor</w:t>
            </w:r>
          </w:p>
        </w:tc>
        <w:tc>
          <w:tcPr>
            <w:tcW w:type="dxa" w:w="1872"/>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 Hedge</w:t>
            </w:r>
          </w:p>
        </w:tc>
        <w:tc>
          <w:tcPr>
            <w:tcW w:type="dxa" w:w="1872"/>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Hedge</w:t>
            </w:r>
          </w:p>
        </w:tc>
        <w:tc>
          <w:tcPr>
            <w:tcW w:type="dxa" w:w="3276"/>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Authority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 Months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Treasury Head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3-6 Months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Treasury Head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6-12 Months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70%</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VP-Treasury + CFO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Beyond 12M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CFO + Board Risk Committee</w:t>
            </w:r>
          </w:p>
        </w:tc>
      </w:tr>
    </w:tbl>
    <w:p>
      <w:pPr>
        <w:pStyle w:val="Heading2"/>
      </w:pPr>
      <w:r>
        <w:t xml:space="preserve">4.2 Deviation from Hedge Ratios</w:t>
      </w:r>
    </w:p>
    <w:p>
      <w:pPr>
        <w:spacing w:after="100"/>
      </w:pPr>
      <w:r>
        <w:rPr>
          <w:rFonts w:ascii="Arial" w:cs="Arial" w:eastAsia="Arial" w:hAnsi="Arial"/>
          <w:sz w:val="22"/>
          <w:szCs w:val="22"/>
        </w:rPr>
        <w:t xml:space="preserve">Any deviation from prescribed hedge ratios requires prior written approval from the CFO. Deviations exceeding 15 percentage points from the policy band require Board Risk Committee approval. All deviations must be documented with rationale and reported in the next Risk Committee meeting.</w:t>
      </w:r>
    </w:p>
    <w:p>
      <w:pPr>
        <w:pStyle w:val="Heading1"/>
      </w:pPr>
      <w:r>
        <w:t xml:space="preserve">5. Approved Hedging Instruments</w:t>
      </w:r>
    </w:p>
    <w:p>
      <w:pPr>
        <w:pStyle w:val="Heading2"/>
      </w:pPr>
      <w:r>
        <w:t xml:space="preserve">5.1 Permitted Instruments</w:t>
      </w:r>
    </w:p>
    <w:p>
      <w:pPr>
        <w:pStyle w:val="ListParagraph"/>
        <w:numPr>
          <w:ilvl w:val="0"/>
          <w:numId w:val="4"/>
        </w:numPr>
      </w:pPr>
      <w:r>
        <w:rPr>
          <w:rFonts w:ascii="Arial" w:cs="Arial" w:eastAsia="Arial" w:hAnsi="Arial"/>
          <w:sz w:val="22"/>
          <w:szCs w:val="22"/>
        </w:rPr>
        <w:t xml:space="preserve">Plain vanilla forward contracts (primary hedging tool)</w:t>
      </w:r>
    </w:p>
    <w:p>
      <w:pPr>
        <w:pStyle w:val="ListParagraph"/>
        <w:numPr>
          <w:ilvl w:val="0"/>
          <w:numId w:val="4"/>
        </w:numPr>
      </w:pPr>
      <w:r>
        <w:rPr>
          <w:rFonts w:ascii="Arial" w:cs="Arial" w:eastAsia="Arial" w:hAnsi="Arial"/>
          <w:sz w:val="22"/>
          <w:szCs w:val="22"/>
        </w:rPr>
        <w:t xml:space="preserve">Currency options — only purchase of put/call options (no net written options)</w:t>
      </w:r>
    </w:p>
    <w:p>
      <w:pPr>
        <w:pStyle w:val="ListParagraph"/>
        <w:numPr>
          <w:ilvl w:val="0"/>
          <w:numId w:val="4"/>
        </w:numPr>
      </w:pPr>
      <w:r>
        <w:rPr>
          <w:rFonts w:ascii="Arial" w:cs="Arial" w:eastAsia="Arial" w:hAnsi="Arial"/>
          <w:sz w:val="22"/>
          <w:szCs w:val="22"/>
        </w:rPr>
        <w:t xml:space="preserve">Zero-cost structures (range forwards/collars) — with CFO approval</w:t>
      </w:r>
    </w:p>
    <w:p>
      <w:pPr>
        <w:pStyle w:val="ListParagraph"/>
        <w:numPr>
          <w:ilvl w:val="0"/>
          <w:numId w:val="4"/>
        </w:numPr>
      </w:pPr>
      <w:r>
        <w:rPr>
          <w:rFonts w:ascii="Arial" w:cs="Arial" w:eastAsia="Arial" w:hAnsi="Arial"/>
          <w:sz w:val="22"/>
          <w:szCs w:val="22"/>
        </w:rPr>
        <w:t xml:space="preserve">Cross-currency swaps — only for ECB hedging with CFO approval</w:t>
      </w:r>
    </w:p>
    <w:p>
      <w:pPr>
        <w:pStyle w:val="Heading2"/>
      </w:pPr>
      <w:r>
        <w:t xml:space="preserve">5.2 Prohibited Instruments</w:t>
      </w:r>
    </w:p>
    <w:p>
      <w:pPr>
        <w:pStyle w:val="ListParagraph"/>
        <w:numPr>
          <w:ilvl w:val="0"/>
          <w:numId w:val="2"/>
        </w:numPr>
      </w:pPr>
      <w:r>
        <w:rPr>
          <w:rFonts w:ascii="Arial" w:cs="Arial" w:eastAsia="Arial" w:hAnsi="Arial"/>
          <w:sz w:val="22"/>
          <w:szCs w:val="22"/>
        </w:rPr>
        <w:t xml:space="preserve">Exotic options (barrier, digital, knock-in/knock-out)</w:t>
      </w:r>
    </w:p>
    <w:p>
      <w:pPr>
        <w:pStyle w:val="ListParagraph"/>
        <w:numPr>
          <w:ilvl w:val="0"/>
          <w:numId w:val="2"/>
        </w:numPr>
      </w:pPr>
      <w:r>
        <w:rPr>
          <w:rFonts w:ascii="Arial" w:cs="Arial" w:eastAsia="Arial" w:hAnsi="Arial"/>
          <w:sz w:val="22"/>
          <w:szCs w:val="22"/>
        </w:rPr>
        <w:t xml:space="preserve">Leveraged derivatives of any kind</w:t>
      </w:r>
    </w:p>
    <w:p>
      <w:pPr>
        <w:pStyle w:val="ListParagraph"/>
        <w:numPr>
          <w:ilvl w:val="0"/>
          <w:numId w:val="2"/>
        </w:numPr>
      </w:pPr>
      <w:r>
        <w:rPr>
          <w:rFonts w:ascii="Arial" w:cs="Arial" w:eastAsia="Arial" w:hAnsi="Arial"/>
          <w:sz w:val="22"/>
          <w:szCs w:val="22"/>
        </w:rPr>
        <w:t xml:space="preserve">Net written option positions</w:t>
      </w:r>
    </w:p>
    <w:p>
      <w:pPr>
        <w:pStyle w:val="ListParagraph"/>
        <w:numPr>
          <w:ilvl w:val="0"/>
          <w:numId w:val="2"/>
        </w:numPr>
      </w:pPr>
      <w:r>
        <w:rPr>
          <w:rFonts w:ascii="Arial" w:cs="Arial" w:eastAsia="Arial" w:hAnsi="Arial"/>
          <w:sz w:val="22"/>
          <w:szCs w:val="22"/>
        </w:rPr>
        <w:t xml:space="preserve">Any derivative without a genuine underlying exposure</w:t>
      </w:r>
    </w:p>
    <w:p>
      <w:pPr>
        <w:pStyle w:val="ListParagraph"/>
        <w:numPr>
          <w:ilvl w:val="0"/>
          <w:numId w:val="2"/>
        </w:numPr>
      </w:pPr>
      <w:r>
        <w:rPr>
          <w:rFonts w:ascii="Arial" w:cs="Arial" w:eastAsia="Arial" w:hAnsi="Arial"/>
          <w:sz w:val="22"/>
          <w:szCs w:val="22"/>
        </w:rPr>
        <w:t xml:space="preserve">NDFs — unless specifically approved by CFO for offshore exposure</w:t>
      </w:r>
    </w:p>
    <w:p>
      <w:pPr>
        <w:pStyle w:val="Heading1"/>
      </w:pPr>
      <w:r>
        <w:t xml:space="preserve">6. Approval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Deal Size</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Approval Authority</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Reporting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 to USD 1M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Treasury Head (M. Gupta)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Daily deal log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USD 1M - 5M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VP-Treasury (R. Sharma)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Same-day email to CFO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USD 5M - 10M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CFO (A. Patel)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Monthly Risk Committee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Above USD 10M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CFO + MD jointly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Board Risk Committee</w:t>
            </w:r>
          </w:p>
        </w:tc>
      </w:tr>
    </w:tbl>
    <w:p>
      <w:pPr>
        <w:pStyle w:val="Heading1"/>
      </w:pPr>
      <w:r>
        <w:t xml:space="preserve">7. Counterparty Policy</w:t>
      </w:r>
    </w:p>
    <w:p>
      <w:pPr>
        <w:spacing w:after="100"/>
      </w:pPr>
      <w:r>
        <w:rPr>
          <w:rFonts w:ascii="Arial" w:cs="Arial" w:eastAsia="Arial" w:hAnsi="Arial"/>
          <w:sz w:val="22"/>
          <w:szCs w:val="22"/>
        </w:rPr>
        <w:t xml:space="preserve">Forward contracts and options may only be executed with these approved banks: HDFC Bank, State Bank of India, ICICI Bank, Axis Bank, Citibank, Deutsche Bank, Standard Chartered Bank, and Kotak Mahindra Bank.</w:t>
      </w:r>
    </w:p>
    <w:p>
      <w:pPr>
        <w:pStyle w:val="ListParagraph"/>
        <w:numPr>
          <w:ilvl w:val="0"/>
          <w:numId w:val="2"/>
        </w:numPr>
      </w:pPr>
      <w:r>
        <w:rPr>
          <w:rFonts w:ascii="Arial" w:cs="Arial" w:eastAsia="Arial" w:hAnsi="Arial"/>
          <w:sz w:val="22"/>
          <w:szCs w:val="22"/>
        </w:rPr>
        <w:t xml:space="preserve">No single bank shall hold more than 30% of total outstanding hedge notional</w:t>
      </w:r>
    </w:p>
    <w:p>
      <w:pPr>
        <w:pStyle w:val="ListParagraph"/>
        <w:numPr>
          <w:ilvl w:val="0"/>
          <w:numId w:val="2"/>
        </w:numPr>
      </w:pPr>
      <w:r>
        <w:rPr>
          <w:rFonts w:ascii="Arial" w:cs="Arial" w:eastAsia="Arial" w:hAnsi="Arial"/>
          <w:sz w:val="22"/>
          <w:szCs w:val="22"/>
        </w:rPr>
        <w:t xml:space="preserve">At least 3 banks must be used for hedging at any given time</w:t>
      </w:r>
    </w:p>
    <w:p>
      <w:pPr>
        <w:pStyle w:val="ListParagraph"/>
        <w:numPr>
          <w:ilvl w:val="0"/>
          <w:numId w:val="2"/>
        </w:numPr>
      </w:pPr>
      <w:r>
        <w:rPr>
          <w:rFonts w:ascii="Arial" w:cs="Arial" w:eastAsia="Arial" w:hAnsi="Arial"/>
          <w:sz w:val="22"/>
          <w:szCs w:val="22"/>
        </w:rPr>
        <w:t xml:space="preserve">Minimum 2 competitive quotes required for any deal above USD 1 million</w:t>
      </w:r>
    </w:p>
    <w:p>
      <w:pPr>
        <w:pStyle w:val="Heading1"/>
      </w:pPr>
      <w:r>
        <w:t xml:space="preserve">8. Export Realization Compliance</w:t>
      </w:r>
    </w:p>
    <w:p>
      <w:pPr>
        <w:spacing w:after="100"/>
      </w:pPr>
      <w:r>
        <w:rPr>
          <w:rFonts w:ascii="Arial" w:cs="Arial" w:eastAsia="Arial" w:hAnsi="Arial"/>
          <w:sz w:val="22"/>
          <w:szCs w:val="22"/>
        </w:rPr>
        <w:t xml:space="preserve">Per RBI Master Direction, all export proceeds must be realized within 9 months (270 days) from the date of export. The Treasury team shall:</w:t>
      </w:r>
    </w:p>
    <w:p>
      <w:pPr>
        <w:pStyle w:val="ListParagraph"/>
        <w:numPr>
          <w:ilvl w:val="0"/>
          <w:numId w:val="3"/>
        </w:numPr>
      </w:pPr>
      <w:r>
        <w:rPr>
          <w:rFonts w:ascii="Arial" w:cs="Arial" w:eastAsia="Arial" w:hAnsi="Arial"/>
          <w:sz w:val="22"/>
          <w:szCs w:val="22"/>
        </w:rPr>
        <w:t xml:space="preserve">Maintain an export realization tracking sheet updated weekly</w:t>
      </w:r>
    </w:p>
    <w:p>
      <w:pPr>
        <w:pStyle w:val="ListParagraph"/>
        <w:numPr>
          <w:ilvl w:val="0"/>
          <w:numId w:val="3"/>
        </w:numPr>
      </w:pPr>
      <w:r>
        <w:rPr>
          <w:rFonts w:ascii="Arial" w:cs="Arial" w:eastAsia="Arial" w:hAnsi="Arial"/>
          <w:sz w:val="22"/>
          <w:szCs w:val="22"/>
        </w:rPr>
        <w:t xml:space="preserve">Send automated alerts at 180, 210, and 240 days for unrealized shipments</w:t>
      </w:r>
    </w:p>
    <w:p>
      <w:pPr>
        <w:pStyle w:val="ListParagraph"/>
        <w:numPr>
          <w:ilvl w:val="0"/>
          <w:numId w:val="3"/>
        </w:numPr>
      </w:pPr>
      <w:r>
        <w:rPr>
          <w:rFonts w:ascii="Arial" w:cs="Arial" w:eastAsia="Arial" w:hAnsi="Arial"/>
          <w:sz w:val="22"/>
          <w:szCs w:val="22"/>
        </w:rPr>
        <w:t xml:space="preserve">Escalate to CFO any receivable unrealized at 240 days</w:t>
      </w:r>
    </w:p>
    <w:p>
      <w:pPr>
        <w:pStyle w:val="ListParagraph"/>
        <w:numPr>
          <w:ilvl w:val="0"/>
          <w:numId w:val="3"/>
        </w:numPr>
      </w:pPr>
      <w:r>
        <w:rPr>
          <w:rFonts w:ascii="Arial" w:cs="Arial" w:eastAsia="Arial" w:hAnsi="Arial"/>
          <w:sz w:val="22"/>
          <w:szCs w:val="22"/>
        </w:rPr>
        <w:t xml:space="preserve">Initiate write-off application with AD bank for receivables likely to breach 270-day deadline</w:t>
      </w:r>
    </w:p>
    <w:p>
      <w:pPr>
        <w:pStyle w:val="Heading1"/>
      </w:pPr>
      <w:r>
        <w:t xml:space="preserve">9. Risk Monitoring and Reporting</w:t>
      </w:r>
    </w:p>
    <w:p>
      <w:pPr>
        <w:pStyle w:val="Heading2"/>
      </w:pPr>
      <w:r>
        <w:t xml:space="preserve">9.1 Daily Monitoring</w:t>
      </w:r>
    </w:p>
    <w:p>
      <w:pPr>
        <w:pStyle w:val="ListParagraph"/>
        <w:numPr>
          <w:ilvl w:val="0"/>
          <w:numId w:val="2"/>
        </w:numPr>
      </w:pPr>
      <w:r>
        <w:rPr>
          <w:rFonts w:ascii="Arial" w:cs="Arial" w:eastAsia="Arial" w:hAnsi="Arial"/>
          <w:sz w:val="22"/>
          <w:szCs w:val="22"/>
        </w:rPr>
        <w:t xml:space="preserve">USD/INR and EUR/INR spot rates, forward premiums, and implied volatility</w:t>
      </w:r>
    </w:p>
    <w:p>
      <w:pPr>
        <w:pStyle w:val="ListParagraph"/>
        <w:numPr>
          <w:ilvl w:val="0"/>
          <w:numId w:val="2"/>
        </w:numPr>
      </w:pPr>
      <w:r>
        <w:rPr>
          <w:rFonts w:ascii="Arial" w:cs="Arial" w:eastAsia="Arial" w:hAnsi="Arial"/>
          <w:sz w:val="22"/>
          <w:szCs w:val="22"/>
        </w:rPr>
        <w:t xml:space="preserve">RBI circulars and policy announcements</w:t>
      </w:r>
    </w:p>
    <w:p>
      <w:pPr>
        <w:pStyle w:val="ListParagraph"/>
        <w:numPr>
          <w:ilvl w:val="0"/>
          <w:numId w:val="2"/>
        </w:numPr>
      </w:pPr>
      <w:r>
        <w:rPr>
          <w:rFonts w:ascii="Arial" w:cs="Arial" w:eastAsia="Arial" w:hAnsi="Arial"/>
          <w:sz w:val="22"/>
          <w:szCs w:val="22"/>
        </w:rPr>
        <w:t xml:space="preserve">Mark-to-market on all outstanding forward contracts</w:t>
      </w:r>
    </w:p>
    <w:p>
      <w:pPr>
        <w:pStyle w:val="ListParagraph"/>
        <w:numPr>
          <w:ilvl w:val="0"/>
          <w:numId w:val="2"/>
        </w:numPr>
      </w:pPr>
      <w:r>
        <w:rPr>
          <w:rFonts w:ascii="Arial" w:cs="Arial" w:eastAsia="Arial" w:hAnsi="Arial"/>
          <w:sz w:val="22"/>
          <w:szCs w:val="22"/>
        </w:rPr>
        <w:t xml:space="preserve">Global macro developments affecting INR</w:t>
      </w:r>
    </w:p>
    <w:p>
      <w:pPr>
        <w:pStyle w:val="Heading2"/>
      </w:pPr>
      <w:r>
        <w:t xml:space="preserve">9.2 Monthly Reporting to CFO</w:t>
      </w:r>
    </w:p>
    <w:p>
      <w:pPr>
        <w:pStyle w:val="ListParagraph"/>
        <w:numPr>
          <w:ilvl w:val="0"/>
          <w:numId w:val="2"/>
        </w:numPr>
      </w:pPr>
      <w:r>
        <w:rPr>
          <w:rFonts w:ascii="Arial" w:cs="Arial" w:eastAsia="Arial" w:hAnsi="Arial"/>
          <w:sz w:val="22"/>
          <w:szCs w:val="22"/>
        </w:rPr>
        <w:t xml:space="preserve">Total forex exposure by currency and tenor</w:t>
      </w:r>
    </w:p>
    <w:p>
      <w:pPr>
        <w:pStyle w:val="ListParagraph"/>
        <w:numPr>
          <w:ilvl w:val="0"/>
          <w:numId w:val="2"/>
        </w:numPr>
      </w:pPr>
      <w:r>
        <w:rPr>
          <w:rFonts w:ascii="Arial" w:cs="Arial" w:eastAsia="Arial" w:hAnsi="Arial"/>
          <w:sz w:val="22"/>
          <w:szCs w:val="22"/>
        </w:rPr>
        <w:t xml:space="preserve">Current hedge ratio vs. policy band</w:t>
      </w:r>
    </w:p>
    <w:p>
      <w:pPr>
        <w:pStyle w:val="ListParagraph"/>
        <w:numPr>
          <w:ilvl w:val="0"/>
          <w:numId w:val="2"/>
        </w:numPr>
      </w:pPr>
      <w:r>
        <w:rPr>
          <w:rFonts w:ascii="Arial" w:cs="Arial" w:eastAsia="Arial" w:hAnsi="Arial"/>
          <w:sz w:val="22"/>
          <w:szCs w:val="22"/>
        </w:rPr>
        <w:t xml:space="preserve">MTM P&amp;L on hedge book and realized forex gain/loss</w:t>
      </w:r>
    </w:p>
    <w:p>
      <w:pPr>
        <w:pStyle w:val="ListParagraph"/>
        <w:numPr>
          <w:ilvl w:val="0"/>
          <w:numId w:val="2"/>
        </w:numPr>
      </w:pPr>
      <w:r>
        <w:rPr>
          <w:rFonts w:ascii="Arial" w:cs="Arial" w:eastAsia="Arial" w:hAnsi="Arial"/>
          <w:sz w:val="22"/>
          <w:szCs w:val="22"/>
        </w:rPr>
        <w:t xml:space="preserve">Export realization status and compliance alerts</w:t>
      </w:r>
    </w:p>
    <w:p>
      <w:pPr>
        <w:pStyle w:val="Heading1"/>
      </w:pPr>
      <w:r>
        <w:t xml:space="preserve">10. Stop-Loss and Escalation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c>
          <w:tcPr>
            <w:tcW w:type="dxa" w:w="3744"/>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 Event</w:t>
            </w:r>
          </w:p>
        </w:tc>
        <w:tc>
          <w:tcPr>
            <w:tcW w:type="dxa" w:w="2808"/>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2808"/>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Escalation To</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MTM loss exceeds INR 5 Cr</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Review hedge strategy</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CFO</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MTM loss exceeds INR 15 Cr</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Emergency review</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CFO + MD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USD/INR moves &gt;3% in a week</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Reassess all hedges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Treasury Head + CFO</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Hedge ratio outside band 5+ days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Correct within 3 days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VP-Treasury</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 bank &gt;30% concentration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Rebalance across banks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Treasury Head</w:t>
            </w:r>
          </w:p>
        </w:tc>
      </w:tr>
    </w:tbl>
    <w:p>
      <w:pPr>
        <w:pStyle w:val="Heading1"/>
      </w:pPr>
      <w:r>
        <w:t xml:space="preserve">11. Audit and Review</w:t>
      </w:r>
    </w:p>
    <w:p>
      <w:pPr>
        <w:spacing w:after="100"/>
      </w:pPr>
      <w:r>
        <w:rPr>
          <w:rFonts w:ascii="Arial" w:cs="Arial" w:eastAsia="Arial" w:hAnsi="Arial"/>
          <w:sz w:val="22"/>
          <w:szCs w:val="22"/>
        </w:rPr>
        <w:t xml:space="preserve">This policy shall be reviewed annually by the Board Risk Committee. Internal audit shall conduct semi-annual audits covering adherence to hedge ratios, deal authorization, MTM accuracy, export realization, FEMA compliance, and Ind AS 109 hedge accounting documentation.</w:t>
      </w:r>
    </w:p>
    <w:p>
      <w:pPr>
        <w:pStyle w:val="Heading1"/>
      </w:pPr>
      <w:r>
        <w:t xml:space="preserve">12. Policy Approval</w:t>
      </w:r>
    </w:p>
    <w:p>
      <w:pPr>
        <w:spacing w:after="100"/>
      </w:pPr>
      <w:r>
        <w:rPr>
          <w:rFonts w:ascii="Arial" w:cs="Arial" w:eastAsia="Arial" w:hAnsi="Arial"/>
          <w:sz w:val="22"/>
          <w:szCs w:val="22"/>
        </w:rPr>
        <w:t xml:space="preserve">Approved by the Board of Directors on 25-March-2026 (Resolution No. BM/2026/TR-07).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Prepared by: M. Gupta, Treasury Head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Reviewed by: R. Sharma, VP-Treasury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Approved by: A. Patel, CFO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 Approval: Board of Directors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2026-04-14T07:01:33.836Z</dcterms:created>
  <dcterms:modified xsi:type="dcterms:W3CDTF">2026-04-14T07:01:33.837Z</dcterms:modified>
</cp:coreProperties>
</file>

<file path=docProps/custom.xml><?xml version="1.0" encoding="utf-8"?>
<Properties xmlns="http://schemas.openxmlformats.org/officeDocument/2006/custom-properties" xmlns:vt="http://schemas.openxmlformats.org/officeDocument/2006/docPropsVTypes"/>
</file>