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PI INDUSTRIES LIMITED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Risk Committee Meeting —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Meeting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28-March-2026 (Friday)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3:00 PM - 5:15 PM 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Venue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Conference Room 3, PI House, Udaipur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Meeting No.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RC/2025-26/Q4-03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Chairperson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S. K. Bansal, Independent Director (Risk Committee Chair)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Members Present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A. Patel (CFO), Mr. R. Sharma (VP-Treasury), Ms. P. Mehta (VP-Legal &amp; Compliance), Mr. V. Reddy (Head-Internal Audit)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Invitees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M. Gupta (Treasury Head), Ms. N. Joshi (Senior Treasury Analyst)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Minutes Recorded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Ms. N. Joshi</w:t>
            </w:r>
          </w:p>
        </w:tc>
      </w:tr>
    </w:tbl>
    <w:p>
      <w:pPr>
        <w:pStyle w:val="Heading1"/>
      </w:pPr>
      <w:r>
        <w:t xml:space="preserve">Agenda Item 1: Review of Q4 FY2025-26 Forex Exposure and Hedging Performance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Mr. M. Gupta presented the quarterly forex exposure and hedging report. Key highlights: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export receivable exposure as of 28-March-2026: USD 38.2 million and EUR 11.5 million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Current hedge ratio: USD — 68% (within policy band of 40-80% for 3-6M tenor); EUR — 62%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Weighted average forward rate on USD hedge book: 85.35 (vs current spot of 85.48)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Weighted average forward rate on EUR hedge book: 92.10 (vs current spot of 92.22)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MTM gain on hedge book as of date: INR 2.8 crore (net positive)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Realized forex gain in Q4 FY26: INR 4.2 crore (vs budget of INR 3.5 crore)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Committee noted the satisfactory performance and commended the treasury team for maintaining hedge ratios within the policy band throughout the quarter.</w:t>
      </w:r>
    </w:p>
    <w:p>
      <w:pPr>
        <w:pStyle w:val="Heading1"/>
      </w:pPr>
      <w:r>
        <w:t xml:space="preserve">Agenda Item 2: Market Outlook and Hedging Strategy for Q1 FY2026-27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Mr. R. Sharma presented the market outlook: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USD/INR expected range for Q1 FY27: 84.50 - 86.50 (base case)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 risk factors: US Fed rate trajectory (2 cuts expected by Sep-2026), crude oil volatility (currently at USD 82/bbl), India general election state results impact on FPI 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EUR/INR expected to track USD/INR with a slight weakening bias due to ECB rate cuts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Bloomberg consensus median for USD/INR 3M: 85.80; 6M: 86.20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Forward premiums currently at 1.75% annualized for 6M USD/INR — slightly below the 30-day average of 1.85%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Strategy recommendation by Treasury: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Increase the hedge ratio for 0-3M USD receivables to 75% (from current 68%), given the relatively attractive forward premiums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Maintain EUR hedge ratio at 60-65% for 3-6M tenor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Consider hedging 30% of 6-12M USD receivables at current levels given the favorable premium environment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 crude oil closely — if Brent crosses USD 90, reassess INR outlook and consider accelerating hedging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Committee approved the recommended strategy for Q1 FY27 with the following modifications: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Maximum hedge ratio for 0-3M should not exceed 80% without CFO approval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any single deal above USD 3 million, at least 3 bank quotes must be obtained (stricter than the policy requirement of 2 quotes above USD 1M)</w:t>
      </w:r>
    </w:p>
    <w:p>
      <w:pPr>
        <w:pStyle w:val="Heading1"/>
      </w:pPr>
      <w:r>
        <w:t xml:space="preserve">Agenda Item 3: Export Realization Compliance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Mr. M. Gupta presented the export realization compliance status: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outstanding receivables: 45 invoices across USD and EUR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Receivables approaching 240-day mark: 3 invoices totaling USD 1.85 million (customers: ADAMA Ltd — USD 720K, Rotam Agrochemical — USD 630K, Nufarm — USD 500K)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 invoice from Rotam Agrochemical (USD 450K, shipped 12-Aug-2025) has crossed 225 days — active follow-up underway with customer, expected realization by 15-April-2026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invoice has breached the 270-day deadline in the current financial year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Committee Decision: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Treasury to escalate the Rotam Agrochemical receivable to the Sales Head for direct customer intervention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Weekly status updates on all receivables beyond 200 days to be sent to CFO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Rotam receivable is not realized by 25-April-2026, initiate write-off application with AD bank as a precaution</w:t>
      </w:r>
    </w:p>
    <w:p>
      <w:pPr>
        <w:pStyle w:val="Heading1"/>
      </w:pPr>
      <w:r>
        <w:t xml:space="preserve">Agenda Item 4: RBI Regulatory Updates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Ms. P. Mehta briefed the Committee on recent RBI regulatory developments: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RBI Circular No. RBI/2025-26/148 dated 15-March-2026: Amended the Master Direction on Export of Goods and Services — clarified documentation requirements for advance payments received against export orders. No material impact on PI Industries operations.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RBI MPC meeting on 7-March-2026: Repo rate held steady at 6.25%, stance changed to 'neutral' from 'withdrawal of accommodation'. This is mildly positive for INR stability and may reduce forward premiums slightly.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Draft circular on liberalization of hedging rules for exporters expected in Q1 FY27 — Treasury to monitor and provide impact assessment when published.</w:t>
      </w:r>
    </w:p>
    <w:p>
      <w:pPr>
        <w:pStyle w:val="Heading1"/>
      </w:pPr>
      <w:r>
        <w:t xml:space="preserve">Agenda Item 5: Counterparty Bank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Treasury presented the bank counterparty allocation: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HDFC Bank: 24% of total hedge notional — within 30% limit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Citibank: 22% — consistently competitive on 6M and 12M tenors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SBI: 18% — best rates on shorter tenors (1M, 3M)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Others: 36% spread across ICICI, Axis, Deutsche, StanChart, Kotak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concentration limit breach. Committee approved continuation with current bank panel.</w:t>
      </w:r>
    </w:p>
    <w:p>
      <w:pPr>
        <w:pStyle w:val="Heading1"/>
      </w:pPr>
      <w:r>
        <w:t xml:space="preserve">Agenda Item 6: Action Items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4680"/>
        <w:gridCol w:w="2340"/>
        <w:gridCol w:w="1872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Increase USD 0-3M hedge ratio to 75%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M. Gupta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10-Apr-2026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Hedge 30% of 6-12M USD receivables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M. Gupta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15-Apr-2026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 Rotam receivable to Sales Head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R. Sharma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01-Apr-2026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overdue receivables update to CFO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N. Joshi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Friday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Obtain 3 quotes for deals above USD 3M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M. Gupta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RBI draft circular on hedging liberalization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P. Mehta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Prepare crude oil contingency hedging plan (if Brent &gt;$90)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M. Gupta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15-Apr-2026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Meeting concluded at 5:15 PM IST.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Minutes approved by: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Mr. S. K. Bansal, Chairperson — Risk Committee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Date: 02-April-2026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3A4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2026-04-14T07:03:21.830Z</dcterms:created>
  <dcterms:modified xsi:type="dcterms:W3CDTF">2026-04-14T07:03:21.831Z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