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10-11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rtl w:val="0"/>
        </w:rPr>
        <w:t xml:space="preserve">Mittre At&amp;ck / Re&amp;ct / D3fence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1. Вы – хакер находящийся в интернете, вам необходимо проникнуть внутрь инфраструктуры и скомпрометировать 2 цели. 1-ая компьютер глав буха компании 2-ая ноутбук системного администратора. Применяя матрицу Att&amp;ck.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</w:rPr>
        <w:drawing>
          <wp:inline distB="0" distT="0" distL="0" distR="0">
            <wp:extent cx="3430912" cy="32994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912" cy="329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Разработать план защиты и план реагирования на атаку, которую вы провели гипотетически в предыдущем задании. Используя матрицы D3fence и Re&amp;ct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276" w:lineRule="auto"/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p.s. У вас есть базы данных, AD DC, Cisco ASA, FTP / NFC servers, Wi-Fi routers, Web server ISS/ Nginx, внешние и внутренние ресурсы</w:t>
      </w:r>
    </w:p>
    <w:p w:rsidR="00000000" w:rsidDel="00000000" w:rsidP="00000000" w:rsidRDefault="00000000" w:rsidRPr="00000000" w14:paraId="0000000A">
      <w:pPr>
        <w:shd w:fill="ffffff" w:val="clear"/>
        <w:spacing w:after="160" w:line="276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Ссылки на дополнительные ресурсы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Mittre ATT&amp;CK Navigator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Mittre ATT&amp;CK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https://roadmap.sh/cyber-security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oadmap.sh/cyber-security" TargetMode="External"/><Relationship Id="rId9" Type="http://schemas.openxmlformats.org/officeDocument/2006/relationships/hyperlink" Target="https://attack.mitre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itre-attack.github.io/attack-navigat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