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Защита инфраструктуры приложений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часть 2 : honeypot, sandbox, DAC, MFA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Установить 2FA на linux (Google authenticator)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Прислать скрин о запросе кода авторизации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any.run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регистрируемся, тестим ссылки и файлы в sandbox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Dynamic Access Control в Windows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Настройка 2FA для SSH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55cc"/>
          <w:sz w:val="27"/>
          <w:szCs w:val="27"/>
          <w:highlight w:val="white"/>
          <w:u w:val="single"/>
          <w:rtl w:val="0"/>
        </w:rPr>
        <w:t xml:space="preserve">Configure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 2FA on Ubuntu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7"/>
          <w:szCs w:val="27"/>
          <w:highlight w:val="white"/>
          <w:u w:val="single"/>
          <w:rtl w:val="0"/>
        </w:rPr>
        <w:t xml:space="preserve"> (english)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ANY.RUN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7"/>
          <w:szCs w:val="27"/>
          <w:highlight w:val="white"/>
          <w:u w:val="single"/>
          <w:rtl w:val="0"/>
        </w:rPr>
        <w:t xml:space="preserve"> sandbox и анализ уязвимостей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Примеры различных Honeypots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Как повысить привилегии LotL attack and GFTObins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720" w:firstLine="0"/>
        <w:rPr>
          <w:rFonts w:ascii="Lato" w:cs="Lato" w:eastAsia="Lato" w:hAnsi="Lato"/>
          <w:color w:val="0a0a23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3"/>
          <w:szCs w:val="3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companies/bastion/articles/731172/" TargetMode="External"/><Relationship Id="rId10" Type="http://schemas.openxmlformats.org/officeDocument/2006/relationships/hyperlink" Target="https://any.run" TargetMode="External"/><Relationship Id="rId12" Type="http://schemas.openxmlformats.org/officeDocument/2006/relationships/hyperlink" Target="https://habr.com/ru/companies/oleg-bunin/articles/799773/" TargetMode="External"/><Relationship Id="rId9" Type="http://schemas.openxmlformats.org/officeDocument/2006/relationships/hyperlink" Target="https://www.linuxbabe.com/ubuntu/two-factor-authentication-ssh-key-ubunt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initpro.ru/index.php/2013/01/24/dynamic-access-control-v-windows-server-2012/" TargetMode="External"/><Relationship Id="rId8" Type="http://schemas.openxmlformats.org/officeDocument/2006/relationships/hyperlink" Target="https://dzen.ru/a/Yo052tNMkSmr3U9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