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Forensics, Incident response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part 2</w:t>
      </w:r>
    </w:p>
    <w:p w:rsidR="00000000" w:rsidDel="00000000" w:rsidP="00000000" w:rsidRDefault="00000000" w:rsidRPr="00000000" w14:paraId="00000006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Изучить основные виды HTTP methods and requests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Установить volatility на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Установить набор программных инструментов для криминалистического анализа данных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Volatility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Установить avml либо Lime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Снять дамп ram (оперативной памяти) linux с помощью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AVML</w:t>
        </w:r>
      </w:hyperlink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Узнать точно профиль вашей linux системы uname -a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 помощью набора инструментов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Volatility передав точный imageinfo</w:t>
        </w:r>
      </w:hyperlink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 (профиль из которого вы сняли дамп) открыть дамп оперативной памяти, скрин вывода прикрепить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Georgia" w:cs="Georgia" w:eastAsia="Georgia" w:hAnsi="Georgia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 methods, headers, 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ELK подробный обзор 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Volatility 3: The volatile memory extraction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AVML утилита для снятия дампа оперативной памяти 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Georgia" w:cs="Georgia" w:eastAsia="Georgia" w:hAnsi="Georgia"/>
          <w:b w:val="1"/>
          <w:color w:val="1155cc"/>
          <w:sz w:val="28"/>
          <w:szCs w:val="28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Примеры работы с VOLATILITY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jc w:val="center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yjTFmLY2T4" TargetMode="External"/><Relationship Id="rId10" Type="http://schemas.openxmlformats.org/officeDocument/2006/relationships/hyperlink" Target="https://developer.mozilla.org/en-US/docs/Web/HTTP/Methods" TargetMode="External"/><Relationship Id="rId13" Type="http://schemas.openxmlformats.org/officeDocument/2006/relationships/hyperlink" Target="https://github.com/microsoft/avml" TargetMode="External"/><Relationship Id="rId12" Type="http://schemas.openxmlformats.org/officeDocument/2006/relationships/hyperlink" Target="https://github.com/volatilityfoundation/volatility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7u6HVrae1R4fCCs1SNAGryjy5tmJCPDKq2Hyhqd9Fo/edit?usp=sharing" TargetMode="External"/><Relationship Id="rId14" Type="http://schemas.openxmlformats.org/officeDocument/2006/relationships/hyperlink" Target="https://docs.google.com/document/d/1v7u6HVrae1R4fCCs1SNAGryjy5tmJCPDKq2Hyhqd9F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volatilityfoundation/volatility3" TargetMode="External"/><Relationship Id="rId8" Type="http://schemas.openxmlformats.org/officeDocument/2006/relationships/hyperlink" Target="https://github.com/microsoft/av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