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Xa3a2a6b3ff20ce4963118ba93077f3e9040d804"/>
    <w:p>
      <w:pPr>
        <w:pStyle w:val="Heading1"/>
      </w:pPr>
      <w:r>
        <w:t xml:space="preserve">Describe Your Solution — form field answers</w:t>
      </w:r>
    </w:p>
    <w:p>
      <w:pPr>
        <w:pStyle w:val="FirstParagraph"/>
      </w:pPr>
      <w:r>
        <w:t xml:space="preserve">Paste each block into the matching field in the Security Review submission form.</w:t>
      </w:r>
      <w:r>
        <w:t xml:space="preserve"> </w:t>
      </w:r>
      <w:r>
        <w:t xml:space="preserve">Anything in</w:t>
      </w:r>
      <w:r>
        <w:t xml:space="preserve"> </w:t>
      </w:r>
      <w:r>
        <w:rPr>
          <w:rStyle w:val="VerbatimChar"/>
        </w:rPr>
        <w:t xml:space="preserve">[SQUARE BRACKETS]</w:t>
      </w:r>
      <w:r>
        <w:t xml:space="preserve"> </w:t>
      </w:r>
      <w:r>
        <w:t xml:space="preserve">must be replaced before submitting.</w:t>
      </w:r>
    </w:p>
    <w:p>
      <w:r>
        <w:pict>
          <v:rect style="width:0;height:1.5pt" o:hralign="center" o:hrstd="t" o:hr="t"/>
        </w:pict>
      </w:r>
    </w:p>
    <w:bookmarkStart w:id="20" w:name="Xb5302cf47383e8d053f7435f3f273af2be4e8e6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Provide a detailed technical description of your solution and related components.</w:t>
      </w:r>
      <w:r>
        <w:t xml:space="preserve">”</w:t>
      </w:r>
    </w:p>
    <w:p>
      <w:pPr>
        <w:pStyle w:val="FirstParagraph"/>
      </w:pPr>
      <w:r>
        <w:t xml:space="preserve">Who Sees What is a read-only administrative tool that answers a single question for</w:t>
      </w:r>
      <w:r>
        <w:t xml:space="preserve"> </w:t>
      </w:r>
      <w:r>
        <w:t xml:space="preserve">a Salesforce System Administrator: what can a given user see and do, and what</w:t>
      </w:r>
      <w:r>
        <w:t xml:space="preserve"> </w:t>
      </w:r>
      <w:r>
        <w:t xml:space="preserve">granted it.</w:t>
      </w:r>
    </w:p>
    <w:p>
      <w:pPr>
        <w:pStyle w:val="BodyText"/>
      </w:pPr>
      <w:r>
        <w:t xml:space="preserve">An admin selects a user, then drills from apps to objects to fields. For each</w:t>
      </w:r>
      <w:r>
        <w:t xml:space="preserve"> </w:t>
      </w:r>
      <w:r>
        <w:t xml:space="preserve">object the tool reports create, read, update, delete, view-all and modify-all. For</w:t>
      </w:r>
      <w:r>
        <w:t xml:space="preserve"> </w:t>
      </w:r>
      <w:r>
        <w:t xml:space="preserve">each field it reports readable and editable. Every grant is traced back to the</w:t>
      </w:r>
      <w:r>
        <w:t xml:space="preserve"> </w:t>
      </w:r>
      <w:r>
        <w:t xml:space="preserve">permission set, permission set group, or profile that produced it.</w:t>
      </w:r>
    </w:p>
    <w:p>
      <w:pPr>
        <w:pStyle w:val="BodyText"/>
      </w:pPr>
      <w:r>
        <w:t xml:space="preserve">The package is 100% native Salesforce Platform. It consists of:</w:t>
      </w:r>
    </w:p>
    <w:p>
      <w:pPr>
        <w:numPr>
          <w:ilvl w:val="0"/>
          <w:numId w:val="1001"/>
        </w:numPr>
        <w:pStyle w:val="Compact"/>
      </w:pPr>
      <w:r>
        <w:t xml:space="preserve">16 Apex classes plus 6 Apex test classes, all declared</w:t>
      </w:r>
      <w:r>
        <w:t xml:space="preserve"> </w:t>
      </w:r>
      <w:r>
        <w:rPr>
          <w:rStyle w:val="VerbatimChar"/>
        </w:rPr>
        <w:t xml:space="preserve">with sharing</w:t>
      </w:r>
    </w:p>
    <w:p>
      <w:pPr>
        <w:numPr>
          <w:ilvl w:val="0"/>
          <w:numId w:val="1001"/>
        </w:numPr>
        <w:pStyle w:val="Compact"/>
      </w:pPr>
      <w:r>
        <w:t xml:space="preserve">22 Lightning Web Component bundles</w:t>
      </w:r>
    </w:p>
    <w:p>
      <w:pPr>
        <w:numPr>
          <w:ilvl w:val="0"/>
          <w:numId w:val="1001"/>
        </w:numPr>
        <w:pStyle w:val="Compact"/>
      </w:pPr>
      <w:r>
        <w:t xml:space="preserve">1 custom object,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, with 5 custom fields</w:t>
      </w:r>
    </w:p>
    <w:p>
      <w:pPr>
        <w:numPr>
          <w:ilvl w:val="0"/>
          <w:numId w:val="1001"/>
        </w:numPr>
        <w:pStyle w:val="Compact"/>
      </w:pPr>
      <w:r>
        <w:t xml:space="preserve">1 custom permission,</w:t>
      </w:r>
      <w:r>
        <w:t xml:space="preserve"> </w:t>
      </w:r>
      <w:r>
        <w:rPr>
          <w:rStyle w:val="VerbatimChar"/>
        </w:rPr>
        <w:t xml:space="preserve">Use_Permission_Explorer</w:t>
      </w:r>
    </w:p>
    <w:p>
      <w:pPr>
        <w:numPr>
          <w:ilvl w:val="0"/>
          <w:numId w:val="1001"/>
        </w:numPr>
        <w:pStyle w:val="Compact"/>
      </w:pPr>
      <w:r>
        <w:t xml:space="preserve">1 permission set,</w:t>
      </w:r>
      <w:r>
        <w:t xml:space="preserve"> </w:t>
      </w:r>
      <w:r>
        <w:rPr>
          <w:rStyle w:val="VerbatimChar"/>
        </w:rPr>
        <w:t xml:space="preserve">PermissionCheckerPermissionSet</w:t>
      </w:r>
    </w:p>
    <w:p>
      <w:pPr>
        <w:numPr>
          <w:ilvl w:val="0"/>
          <w:numId w:val="1001"/>
        </w:numPr>
        <w:pStyle w:val="Compact"/>
      </w:pPr>
      <w:r>
        <w:t xml:space="preserve">1 Lightning Component tab and 1 Lightning app</w:t>
      </w:r>
    </w:p>
    <w:p>
      <w:pPr>
        <w:numPr>
          <w:ilvl w:val="0"/>
          <w:numId w:val="1001"/>
        </w:numPr>
        <w:pStyle w:val="Compact"/>
      </w:pPr>
      <w:r>
        <w:t xml:space="preserve">1 Platform Cache partition,</w:t>
      </w:r>
      <w:r>
        <w:t xml:space="preserve"> </w:t>
      </w:r>
      <w:r>
        <w:rPr>
          <w:rStyle w:val="VerbatimChar"/>
        </w:rPr>
        <w:t xml:space="preserve">PermissionExplorer</w:t>
      </w:r>
    </w:p>
    <w:p>
      <w:pPr>
        <w:pStyle w:val="FirstParagraph"/>
      </w:pPr>
      <w:r>
        <w:t xml:space="preserve">Second-generation managed package under namespace</w:t>
      </w:r>
      <w:r>
        <w:t xml:space="preserve"> </w:t>
      </w:r>
      <w:r>
        <w:rPr>
          <w:rStyle w:val="VerbatimChar"/>
        </w:rPr>
        <w:t xml:space="preserve">twinforce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Authorisation.</w:t>
      </w:r>
      <w:r>
        <w:t xml:space="preserve"> </w:t>
      </w:r>
      <w:r>
        <w:t xml:space="preserve">Every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entry point on</w:t>
      </w:r>
      <w:r>
        <w:t xml:space="preserve"> </w:t>
      </w:r>
      <w:r>
        <w:rPr>
          <w:rStyle w:val="VerbatimChar"/>
        </w:rPr>
        <w:t xml:space="preserve">PermissionExplorerController</w:t>
      </w:r>
      <w:r>
        <w:t xml:space="preserve"> </w:t>
      </w:r>
      <w:r>
        <w:t xml:space="preserve">begins by calling</w:t>
      </w:r>
      <w:r>
        <w:t xml:space="preserve"> </w:t>
      </w:r>
      <w:r>
        <w:rPr>
          <w:rStyle w:val="VerbatimChar"/>
        </w:rPr>
        <w:t xml:space="preserve">PEAccessGate.assertAuthorised()</w:t>
      </w:r>
      <w:r>
        <w:t xml:space="preserve">,</w:t>
      </w:r>
      <w:r>
        <w:t xml:space="preserve"> </w:t>
      </w:r>
      <w:r>
        <w:t xml:space="preserve">which requires the packaged custom permission</w:t>
      </w:r>
      <w:r>
        <w:t xml:space="preserve"> </w:t>
      </w:r>
      <w:r>
        <w:rPr>
          <w:rStyle w:val="VerbatimChar"/>
        </w:rPr>
        <w:t xml:space="preserve">Use_Permission_Explorer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FeatureManagement.checkPermission</w:t>
      </w:r>
      <w:r>
        <w:t xml:space="preserve">. Without that permission every entry point</w:t>
      </w:r>
      <w:r>
        <w:t xml:space="preserve"> </w:t>
      </w:r>
      <w:r>
        <w:t xml:space="preserve">throws before any query executes. This is asserted by</w:t>
      </w:r>
      <w:r>
        <w:t xml:space="preserve"> </w:t>
      </w:r>
      <w:r>
        <w:rPr>
          <w:rStyle w:val="VerbatimChar"/>
        </w:rPr>
        <w:t xml:space="preserve">PermissionExplorerControllerTest.unauthorisedCallerIsRejectedByEveryEntryPoint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PEUserDetailServiceTest.unauthorisedUserIsRejectedBeforeAnyQuery</w:t>
      </w:r>
      <w:r>
        <w:t xml:space="preserve">. The custom</w:t>
      </w:r>
      <w:r>
        <w:t xml:space="preserve"> </w:t>
      </w:r>
      <w:r>
        <w:t xml:space="preserve">permission is granted only by the packaged permission set, which the subscriber’s</w:t>
      </w:r>
      <w:r>
        <w:t xml:space="preserve"> </w:t>
      </w:r>
      <w:r>
        <w:t xml:space="preserve">administrator must assign deliberately; the package does not auto-assign it.</w:t>
      </w:r>
    </w:p>
    <w:p>
      <w:pPr>
        <w:pStyle w:val="BodyText"/>
      </w:pPr>
      <w:r>
        <w:rPr>
          <w:bCs/>
          <w:b/>
        </w:rPr>
        <w:t xml:space="preserve">Enforcement.</w:t>
      </w:r>
      <w:r>
        <w:t xml:space="preserve"> </w:t>
      </w:r>
      <w:r>
        <w:t xml:space="preserve">All classes are</w:t>
      </w:r>
      <w:r>
        <w:t xml:space="preserve"> </w:t>
      </w:r>
      <w:r>
        <w:rPr>
          <w:rStyle w:val="VerbatimChar"/>
        </w:rPr>
        <w:t xml:space="preserve">with sharing</w:t>
      </w:r>
      <w:r>
        <w:t xml:space="preserve">. All SOQL executes in user mode —</w:t>
      </w:r>
      <w:r>
        <w:t xml:space="preserve"> </w:t>
      </w:r>
      <w:r>
        <w:t xml:space="preserve">either</w:t>
      </w:r>
      <w:r>
        <w:t xml:space="preserve"> </w:t>
      </w:r>
      <w:r>
        <w:rPr>
          <w:rStyle w:val="VerbatimChar"/>
        </w:rPr>
        <w:t xml:space="preserve">WITH USER_MODE</w:t>
      </w:r>
      <w:r>
        <w:t xml:space="preserve"> </w:t>
      </w:r>
      <w:r>
        <w:t xml:space="preserve">on inline queries or</w:t>
      </w:r>
      <w:r>
        <w:t xml:space="preserve"> </w:t>
      </w:r>
      <w:r>
        <w:rPr>
          <w:rStyle w:val="VerbatimChar"/>
        </w:rPr>
        <w:t xml:space="preserve">Database.queryWithBinds(soql, binds, AccessLevel.USER_MODE)</w:t>
      </w:r>
      <w:r>
        <w:t xml:space="preserve"> </w:t>
      </w:r>
      <w:r>
        <w:t xml:space="preserve">for the one</w:t>
      </w:r>
      <w:r>
        <w:t xml:space="preserve"> </w:t>
      </w:r>
      <w:r>
        <w:t xml:space="preserve">dynamically-assembled query — so object and field permissions are enforced for the</w:t>
      </w:r>
      <w:r>
        <w:t xml:space="preserve"> </w:t>
      </w:r>
      <w:r>
        <w:t xml:space="preserve">running user by the platform, not by our code.</w:t>
      </w:r>
    </w:p>
    <w:p>
      <w:pPr>
        <w:pStyle w:val="BodyText"/>
      </w:pPr>
      <w:r>
        <w:rPr>
          <w:bCs/>
          <w:b/>
        </w:rPr>
        <w:t xml:space="preserve">Objects read.</w:t>
      </w:r>
      <w:r>
        <w:t xml:space="preserve"> </w:t>
      </w:r>
      <w:r>
        <w:t xml:space="preserve">The tool reads only permission metadata and user records. It</w:t>
      </w:r>
      <w:r>
        <w:t xml:space="preserve"> </w:t>
      </w:r>
      <w:r>
        <w:t xml:space="preserve">writes only to its own audit object. Objects queried:</w:t>
      </w:r>
    </w:p>
    <w:p>
      <w:pPr>
        <w:pStyle w:val="BodyText"/>
      </w:pPr>
      <w:r>
        <w:rPr>
          <w:rStyle w:val="VerbatimChar"/>
        </w:rPr>
        <w:t xml:space="preserve">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UserLogin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UserRole</w:t>
      </w:r>
      <w:r>
        <w:t xml:space="preserve">,</w:t>
      </w:r>
      <w:r>
        <w:t xml:space="preserve"> </w:t>
      </w:r>
      <w:r>
        <w:rPr>
          <w:rStyle w:val="VerbatimChar"/>
        </w:rPr>
        <w:t xml:space="preserve">Profile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PermissionSetAssignment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PermissionSetGroup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PermissionSetGroupComponent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PermissionSetTabSetting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ObjectPermissions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FieldPermissions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AppMenuItem</w:t>
      </w:r>
      <w:r>
        <w:t xml:space="preserve">,</w:t>
      </w:r>
      <w:r>
        <w:t xml:space="preserve"> </w:t>
      </w:r>
      <w:r>
        <w:rPr>
          <w:rStyle w:val="VerbatimChar"/>
        </w:rPr>
        <w:t xml:space="preserve">TabDefinition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EntityDefinition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Auditing.</w:t>
      </w:r>
      <w:r>
        <w:t xml:space="preserve"> </w:t>
      </w:r>
      <w:r>
        <w:t xml:space="preserve">Every inspection writes a row to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 </w:t>
      </w:r>
      <w:r>
        <w:t xml:space="preserve">recording the</w:t>
      </w:r>
      <w:r>
        <w:t xml:space="preserve"> </w:t>
      </w:r>
      <w:r>
        <w:t xml:space="preserve">inspecting user, the inspected user, the action, and a UTC timestamp. The packaged</w:t>
      </w:r>
      <w:r>
        <w:t xml:space="preserve"> </w:t>
      </w:r>
      <w:r>
        <w:t xml:space="preserve">permission set grants Read and Create on that object and explicitly withholds Edit</w:t>
      </w:r>
      <w:r>
        <w:t xml:space="preserve"> </w:t>
      </w:r>
      <w:r>
        <w:t xml:space="preserve">and Delete, so holders can read the log but cannot alter or remove entries.</w:t>
      </w:r>
    </w:p>
    <w:p>
      <w:pPr>
        <w:pStyle w:val="BodyText"/>
      </w:pPr>
      <w:r>
        <w:rPr>
          <w:bCs/>
          <w:b/>
        </w:rPr>
        <w:t xml:space="preserve">Deliberate limitations, disclosed in the UI.</w:t>
      </w:r>
      <w:r>
        <w:t xml:space="preserve"> </w:t>
      </w:r>
      <w:r>
        <w:t xml:space="preserve">Per-user record type visibility and</w:t>
      </w:r>
      <w:r>
        <w:t xml:space="preserve"> </w:t>
      </w:r>
      <w:r>
        <w:t xml:space="preserve">per-permission-set app assignment exist only inside Profile and PermissionSet</w:t>
      </w:r>
      <w:r>
        <w:t xml:space="preserve"> </w:t>
      </w:r>
      <w:r>
        <w:t xml:space="preserve">metadata XML, which is reachable only via the Metadata or Tooling API — that is, via</w:t>
      </w:r>
      <w:r>
        <w:t xml:space="preserve"> </w:t>
      </w:r>
      <w:r>
        <w:t xml:space="preserve">a callout. This package makes no callouts, so those two areas are reported as</w:t>
      </w:r>
      <w:r>
        <w:t xml:space="preserve"> </w:t>
      </w:r>
      <w:r>
        <w:t xml:space="preserve">“</w:t>
      </w:r>
      <w:r>
        <w:t xml:space="preserve">not</w:t>
      </w:r>
      <w:r>
        <w:t xml:space="preserve"> </w:t>
      </w:r>
      <w:r>
        <w:t xml:space="preserve">analysed</w:t>
      </w:r>
      <w:r>
        <w:t xml:space="preserve">”</w:t>
      </w:r>
      <w:r>
        <w:t xml:space="preserve"> </w:t>
      </w:r>
      <w:r>
        <w:t xml:space="preserve">in the interface rather than guessed at. Login history requires the</w:t>
      </w:r>
      <w:r>
        <w:t xml:space="preserve"> </w:t>
      </w:r>
      <w:r>
        <w:t xml:space="preserve">“</w:t>
      </w:r>
      <w:r>
        <w:t xml:space="preserve">Manage Users</w:t>
      </w:r>
      <w:r>
        <w:t xml:space="preserve">”</w:t>
      </w:r>
      <w:r>
        <w:t xml:space="preserve"> </w:t>
      </w:r>
      <w:r>
        <w:t xml:space="preserve">permission, which the package does not grant; where the running admin</w:t>
      </w:r>
      <w:r>
        <w:t xml:space="preserve"> </w:t>
      </w:r>
      <w:r>
        <w:t xml:space="preserve">lacks it the panel states that instead of showing an empty list.</w:t>
      </w:r>
    </w:p>
    <w:p>
      <w:pPr>
        <w:pStyle w:val="BodyText"/>
      </w:pPr>
      <w:r>
        <w:rPr>
          <w:bCs/>
          <w:b/>
        </w:rPr>
        <w:t xml:space="preserve">Dynamic SOQL.</w:t>
      </w:r>
      <w:r>
        <w:t xml:space="preserve"> </w:t>
      </w:r>
      <w:r>
        <w:t xml:space="preserve">One query is assembled at runtime, in</w:t>
      </w:r>
      <w:r>
        <w:t xml:space="preserve"> </w:t>
      </w:r>
      <w:r>
        <w:rPr>
          <w:rStyle w:val="VerbatimChar"/>
        </w:rPr>
        <w:t xml:space="preserve">PEUserSearchService.search</w:t>
      </w:r>
      <w:r>
        <w:t xml:space="preserve">, to apply optional filters. It is built exclusively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private static final</w:t>
      </w:r>
      <w:r>
        <w:t xml:space="preserve"> </w:t>
      </w:r>
      <w:r>
        <w:t xml:space="preserve">string constants; no user-supplied value is ever</w:t>
      </w:r>
      <w:r>
        <w:t xml:space="preserve"> </w:t>
      </w:r>
      <w:r>
        <w:t xml:space="preserve">concatenated into the string. All values are passed through a named bind map to</w:t>
      </w:r>
      <w:r>
        <w:t xml:space="preserve"> </w:t>
      </w:r>
      <w:r>
        <w:rPr>
          <w:rStyle w:val="VerbatimChar"/>
        </w:rPr>
        <w:t xml:space="preserve">Database.queryWithBinds</w:t>
      </w:r>
      <w:r>
        <w:t xml:space="preserve">. The only varying identifier is the sort column, which is</w:t>
      </w:r>
      <w:r>
        <w:t xml:space="preserve"> </w:t>
      </w:r>
      <w:r>
        <w:t xml:space="preserve">validated against an allowlist (</w:t>
      </w:r>
      <w:r>
        <w:rPr>
          <w:rStyle w:val="VerbatimChar"/>
        </w:rPr>
        <w:t xml:space="preserve">PEKeysetCursor.isAllowedSort</w:t>
      </w:r>
      <w:r>
        <w:t xml:space="preserve">) and then applied by</w:t>
      </w:r>
      <w:r>
        <w:t xml:space="preserve"> </w:t>
      </w:r>
      <w:r>
        <w:t xml:space="preserve">selecting between two constant</w:t>
      </w:r>
      <w:r>
        <w:t xml:space="preserve"> </w:t>
      </w:r>
      <w:r>
        <w:rPr>
          <w:rStyle w:val="VerbatimChar"/>
        </w:rPr>
        <w:t xml:space="preserve">ORDER BY</w:t>
      </w:r>
      <w:r>
        <w:t xml:space="preserve"> </w:t>
      </w:r>
      <w:r>
        <w:t xml:space="preserve">fragments rather than by interpolation.</w:t>
      </w:r>
      <w:r>
        <w:t xml:space="preserve"> </w:t>
      </w:r>
      <w:r>
        <w:t xml:space="preserve">Tests</w:t>
      </w:r>
      <w:r>
        <w:t xml:space="preserve"> </w:t>
      </w:r>
      <w:r>
        <w:rPr>
          <w:rStyle w:val="VerbatimChar"/>
        </w:rPr>
        <w:t xml:space="preserve">PEUserSearchServiceTest.quoteInTermIsBoundNotInterpolated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PermissionExplorerTest.disallowedSortFieldIsRejected</w:t>
      </w:r>
      <w:r>
        <w:t xml:space="preserve"> </w:t>
      </w:r>
      <w:r>
        <w:t xml:space="preserve">assert this.</w:t>
      </w:r>
    </w:p>
    <w:p>
      <w:pPr>
        <w:pStyle w:val="BodyText"/>
      </w:pPr>
      <w:r>
        <w:t xml:space="preserve">Test suite: 101 Apex tests, 100% passing. Package code coverage 88%.</w:t>
      </w:r>
    </w:p>
    <w:p>
      <w:r>
        <w:pict>
          <v:rect style="width:0;height:1.5pt" o:hralign="center" o:hrstd="t" o:hr="t"/>
        </w:pict>
      </w:r>
    </w:p>
    <w:bookmarkEnd w:id="20"/>
    <w:bookmarkStart w:id="21" w:name="X508fe971bbeb51e11964661a6d5d973a49db060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includes or requires a web app or service, list the frameworks and languages that it uses.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 the toggle to DISABLED.</w:t>
      </w:r>
    </w:p>
    <w:p>
      <w:pPr>
        <w:pStyle w:val="BodyText"/>
      </w:pPr>
      <w:r>
        <w:t xml:space="preserve">If the field must be completed: The package does not include or require any web</w:t>
      </w:r>
      <w:r>
        <w:t xml:space="preserve"> </w:t>
      </w:r>
      <w:r>
        <w:t xml:space="preserve">application or web service. All logic is Apex and Lightning Web Components</w:t>
      </w:r>
      <w:r>
        <w:t xml:space="preserve"> </w:t>
      </w:r>
      <w:r>
        <w:t xml:space="preserve">executing on the Salesforce Platform.</w:t>
      </w:r>
    </w:p>
    <w:p>
      <w:r>
        <w:pict>
          <v:rect style="width:0;height:1.5pt" o:hralign="center" o:hrstd="t" o:hr="t"/>
        </w:pict>
      </w:r>
    </w:p>
    <w:bookmarkEnd w:id="21"/>
    <w:bookmarkStart w:id="22" w:name="Xd48c44548db4b592914e5fd33e805438bb2222e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uses any platforms other than Salesforce Platform, list them and describe how they’re used.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 the toggle to DISABLED.</w:t>
      </w:r>
    </w:p>
    <w:p>
      <w:pPr>
        <w:pStyle w:val="BodyText"/>
      </w:pPr>
      <w:r>
        <w:t xml:space="preserve">If the field must be completed: No platforms other than the Salesforce Platform are</w:t>
      </w:r>
      <w:r>
        <w:t xml:space="preserve"> </w:t>
      </w:r>
      <w:r>
        <w:t xml:space="preserve">used. There are no Heroku, Marketing Cloud, or external hosting components.</w:t>
      </w:r>
    </w:p>
    <w:p>
      <w:r>
        <w:pict>
          <v:rect style="width:0;height:1.5pt" o:hralign="center" o:hrstd="t" o:hr="t"/>
        </w:pict>
      </w:r>
    </w:p>
    <w:bookmarkEnd w:id="22"/>
    <w:bookmarkStart w:id="23" w:name="X791b981deeccafb8fba361e1499fbe1b9ca21d2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integrates with technology outside the Salesforce Platform, provide details.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 the toggle to DISABLED.</w:t>
      </w:r>
    </w:p>
    <w:p>
      <w:pPr>
        <w:pStyle w:val="BodyText"/>
      </w:pPr>
      <w:r>
        <w:t xml:space="preserve">If the field must be completed: The package performs no integrations outside the</w:t>
      </w:r>
      <w:r>
        <w:t xml:space="preserve"> </w:t>
      </w:r>
      <w:r>
        <w:t xml:space="preserve">Salesforce Platform. It contains no HTTP callouts, no Named Credentials, no External</w:t>
      </w:r>
      <w:r>
        <w:t xml:space="preserve"> </w:t>
      </w:r>
      <w:r>
        <w:t xml:space="preserve">Credentials, and no Remote Site Settings. This can be verified by searching the</w:t>
      </w:r>
      <w:r>
        <w:t xml:space="preserve"> </w:t>
      </w:r>
      <w:r>
        <w:t xml:space="preserve">package source for</w:t>
      </w:r>
      <w:r>
        <w:t xml:space="preserve"> </w:t>
      </w:r>
      <w:r>
        <w:rPr>
          <w:rStyle w:val="VerbatimChar"/>
        </w:rPr>
        <w:t xml:space="preserve">HttpRequest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 Http()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callout:</w:t>
      </w:r>
      <w:r>
        <w:t xml:space="preserve"> </w:t>
      </w:r>
      <w:r>
        <w:t xml:space="preserve">— all return zero</w:t>
      </w:r>
      <w:r>
        <w:t xml:space="preserve"> </w:t>
      </w:r>
      <w:r>
        <w:t xml:space="preserve">matches.</w:t>
      </w:r>
    </w:p>
    <w:p>
      <w:r>
        <w:pict>
          <v:rect style="width:0;height:1.5pt" o:hralign="center" o:hrstd="t" o:hr="t"/>
        </w:pict>
      </w:r>
    </w:p>
    <w:bookmarkEnd w:id="23"/>
    <w:bookmarkStart w:id="24" w:name="Xa65d5c19a1613cf126034b6e9a7085c1413584f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contains Salesforce Platform technology, such as Lightning Components and Apex, provide details.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Toggle ENABLED.</w:t>
      </w:r>
    </w:p>
    <w:p>
      <w:pPr>
        <w:pStyle w:val="BodyText"/>
      </w:pPr>
      <w:r>
        <w:t xml:space="preserve">Apex: 16 classes plus 6 test classes, all</w:t>
      </w:r>
      <w:r>
        <w:t xml:space="preserve"> </w:t>
      </w:r>
      <w:r>
        <w:rPr>
          <w:rStyle w:val="VerbatimChar"/>
        </w:rPr>
        <w:t xml:space="preserve">public with sharing</w:t>
      </w:r>
      <w:r>
        <w:t xml:space="preserve">. Entry points are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methods on</w:t>
      </w:r>
      <w:r>
        <w:t xml:space="preserve"> </w:t>
      </w:r>
      <w:r>
        <w:rPr>
          <w:rStyle w:val="VerbatimChar"/>
        </w:rPr>
        <w:t xml:space="preserve">PermissionExplorerController</w:t>
      </w:r>
      <w:r>
        <w:t xml:space="preserve"> </w:t>
      </w:r>
      <w:r>
        <w:t xml:space="preserve">(</w:t>
      </w:r>
      <w:r>
        <w:rPr>
          <w:rStyle w:val="VerbatimChar"/>
        </w:rPr>
        <w:t xml:space="preserve">searchUsers</w:t>
      </w:r>
      <w:r>
        <w:t xml:space="preserve">,</w:t>
      </w:r>
      <w:r>
        <w:t xml:space="preserve"> </w:t>
      </w:r>
      <w:r>
        <w:rPr>
          <w:rStyle w:val="VerbatimChar"/>
        </w:rPr>
        <w:t xml:space="preserve">resolveUser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getAppObjects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getObjectDetail</w:t>
      </w:r>
      <w:r>
        <w:t xml:space="preserve">,</w:t>
      </w:r>
      <w:r>
        <w:t xml:space="preserve"> </w:t>
      </w:r>
      <w:r>
        <w:rPr>
          <w:rStyle w:val="VerbatimChar"/>
        </w:rPr>
        <w:t xml:space="preserve">getFilterOptions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getLoginHistory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getAssignedPermissionSets</w:t>
      </w:r>
      <w:r>
        <w:t xml:space="preserve">,</w:t>
      </w:r>
      <w:r>
        <w:t xml:space="preserve"> </w:t>
      </w:r>
      <w:r>
        <w:rPr>
          <w:rStyle w:val="VerbatimChar"/>
        </w:rPr>
        <w:t xml:space="preserve">getAssignedPermissionSetGroups</w:t>
      </w:r>
      <w:r>
        <w:t xml:space="preserve">,</w:t>
      </w:r>
      <w:r>
        <w:t xml:space="preserve"> </w:t>
      </w:r>
      <w:r>
        <w:rPr>
          <w:rStyle w:val="VerbatimChar"/>
        </w:rPr>
        <w:t xml:space="preserve">refreshCache</w:t>
      </w:r>
      <w:r>
        <w:t xml:space="preserve">). Every one calls</w:t>
      </w:r>
      <w:r>
        <w:t xml:space="preserve"> </w:t>
      </w:r>
      <w:r>
        <w:rPr>
          <w:rStyle w:val="VerbatimChar"/>
        </w:rPr>
        <w:t xml:space="preserve">PEAccessGate.assertAuthorised()</w:t>
      </w:r>
      <w:r>
        <w:t xml:space="preserve"> </w:t>
      </w:r>
      <w:r>
        <w:t xml:space="preserve">first. All SOQL runs in user mode via</w:t>
      </w:r>
      <w:r>
        <w:t xml:space="preserve"> </w:t>
      </w:r>
      <w:r>
        <w:rPr>
          <w:rStyle w:val="VerbatimChar"/>
        </w:rPr>
        <w:t xml:space="preserve">WITH USER_MODE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AccessLevel.USER_MODE</w:t>
      </w:r>
      <w:r>
        <w:t xml:space="preserve">.</w:t>
      </w:r>
    </w:p>
    <w:p>
      <w:pPr>
        <w:pStyle w:val="BodyText"/>
      </w:pPr>
      <w:r>
        <w:t xml:space="preserve">Lightning Web Components: 22 bundles.</w:t>
      </w:r>
      <w:r>
        <w:t xml:space="preserve"> </w:t>
      </w:r>
      <w:r>
        <w:rPr>
          <w:rStyle w:val="VerbatimChar"/>
        </w:rPr>
        <w:t xml:space="preserve">permissionExplorer</w:t>
      </w:r>
      <w:r>
        <w:t xml:space="preserve"> </w:t>
      </w:r>
      <w:r>
        <w:t xml:space="preserve">is the top-level</w:t>
      </w:r>
      <w:r>
        <w:t xml:space="preserve"> </w:t>
      </w:r>
      <w:r>
        <w:t xml:space="preserve">component, exposed as a Lightning Component tab. All others are internal children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isExposed</w:t>
      </w:r>
      <w:r>
        <w:t xml:space="preserve"> </w:t>
      </w:r>
      <w:r>
        <w:t xml:space="preserve">false. Components hold no credentials and make no network calls of</w:t>
      </w:r>
      <w:r>
        <w:t xml:space="preserve"> </w:t>
      </w:r>
      <w:r>
        <w:t xml:space="preserve">their own; all server communication is through the</w:t>
      </w:r>
      <w:r>
        <w:t xml:space="preserve"> </w:t>
      </w:r>
      <w:r>
        <w:rPr>
          <w:rStyle w:val="VerbatimChar"/>
        </w:rPr>
        <w:t xml:space="preserve">@AuraEnabled</w:t>
      </w:r>
      <w:r>
        <w:t xml:space="preserve"> </w:t>
      </w:r>
      <w:r>
        <w:t xml:space="preserve">Apex methods</w:t>
      </w:r>
      <w:r>
        <w:t xml:space="preserve"> </w:t>
      </w:r>
      <w:r>
        <w:t xml:space="preserve">listed above.</w:t>
      </w:r>
    </w:p>
    <w:p>
      <w:pPr>
        <w:pStyle w:val="BodyText"/>
      </w:pPr>
      <w:r>
        <w:t xml:space="preserve">Custom object: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 </w:t>
      </w:r>
      <w:r>
        <w:t xml:space="preserve">— append-only audit trail, five fields</w:t>
      </w:r>
      <w:r>
        <w:t xml:space="preserve"> </w:t>
      </w:r>
      <w:r>
        <w:t xml:space="preserve">(Action, Detail, Inspected At, Inspector User, Subject User).</w:t>
      </w:r>
    </w:p>
    <w:p>
      <w:pPr>
        <w:pStyle w:val="BodyText"/>
      </w:pPr>
      <w:r>
        <w:t xml:space="preserve">Custom permission:</w:t>
      </w:r>
      <w:r>
        <w:t xml:space="preserve"> </w:t>
      </w:r>
      <w:r>
        <w:rPr>
          <w:rStyle w:val="VerbatimChar"/>
        </w:rPr>
        <w:t xml:space="preserve">Use_Permission_Explorer</w:t>
      </w:r>
      <w:r>
        <w:t xml:space="preserve"> </w:t>
      </w:r>
      <w:r>
        <w:t xml:space="preserve">— the sole authorisation gate.</w:t>
      </w:r>
    </w:p>
    <w:p>
      <w:pPr>
        <w:pStyle w:val="BodyText"/>
      </w:pPr>
      <w:r>
        <w:t xml:space="preserve">Platform Cache: partition</w:t>
      </w:r>
      <w:r>
        <w:t xml:space="preserve"> </w:t>
      </w:r>
      <w:r>
        <w:rPr>
          <w:rStyle w:val="VerbatimChar"/>
        </w:rPr>
        <w:t xml:space="preserve">PermissionExplorer</w:t>
      </w:r>
      <w:r>
        <w:t xml:space="preserve">, used to cache resolved permission</w:t>
      </w:r>
      <w:r>
        <w:t xml:space="preserve"> </w:t>
      </w:r>
      <w:r>
        <w:t xml:space="preserve">results for 15 minutes (session scope) and describe metadata for 1 hour (org</w:t>
      </w:r>
      <w:r>
        <w:t xml:space="preserve"> </w:t>
      </w:r>
      <w:r>
        <w:t xml:space="preserve">scope). Cache absence is handled gracefully:</w:t>
      </w:r>
      <w:r>
        <w:t xml:space="preserve"> </w:t>
      </w:r>
      <w:r>
        <w:rPr>
          <w:rStyle w:val="VerbatimChar"/>
        </w:rPr>
        <w:t xml:space="preserve">PECacheManager</w:t>
      </w:r>
      <w:r>
        <w:t xml:space="preserve"> </w:t>
      </w:r>
      <w:r>
        <w:t xml:space="preserve">falls back to a</w:t>
      </w:r>
      <w:r>
        <w:t xml:space="preserve"> </w:t>
      </w:r>
      <w:r>
        <w:t xml:space="preserve">transaction-scoped map, so the package functions correctly in subscriber orgs with</w:t>
      </w:r>
      <w:r>
        <w:t xml:space="preserve"> </w:t>
      </w:r>
      <w:r>
        <w:t xml:space="preserve">no cache allocation. No sensitive data beyond permission metadata already visible</w:t>
      </w:r>
      <w:r>
        <w:t xml:space="preserve"> </w:t>
      </w:r>
      <w:r>
        <w:t xml:space="preserve">to the running admin is cached.</w:t>
      </w:r>
    </w:p>
    <w:p>
      <w:pPr>
        <w:pStyle w:val="BodyText"/>
      </w:pPr>
      <w:r>
        <w:t xml:space="preserve">Visualforce: none. Triggers: none. Flows: none. Aura components: none.</w:t>
      </w:r>
    </w:p>
    <w:p>
      <w:r>
        <w:pict>
          <v:rect style="width:0;height:1.5pt" o:hralign="center" o:hrstd="t" o:hr="t"/>
        </w:pict>
      </w:r>
    </w:p>
    <w:bookmarkEnd w:id="24"/>
    <w:bookmarkStart w:id="25" w:name="Xcc2c75baf1440bf84d416713b5191dbbd53ab31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stores any Salesforce OAuth tokens or other access tokens, describe how the tokens are stored.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 the toggle to DISABLED.</w:t>
      </w:r>
    </w:p>
    <w:p>
      <w:pPr>
        <w:pStyle w:val="BodyText"/>
      </w:pPr>
      <w:r>
        <w:t xml:space="preserve">If the field must be completed: The package stores no OAuth tokens, session tokens,</w:t>
      </w:r>
      <w:r>
        <w:t xml:space="preserve"> </w:t>
      </w:r>
      <w:r>
        <w:t xml:space="preserve">API keys, passwords, or credentials of any kind. There is no authentication flow;</w:t>
      </w:r>
      <w:r>
        <w:t xml:space="preserve"> </w:t>
      </w:r>
      <w:r>
        <w:t xml:space="preserve">the package operates entirely within the subscriber’s authenticated Salesforce</w:t>
      </w:r>
      <w:r>
        <w:t xml:space="preserve"> </w:t>
      </w:r>
      <w:r>
        <w:t xml:space="preserve">session. It contains no Named Credentials, External Credentials, Auth Providers, or</w:t>
      </w:r>
      <w:r>
        <w:t xml:space="preserve"> </w:t>
      </w:r>
      <w:r>
        <w:t xml:space="preserve">Connected Apps, and no custom setting or custom object field holds credential data.</w:t>
      </w:r>
    </w:p>
    <w:p>
      <w:r>
        <w:pict>
          <v:rect style="width:0;height:1.5pt" o:hralign="center" o:hrstd="t" o:hr="t"/>
        </w:pict>
      </w:r>
    </w:p>
    <w:bookmarkEnd w:id="25"/>
    <w:bookmarkStart w:id="26" w:name="X71217f30e14e387ec041fb7ea467b4195cd8981"/>
    <w:p>
      <w:pPr>
        <w:pStyle w:val="Heading2"/>
      </w:pPr>
      <w:r>
        <w:t xml:space="preserve">Field:</w:t>
      </w:r>
      <w:r>
        <w:t xml:space="preserve"> </w:t>
      </w:r>
      <w:r>
        <w:t xml:space="preserve">“</w:t>
      </w:r>
      <w:r>
        <w:t xml:space="preserve">If your solution stores any Salesforce data outside the Salesforce Platform, list all types of stored data, and describe where and how the data is stored.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Set the toggle to DISABLED.</w:t>
      </w:r>
    </w:p>
    <w:p>
      <w:pPr>
        <w:pStyle w:val="BodyText"/>
      </w:pPr>
      <w:r>
        <w:t xml:space="preserve">If the field must be completed: No Salesforce data is stored outside the Salesforce</w:t>
      </w:r>
      <w:r>
        <w:t xml:space="preserve"> </w:t>
      </w:r>
      <w:r>
        <w:t xml:space="preserve">Platform. The package transmits nothing off-platform. All data written by the</w:t>
      </w:r>
      <w:r>
        <w:t xml:space="preserve"> </w:t>
      </w:r>
      <w:r>
        <w:t xml:space="preserve">package resides in the subscriber’s own org, in the</w:t>
      </w:r>
      <w:r>
        <w:t xml:space="preserve"> </w:t>
      </w:r>
      <w:r>
        <w:rPr>
          <w:rStyle w:val="VerbatimChar"/>
        </w:rPr>
        <w:t xml:space="preserve">PE_Inspection_Log__c</w:t>
      </w:r>
      <w:r>
        <w:t xml:space="preserve"> </w:t>
      </w:r>
      <w:r>
        <w:t xml:space="preserve">custom</w:t>
      </w:r>
      <w:r>
        <w:t xml:space="preserve"> </w:t>
      </w:r>
      <w:r>
        <w:t xml:space="preserve">object and in the subscriber’s Platform Cache partition.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2026-08-17T11:08:29Z</dcterms:created>
  <dcterms:modified xsi:type="dcterms:W3CDTF">2026-08-17T11:08:29Z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