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f833d8ee4c3d60801801a82aa96c2de984c841c"/>
    <w:p>
      <w:pPr>
        <w:pStyle w:val="Heading1"/>
      </w:pPr>
      <w:r>
        <w:t xml:space="preserve">Who Sees What — Solution Architecture and Usage</w:t>
      </w:r>
    </w:p>
    <w:p>
      <w:pPr>
        <w:pStyle w:val="FirstParagraph"/>
      </w:pPr>
      <w:r>
        <w:rPr>
          <w:bCs/>
          <w:b/>
        </w:rPr>
        <w:t xml:space="preserve">Package:</w:t>
      </w:r>
      <w:r>
        <w:t xml:space="preserve"> </w:t>
      </w:r>
      <w:r>
        <w:t xml:space="preserve">Who Sees What — User Access, Field Security &amp; Record Visibility Explorer</w:t>
      </w:r>
      <w:r>
        <w:t xml:space="preserve"> </w:t>
      </w:r>
      <w:r>
        <w:rPr>
          <w:bCs/>
          <w:b/>
        </w:rPr>
        <w:t xml:space="preserve">Namespace:</w:t>
      </w:r>
      <w:r>
        <w:t xml:space="preserve"> </w:t>
      </w:r>
      <w:r>
        <w:rPr>
          <w:rStyle w:val="VerbatimChar"/>
        </w:rPr>
        <w:t xml:space="preserve">twinforce</w:t>
      </w:r>
      <w:r>
        <w:t xml:space="preserve"> </w:t>
      </w:r>
      <w:r>
        <w:rPr>
          <w:bCs/>
          <w:b/>
        </w:rPr>
        <w:t xml:space="preserve">Package Id:</w:t>
      </w:r>
      <w:r>
        <w:t xml:space="preserve"> </w:t>
      </w:r>
      <w:r>
        <w:rPr>
          <w:rStyle w:val="VerbatimChar"/>
        </w:rPr>
        <w:t xml:space="preserve">0HoOW00000000ZV0AY</w:t>
      </w:r>
      <w:r>
        <w:t xml:space="preserve"> </w:t>
      </w:r>
      <w:r>
        <w:rPr>
          <w:bCs/>
          <w:b/>
        </w:rPr>
        <w:t xml:space="preserve">Version submitted:</w:t>
      </w:r>
      <w:r>
        <w:t xml:space="preserve"> </w:t>
      </w:r>
      <w:r>
        <w:rPr>
          <w:rStyle w:val="VerbatimChar"/>
        </w:rPr>
        <w:t xml:space="preserve">[FILL IN — e.g. 0.3.0-1 / 04t...]</w:t>
      </w:r>
      <w:r>
        <w:t xml:space="preserve"> </w:t>
      </w:r>
      <w:r>
        <w:rPr>
          <w:bCs/>
          <w:b/>
        </w:rPr>
        <w:t xml:space="preserve">Publisher:</w:t>
      </w:r>
      <w:r>
        <w:t xml:space="preserve"> </w:t>
      </w:r>
      <w:r>
        <w:rPr>
          <w:rStyle w:val="VerbatimChar"/>
        </w:rPr>
        <w:t xml:space="preserve">[FILL IN — legal entity name]</w:t>
      </w:r>
      <w:r>
        <w:t xml:space="preserve"> </w:t>
      </w:r>
      <w:r>
        <w:rPr>
          <w:bCs/>
          <w:b/>
        </w:rPr>
        <w:t xml:space="preserve">Technical contact:</w:t>
      </w:r>
      <w:r>
        <w:t xml:space="preserve"> </w:t>
      </w:r>
      <w:r>
        <w:rPr>
          <w:rStyle w:val="VerbatimChar"/>
        </w:rPr>
        <w:t xml:space="preserve">[FILL IN — name and email]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rPr>
          <w:rStyle w:val="VerbatimChar"/>
        </w:rPr>
        <w:t xml:space="preserve">[FILL IN]</w:t>
      </w:r>
    </w:p>
    <w:p>
      <w:r>
        <w:pict>
          <v:rect style="width:0;height:1.5pt" o:hralign="center" o:hrstd="t" o:hr="t"/>
        </w:pict>
      </w:r>
    </w:p>
    <w:bookmarkStart w:id="20" w:name="what-the-product-does"/>
    <w:p>
      <w:pPr>
        <w:pStyle w:val="Heading2"/>
      </w:pPr>
      <w:r>
        <w:t xml:space="preserve">1. What the product does</w:t>
      </w:r>
    </w:p>
    <w:p>
      <w:pPr>
        <w:pStyle w:val="FirstParagraph"/>
      </w:pPr>
      <w:r>
        <w:t xml:space="preserve">Who Sees What is a read-only administrative tool. A System Administrator selects a</w:t>
      </w:r>
      <w:r>
        <w:t xml:space="preserve"> </w:t>
      </w:r>
      <w:r>
        <w:t xml:space="preserve">user and the tool reports what that user can see and do — apps, objects, fields —</w:t>
      </w:r>
      <w:r>
        <w:t xml:space="preserve"> </w:t>
      </w:r>
      <w:r>
        <w:t xml:space="preserve">and which permission set, permission set group, or profile granted each item.</w:t>
      </w:r>
    </w:p>
    <w:p>
      <w:pPr>
        <w:pStyle w:val="BodyText"/>
      </w:pPr>
      <w:r>
        <w:t xml:space="preserve">It grants nothing, changes no permissions, and modifies no records other than its</w:t>
      </w:r>
      <w:r>
        <w:t xml:space="preserve"> </w:t>
      </w:r>
      <w:r>
        <w:t xml:space="preserve">own audit log.</w:t>
      </w:r>
    </w:p>
    <w:p>
      <w:pPr>
        <w:pStyle w:val="BodyText"/>
      </w:pPr>
      <w:r>
        <w:t xml:space="preserve">The problem it solves: in an org with dozens of permission sets and permission set</w:t>
      </w:r>
      <w:r>
        <w:t xml:space="preserve"> </w:t>
      </w:r>
      <w:r>
        <w:t xml:space="preserve">groups, answering</w:t>
      </w:r>
      <w:r>
        <w:t xml:space="preserve"> </w:t>
      </w:r>
      <w:r>
        <w:t xml:space="preserve">“</w:t>
      </w:r>
      <w:r>
        <w:t xml:space="preserve">why can this user see this field?</w:t>
      </w:r>
      <w:r>
        <w:t xml:space="preserve">”</w:t>
      </w:r>
      <w:r>
        <w:t xml:space="preserve"> </w:t>
      </w:r>
      <w:r>
        <w:t xml:space="preserve">by hand means opening many</w:t>
      </w:r>
      <w:r>
        <w:t xml:space="preserve"> </w:t>
      </w:r>
      <w:r>
        <w:t xml:space="preserve">Setup pages and mentally unioning the results. Muting permission sets make this</w:t>
      </w:r>
      <w:r>
        <w:t xml:space="preserve"> </w:t>
      </w:r>
      <w:r>
        <w:t xml:space="preserve">harder still, because a naive union produces a confidently wrong answer.</w:t>
      </w:r>
    </w:p>
    <w:p>
      <w:r>
        <w:pict>
          <v:rect style="width:0;height:1.5pt" o:hralign="center" o:hrstd="t" o:hr="t"/>
        </w:pict>
      </w:r>
    </w:p>
    <w:bookmarkEnd w:id="20"/>
    <w:bookmarkStart w:id="23" w:name="information-flow"/>
    <w:p>
      <w:pPr>
        <w:pStyle w:val="Heading2"/>
      </w:pPr>
      <w:r>
        <w:t xml:space="preserve">2. Information flow</w:t>
      </w:r>
    </w:p>
    <w:p>
      <w:pPr>
        <w:pStyle w:val="FirstParagraph"/>
      </w:pPr>
      <w:r>
        <w:t xml:space="preserve">There are no external systems. All flow is inside the subscriber’s org.</w:t>
      </w:r>
    </w:p>
    <w:p>
      <w:pPr>
        <w:pStyle w:val="SourceCode"/>
      </w:pPr>
      <w:r>
        <w:rPr>
          <w:rStyle w:val="VerbatimChar"/>
        </w:rPr>
        <w:t xml:space="preserve">Admin's browser</w:t>
      </w:r>
      <w:r>
        <w:br/>
      </w:r>
      <w:r>
        <w:rPr>
          <w:rStyle w:val="VerbatimChar"/>
        </w:rPr>
        <w:t xml:space="preserve">  |  LWC: permissionExplorer + 21 child bundles</w:t>
      </w:r>
      <w:r>
        <w:br/>
      </w:r>
      <w:r>
        <w:rPr>
          <w:rStyle w:val="VerbatimChar"/>
        </w:rPr>
        <w:t xml:space="preserve">  |  Imperative Apex calls only. No fetch, no XHR.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PermissionExplorerController   (@AuraEnabled entry points)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 PEAccessGate.assertAuthorised()   &lt;-- ALWAYS FIRST</w:t>
      </w:r>
      <w:r>
        <w:br/>
      </w:r>
      <w:r>
        <w:rPr>
          <w:rStyle w:val="VerbatimChar"/>
        </w:rPr>
        <w:t xml:space="preserve">  |      FeatureManagement.checkPermission(</w:t>
      </w:r>
      <w:r>
        <w:br/>
      </w:r>
      <w:r>
        <w:rPr>
          <w:rStyle w:val="VerbatimChar"/>
        </w:rPr>
        <w:t xml:space="preserve">  |          'Use_Permission_Explorer')</w:t>
      </w:r>
      <w:r>
        <w:br/>
      </w:r>
      <w:r>
        <w:rPr>
          <w:rStyle w:val="VerbatimChar"/>
        </w:rPr>
        <w:t xml:space="preserve">  |      throws NOT_AUTHORISED if absent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 PEPermissionResolver    effective + muting parents</w:t>
      </w:r>
      <w:r>
        <w:br/>
      </w:r>
      <w:r>
        <w:rPr>
          <w:rStyle w:val="VerbatimChar"/>
        </w:rPr>
        <w:t xml:space="preserve">  +-- PEUserSearchService     user list, keyset paginated</w:t>
      </w:r>
      <w:r>
        <w:br/>
      </w:r>
      <w:r>
        <w:rPr>
          <w:rStyle w:val="VerbatimChar"/>
        </w:rPr>
        <w:t xml:space="preserve">  +-- PEAccessQueryService    object CRUD, field FLS</w:t>
      </w:r>
      <w:r>
        <w:br/>
      </w:r>
      <w:r>
        <w:rPr>
          <w:rStyle w:val="VerbatimChar"/>
        </w:rPr>
        <w:t xml:space="preserve">  +-- PEAppVisibilityService  app list (estimated)</w:t>
      </w:r>
      <w:r>
        <w:br/>
      </w:r>
      <w:r>
        <w:rPr>
          <w:rStyle w:val="VerbatimChar"/>
        </w:rPr>
        <w:t xml:space="preserve">  +-- PEUserDetailService     login history, drill-downs</w:t>
      </w:r>
      <w:r>
        <w:br/>
      </w:r>
      <w:r>
        <w:rPr>
          <w:rStyle w:val="VerbatimChar"/>
        </w:rPr>
        <w:t xml:space="preserve">  +-- PEMetadataCatalog       describe, labels, sharing</w:t>
      </w:r>
      <w:r>
        <w:br/>
      </w:r>
      <w:r>
        <w:rPr>
          <w:rStyle w:val="VerbatimChar"/>
        </w:rPr>
        <w:t xml:space="preserve">  +-- PECacheManager          cache + no-cache fallback</w:t>
      </w:r>
      <w:r>
        <w:br/>
      </w:r>
      <w:r>
        <w:rPr>
          <w:rStyle w:val="VerbatimChar"/>
        </w:rPr>
        <w:t xml:space="preserve">  +-- PEInspectionAuditLogger writes PE_Inspection_Log__c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Salesforce database -- all SOQL in user mode</w:t>
      </w:r>
    </w:p>
    <w:bookmarkStart w:id="21" w:name="data-touchpoints"/>
    <w:p>
      <w:pPr>
        <w:pStyle w:val="Heading3"/>
      </w:pPr>
      <w:r>
        <w:t xml:space="preserve">Data touchpoints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 metadata and user records (15 sObjects, listed below)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Subscriber 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audit row per inspection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PE_Inspection_Log__c</w:t>
            </w:r>
            <w:r>
              <w:t xml:space="preserve">, subscriber 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 permission results, describe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Subscriber’s Platform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Outbound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1"/>
    <w:bookmarkStart w:id="22" w:name="objects-read"/>
    <w:p>
      <w:pPr>
        <w:pStyle w:val="Heading3"/>
      </w:pPr>
      <w:r>
        <w:t xml:space="preserve">Objects read</w:t>
      </w:r>
    </w:p>
    <w:p>
      <w:pPr>
        <w:pStyle w:val="FirstParagraph"/>
      </w:pP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PermissionSet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PermissionSetAssignment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PermissionSetGroup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PermissionSetGroupComponent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PermissionSetTabSetting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ObjectPermissions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FieldPermissions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AppMenuItem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TabDefinition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EntityDefinition</w:t>
      </w:r>
      <w:r>
        <w:t xml:space="preserve">.</w:t>
      </w:r>
    </w:p>
    <w:p>
      <w:pPr>
        <w:pStyle w:val="BodyText"/>
      </w:pPr>
      <w:r>
        <w:t xml:space="preserve">Every one of these is permission or user metadata. The package reads no business</w:t>
      </w:r>
      <w:r>
        <w:t xml:space="preserve"> </w:t>
      </w:r>
      <w:r>
        <w:t xml:space="preserve">data — no Accounts, Contacts, Opportunities, or custom business objects. It reads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permission rows describing</w:t>
      </w:r>
      <w:r>
        <w:t xml:space="preserve"> </w:t>
      </w:r>
      <w:r>
        <w:t xml:space="preserve">such objects, never the records.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252bac9c0150b50eb1f20030cade93b93ec1549"/>
    <w:p>
      <w:pPr>
        <w:pStyle w:val="Heading2"/>
      </w:pPr>
      <w:r>
        <w:t xml:space="preserve">3. Authentication and encryption on data transfer</w:t>
      </w:r>
    </w:p>
    <w:p>
      <w:pPr>
        <w:pStyle w:val="FirstParagraph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none performed by the package. It executes inside the</w:t>
      </w:r>
      <w:r>
        <w:t xml:space="preserve"> </w:t>
      </w:r>
      <w:r>
        <w:t xml:space="preserve">subscriber’s existing authenticated Salesforce session. No login flow, no</w:t>
      </w:r>
      <w:r>
        <w:t xml:space="preserve"> </w:t>
      </w:r>
      <w:r>
        <w:t xml:space="preserve">credentials, no tokens, no Auth Providers, no Connected Apps.</w:t>
      </w:r>
    </w:p>
    <w:p>
      <w:pPr>
        <w:pStyle w:val="BodyText"/>
      </w:pPr>
      <w:r>
        <w:rPr>
          <w:bCs/>
          <w:b/>
        </w:rPr>
        <w:t xml:space="preserve">Encryption on data transfer:</w:t>
      </w:r>
      <w:r>
        <w:t xml:space="preserve"> </w:t>
      </w:r>
      <w:r>
        <w:t xml:space="preserve">not applicable — there is no data transfer off</w:t>
      </w:r>
      <w:r>
        <w:t xml:space="preserve"> </w:t>
      </w:r>
      <w:r>
        <w:t xml:space="preserve">platform. Browser-to-server traffic is the standard Salesforce Lightning</w:t>
      </w:r>
      <w:r>
        <w:t xml:space="preserve"> </w:t>
      </w:r>
      <w:r>
        <w:t xml:space="preserve">transport, encrypted in transit by the platform.</w:t>
      </w:r>
    </w:p>
    <w:p>
      <w:pPr>
        <w:pStyle w:val="BodyText"/>
      </w:pPr>
      <w:r>
        <w:rPr>
          <w:bCs/>
          <w:b/>
        </w:rPr>
        <w:t xml:space="preserve">Callouts:</w:t>
      </w:r>
      <w:r>
        <w:t xml:space="preserve"> </w:t>
      </w:r>
      <w:r>
        <w:t xml:space="preserve">zero. The package contains no</w:t>
      </w:r>
      <w:r>
        <w:t xml:space="preserve"> </w:t>
      </w:r>
      <w:r>
        <w:rPr>
          <w:rStyle w:val="VerbatimChar"/>
        </w:rPr>
        <w:t xml:space="preserve">HttpRequest</w:t>
      </w:r>
      <w:r>
        <w:t xml:space="preserve">, no</w:t>
      </w:r>
      <w:r>
        <w:t xml:space="preserve"> </w:t>
      </w:r>
      <w:r>
        <w:rPr>
          <w:rStyle w:val="VerbatimChar"/>
        </w:rPr>
        <w:t xml:space="preserve">new Http()</w:t>
      </w:r>
      <w:r>
        <w:t xml:space="preserve">, no</w:t>
      </w:r>
      <w:r>
        <w:t xml:space="preserve"> </w:t>
      </w:r>
      <w:r>
        <w:rPr>
          <w:rStyle w:val="VerbatimChar"/>
        </w:rPr>
        <w:t xml:space="preserve">callout:</w:t>
      </w:r>
      <w:r>
        <w:t xml:space="preserve"> </w:t>
      </w:r>
      <w:r>
        <w:t xml:space="preserve">reference, no Named Credential, no External Credential, and no Remote</w:t>
      </w:r>
      <w:r>
        <w:t xml:space="preserve"> </w:t>
      </w:r>
      <w:r>
        <w:t xml:space="preserve">Site Setting. Verifiable by searching the package source for those tokens.</w:t>
      </w:r>
    </w:p>
    <w:p>
      <w:pPr>
        <w:pStyle w:val="BodyText"/>
      </w:pPr>
      <w:r>
        <w:t xml:space="preserve">This is a deliberate design decision with a product cost, described in §6.</w:t>
      </w:r>
    </w:p>
    <w:p>
      <w:r>
        <w:pict>
          <v:rect style="width:0;height:1.5pt" o:hralign="center" o:hrstd="t" o:hr="t"/>
        </w:pict>
      </w:r>
    </w:p>
    <w:bookmarkEnd w:id="24"/>
    <w:bookmarkStart w:id="25" w:name="authorisation-model"/>
    <w:p>
      <w:pPr>
        <w:pStyle w:val="Heading2"/>
      </w:pPr>
      <w:r>
        <w:t xml:space="preserve">4. Authorisation model</w:t>
      </w:r>
    </w:p>
    <w:p>
      <w:pPr>
        <w:pStyle w:val="FirstParagraph"/>
      </w:pPr>
      <w:r>
        <w:t xml:space="preserve">Three layers, all enforced by the platform rather than by our own checks.</w:t>
      </w:r>
    </w:p>
    <w:p>
      <w:pPr>
        <w:pStyle w:val="BodyText"/>
      </w:pPr>
      <w:r>
        <w:rPr>
          <w:bCs/>
          <w:b/>
        </w:rPr>
        <w:t xml:space="preserve">Layer 1 — custom permission gate.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@AuraEnabled</w:t>
      </w:r>
      <w:r>
        <w:t xml:space="preserve"> </w:t>
      </w:r>
      <w:r>
        <w:t xml:space="preserve">method begins with</w:t>
      </w:r>
      <w:r>
        <w:t xml:space="preserve"> </w:t>
      </w:r>
      <w:r>
        <w:rPr>
          <w:rStyle w:val="VerbatimChar"/>
        </w:rPr>
        <w:t xml:space="preserve">PEAccessGate.assertAuthorised()</w:t>
      </w:r>
      <w:r>
        <w:t xml:space="preserve">. That method calls</w:t>
      </w:r>
      <w:r>
        <w:t xml:space="preserve"> </w:t>
      </w:r>
      <w:r>
        <w:rPr>
          <w:rStyle w:val="VerbatimChar"/>
        </w:rPr>
        <w:t xml:space="preserve">FeatureManagement.checkPermission('Use_Permission_Explorer')</w:t>
      </w:r>
      <w:r>
        <w:t xml:space="preserve"> </w:t>
      </w:r>
      <w:r>
        <w:t xml:space="preserve">and throws a typed</w:t>
      </w:r>
      <w:r>
        <w:t xml:space="preserve"> </w:t>
      </w:r>
      <w:r>
        <w:rPr>
          <w:rStyle w:val="VerbatimChar"/>
        </w:rPr>
        <w:t xml:space="preserve">NOT_AUTHORISED</w:t>
      </w:r>
      <w:r>
        <w:t xml:space="preserve"> </w:t>
      </w:r>
      <w:r>
        <w:t xml:space="preserve">exception if the running user lacks it. The decision is</w:t>
      </w:r>
      <w:r>
        <w:t xml:space="preserve"> </w:t>
      </w:r>
      <w:r>
        <w:t xml:space="preserve">deliberately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cached in a static: an authorisation decision held in a mutable</w:t>
      </w:r>
      <w:r>
        <w:t xml:space="preserve"> </w:t>
      </w:r>
      <w:r>
        <w:t xml:space="preserve">static outlives the context it was made in, and</w:t>
      </w:r>
      <w:r>
        <w:t xml:space="preserve"> </w:t>
      </w:r>
      <w:r>
        <w:rPr>
          <w:rStyle w:val="VerbatimChar"/>
        </w:rPr>
        <w:t xml:space="preserve">checkPermission</w:t>
      </w:r>
      <w:r>
        <w:t xml:space="preserve"> </w:t>
      </w:r>
      <w:r>
        <w:t xml:space="preserve">is cheap enough</w:t>
      </w:r>
      <w:r>
        <w:t xml:space="preserve"> </w:t>
      </w:r>
      <w:r>
        <w:t xml:space="preserve">that the guarantee is worth more than the microseconds.</w:t>
      </w:r>
    </w:p>
    <w:p>
      <w:pPr>
        <w:pStyle w:val="BodyText"/>
      </w:pPr>
      <w:r>
        <w:rPr>
          <w:bCs/>
          <w:b/>
        </w:rPr>
        <w:t xml:space="preserve">Layer 2 — sharing.</w:t>
      </w:r>
      <w:r>
        <w:t xml:space="preserve"> </w:t>
      </w:r>
      <w:r>
        <w:t xml:space="preserve">All 16 non-test classes are declared</w:t>
      </w:r>
      <w:r>
        <w:t xml:space="preserve"> </w:t>
      </w:r>
      <w:r>
        <w:rPr>
          <w:rStyle w:val="VerbatimChar"/>
        </w:rPr>
        <w:t xml:space="preserve">public with sharing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Layer 3 — user-mode SOQL.</w:t>
      </w:r>
      <w:r>
        <w:t xml:space="preserve"> </w:t>
      </w:r>
      <w:r>
        <w:t xml:space="preserve">Every query executes in user mode, so object- and</w:t>
      </w:r>
      <w:r>
        <w:t xml:space="preserve"> </w:t>
      </w:r>
      <w:r>
        <w:t xml:space="preserve">field-level permissions are enforced by the platform for the running admin:</w:t>
      </w:r>
    </w:p>
    <w:p>
      <w:pPr>
        <w:numPr>
          <w:ilvl w:val="0"/>
          <w:numId w:val="1001"/>
        </w:numPr>
        <w:pStyle w:val="Compact"/>
      </w:pPr>
      <w:r>
        <w:t xml:space="preserve">Inline SOQL:</w:t>
      </w:r>
      <w:r>
        <w:t xml:space="preserve"> </w:t>
      </w:r>
      <w:r>
        <w:rPr>
          <w:rStyle w:val="VerbatimChar"/>
        </w:rPr>
        <w:t xml:space="preserve">WITH USER_MODE</w:t>
      </w:r>
    </w:p>
    <w:p>
      <w:pPr>
        <w:numPr>
          <w:ilvl w:val="0"/>
          <w:numId w:val="1001"/>
        </w:numPr>
        <w:pStyle w:val="Compact"/>
      </w:pPr>
      <w:r>
        <w:t xml:space="preserve">The one dynamic query:</w:t>
      </w:r>
      <w:r>
        <w:t xml:space="preserve"> </w:t>
      </w:r>
      <w:r>
        <w:rPr>
          <w:rStyle w:val="VerbatimChar"/>
        </w:rPr>
        <w:t xml:space="preserve">Database.queryWithBinds(soql, binds, AccessLevel.USER_MODE)</w:t>
      </w:r>
    </w:p>
    <w:p>
      <w:pPr>
        <w:pStyle w:val="FirstParagraph"/>
      </w:pPr>
      <w:r>
        <w:t xml:space="preserve">An admin therefore cannot use this tool to see permission metadata they are not</w:t>
      </w:r>
      <w:r>
        <w:t xml:space="preserve"> </w:t>
      </w:r>
      <w:r>
        <w:t xml:space="preserve">themselves entitled to read.</w:t>
      </w:r>
    </w:p>
    <w:p>
      <w:pPr>
        <w:pStyle w:val="BodyText"/>
      </w:pPr>
      <w:r>
        <w:rPr>
          <w:bCs/>
          <w:b/>
        </w:rPr>
        <w:t xml:space="preserve">Permission set contents.</w:t>
      </w:r>
      <w:r>
        <w:t xml:space="preserve"> </w:t>
      </w:r>
      <w:r>
        <w:rPr>
          <w:rStyle w:val="VerbatimChar"/>
        </w:rPr>
        <w:t xml:space="preserve">PermissionCheckerPermissionSet</w:t>
      </w:r>
      <w:r>
        <w:t xml:space="preserve"> </w:t>
      </w:r>
      <w:r>
        <w:t xml:space="preserve">grants:</w:t>
      </w:r>
    </w:p>
    <w:p>
      <w:pPr>
        <w:numPr>
          <w:ilvl w:val="0"/>
          <w:numId w:val="1002"/>
        </w:numPr>
        <w:pStyle w:val="Compact"/>
      </w:pPr>
      <w:r>
        <w:t xml:space="preserve">The custom permission</w:t>
      </w:r>
      <w:r>
        <w:t xml:space="preserve"> </w:t>
      </w:r>
      <w:r>
        <w:rPr>
          <w:rStyle w:val="VerbatimChar"/>
        </w:rPr>
        <w:t xml:space="preserve">Use_Permission_Explorer</w:t>
      </w:r>
    </w:p>
    <w:p>
      <w:pPr>
        <w:numPr>
          <w:ilvl w:val="0"/>
          <w:numId w:val="1002"/>
        </w:numPr>
        <w:pStyle w:val="Compact"/>
      </w:pPr>
      <w:r>
        <w:t xml:space="preserve">Apex class access to</w:t>
      </w:r>
      <w:r>
        <w:t xml:space="preserve"> </w:t>
      </w:r>
      <w:r>
        <w:rPr>
          <w:rStyle w:val="VerbatimChar"/>
        </w:rPr>
        <w:t xml:space="preserve">PermissionExplorerController</w:t>
      </w:r>
      <w:r>
        <w:t xml:space="preserve"> </w:t>
      </w:r>
      <w:r>
        <w:t xml:space="preserve">only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PE_Inspection_Log__c</w:t>
      </w:r>
      <w:r>
        <w:t xml:space="preserve">: Read ✔ Create ✔</w:t>
      </w:r>
      <w:r>
        <w:t xml:space="preserve"> </w:t>
      </w:r>
      <w:r>
        <w:rPr>
          <w:bCs/>
          <w:b/>
        </w:rPr>
        <w:t xml:space="preserve">Edit ✘ Delete ✘</w:t>
      </w:r>
      <w:r>
        <w:t xml:space="preserve">, View All ✘, Modify All ✘</w:t>
      </w:r>
    </w:p>
    <w:p>
      <w:pPr>
        <w:numPr>
          <w:ilvl w:val="0"/>
          <w:numId w:val="1002"/>
        </w:numPr>
        <w:pStyle w:val="Compact"/>
      </w:pPr>
      <w:r>
        <w:t xml:space="preserve">Field permissions on the three non-required audit fields</w:t>
      </w:r>
    </w:p>
    <w:p>
      <w:pPr>
        <w:numPr>
          <w:ilvl w:val="0"/>
          <w:numId w:val="1002"/>
        </w:numPr>
        <w:pStyle w:val="Compact"/>
      </w:pPr>
      <w:r>
        <w:t xml:space="preserve">Tab visibility for</w:t>
      </w:r>
      <w:r>
        <w:t xml:space="preserve"> </w:t>
      </w:r>
      <w:r>
        <w:rPr>
          <w:rStyle w:val="VerbatimChar"/>
        </w:rPr>
        <w:t xml:space="preserve">Permission_Explorer</w:t>
      </w:r>
    </w:p>
    <w:p>
      <w:pPr>
        <w:pStyle w:val="FirstParagraph"/>
      </w:pPr>
      <w:r>
        <w:t xml:space="preserve">The withheld Edit and Delete are the point: a holder can read the audit log but</w:t>
      </w:r>
      <w:r>
        <w:t xml:space="preserve"> </w:t>
      </w:r>
      <w:r>
        <w:t xml:space="preserve">cannot alter or erase their own trail.</w:t>
      </w:r>
    </w:p>
    <w:p>
      <w:pPr>
        <w:pStyle w:val="BodyText"/>
      </w:pPr>
      <w:r>
        <w:t xml:space="preserve">The package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auto-assign this permission set on install. It grants the</w:t>
      </w:r>
      <w:r>
        <w:t xml:space="preserve"> </w:t>
      </w:r>
      <w:r>
        <w:t xml:space="preserve">ability to inspect every user’s permissions, so assignment is left as a deliberate</w:t>
      </w:r>
      <w:r>
        <w:t xml:space="preserve"> </w:t>
      </w:r>
      <w:r>
        <w:t xml:space="preserve">administrator decision. The in-app onboarding panel states this explicitly.</w:t>
      </w:r>
    </w:p>
    <w:p>
      <w:r>
        <w:pict>
          <v:rect style="width:0;height:1.5pt" o:hralign="center" o:hrstd="t" o:hr="t"/>
        </w:pict>
      </w:r>
    </w:p>
    <w:bookmarkEnd w:id="25"/>
    <w:bookmarkStart w:id="26" w:name="auditing"/>
    <w:p>
      <w:pPr>
        <w:pStyle w:val="Heading2"/>
      </w:pPr>
      <w:r>
        <w:t xml:space="preserve">5. Auditing</w:t>
      </w:r>
    </w:p>
    <w:p>
      <w:pPr>
        <w:pStyle w:val="FirstParagraph"/>
      </w:pPr>
      <w:r>
        <w:t xml:space="preserve">Every inspection writes one row to</w:t>
      </w:r>
      <w:r>
        <w:t xml:space="preserve"> </w:t>
      </w:r>
      <w:r>
        <w:rPr>
          <w:rStyle w:val="VerbatimChar"/>
        </w:rPr>
        <w:t xml:space="preserve">PE_Inspection_Log__c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Inspector_User__c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performed the inspection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Subject_User__c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was inspected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Action__c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GET_APP_OBJECTS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GET_OBJECT_DETAIL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Inspected_At__c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UTC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Detail__c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Context, e.g. the object API name inspected</w:t>
            </w:r>
          </w:p>
        </w:tc>
      </w:tr>
    </w:tbl>
    <w:p>
      <w:pPr>
        <w:pStyle w:val="BodyText"/>
      </w:pPr>
      <w:r>
        <w:t xml:space="preserve">Writes are buffered and flushed once per transaction. The object is append-only for</w:t>
      </w:r>
      <w:r>
        <w:t xml:space="preserve"> </w:t>
      </w:r>
      <w:r>
        <w:t xml:space="preserve">permission set holders by design.</w:t>
      </w:r>
    </w:p>
    <w:p>
      <w:pPr>
        <w:pStyle w:val="BodyText"/>
      </w:pPr>
      <w:r>
        <w:rPr>
          <w:bCs/>
          <w:b/>
        </w:rPr>
        <w:t xml:space="preserve">Known limitation, stated plainly:</w:t>
      </w:r>
      <w:r>
        <w:t xml:space="preserve"> </w:t>
      </w:r>
      <w:r>
        <w:t xml:space="preserve">if the audit insert fails, the failure is</w:t>
      </w:r>
      <w:r>
        <w:t xml:space="preserve"> </w:t>
      </w:r>
      <w:r>
        <w:t xml:space="preserve">logged with</w:t>
      </w:r>
      <w:r>
        <w:t xml:space="preserve"> </w:t>
      </w:r>
      <w:r>
        <w:rPr>
          <w:rStyle w:val="VerbatimChar"/>
        </w:rPr>
        <w:t xml:space="preserve">System.debug</w:t>
      </w:r>
      <w:r>
        <w:t xml:space="preserve"> </w:t>
      </w:r>
      <w:r>
        <w:t xml:space="preserve">and the inspection still returns. In a managed package a</w:t>
      </w:r>
      <w:r>
        <w:t xml:space="preserve"> </w:t>
      </w:r>
      <w:r>
        <w:t xml:space="preserve">debug statement is not visible to the subscriber, so an audit write failure is</w:t>
      </w:r>
      <w:r>
        <w:t xml:space="preserve"> </w:t>
      </w:r>
      <w:r>
        <w:t xml:space="preserve">currently silent to them. We judged failing the admin’s inspection over a logging</w:t>
      </w:r>
      <w:r>
        <w:t xml:space="preserve"> </w:t>
      </w:r>
      <w:r>
        <w:t xml:space="preserve">error to be the worse outcome, but we accept this is a trade-off rather than an</w:t>
      </w:r>
      <w:r>
        <w:t xml:space="preserve"> </w:t>
      </w:r>
      <w:r>
        <w:t xml:space="preserve">ideal, and we are willing to change the behaviour if the reviewer prefers a</w:t>
      </w:r>
      <w:r>
        <w:t xml:space="preserve"> </w:t>
      </w:r>
      <w:r>
        <w:t xml:space="preserve">surfaced warning or a hard failure.</w:t>
      </w:r>
    </w:p>
    <w:p>
      <w:r>
        <w:pict>
          <v:rect style="width:0;height:1.5pt" o:hralign="center" o:hrstd="t" o:hr="t"/>
        </w:pict>
      </w:r>
    </w:p>
    <w:bookmarkEnd w:id="26"/>
    <w:bookmarkStart w:id="27" w:name="Xbca0e6399347fb85769c40e4ad173c4ccdaa58c"/>
    <w:p>
      <w:pPr>
        <w:pStyle w:val="Heading2"/>
      </w:pPr>
      <w:r>
        <w:t xml:space="preserve">6. Deliberate limitations and how they are disclosed</w:t>
      </w:r>
    </w:p>
    <w:p>
      <w:pPr>
        <w:pStyle w:val="FirstParagraph"/>
      </w:pPr>
      <w:r>
        <w:t xml:space="preserve">The product’s design principle is that it must never present a guess as an answer.</w:t>
      </w:r>
      <w:r>
        <w:t xml:space="preserve"> </w:t>
      </w:r>
      <w:r>
        <w:t xml:space="preserve">Where the platform cannot tell us something without a callout, the interface says so</w:t>
      </w:r>
      <w:r>
        <w:t xml:space="preserve"> </w:t>
      </w:r>
      <w:r>
        <w:t xml:space="preserve">in place rather than rendering an empty result that looks like</w:t>
      </w:r>
      <w:r>
        <w:t xml:space="preserve"> </w:t>
      </w:r>
      <w:r>
        <w:t xml:space="preserve">“</w:t>
      </w:r>
      <w:r>
        <w:t xml:space="preserve">no access.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not analysed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disclosed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Per-user record type 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Stored only in Profile/PermissionSet metadata XML; no queryable junction object exists. Reachable only via Metadata or Tooling API — a callout.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types are listed as they exist on the object, under a persistent</w:t>
            </w:r>
            <w:r>
              <w:t xml:space="preserve"> </w:t>
            </w:r>
            <w:r>
              <w:t xml:space="preserve">“</w:t>
            </w:r>
            <w:r>
              <w:t xml:space="preserve">Record type access is not analysed</w:t>
            </w:r>
            <w:r>
              <w:t xml:space="preserve">”</w:t>
            </w:r>
            <w:r>
              <w:t xml:space="preserve"> </w:t>
            </w:r>
            <w:r>
              <w:t xml:space="preserve">notice naming</w:t>
            </w:r>
            <w:r>
              <w:t xml:space="preserve"> </w:t>
            </w:r>
            <w:r>
              <w:rPr>
                <w:rStyle w:val="VerbatimChar"/>
              </w:rPr>
              <w:t xml:space="preserve">recordTypeVisibilities</w:t>
            </w:r>
            <w:r>
              <w:t xml:space="preserve"> </w:t>
            </w:r>
            <w:r>
              <w:t xml:space="preserve">as the source.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Per-permission-set app 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reason.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list is derived from</w:t>
            </w:r>
            <w:r>
              <w:t xml:space="preserve"> </w:t>
            </w:r>
            <w:r>
              <w:rPr>
                <w:rStyle w:val="VerbatimChar"/>
              </w:rPr>
              <w:t xml:space="preserve">AppMenuItem</w:t>
            </w:r>
            <w:r>
              <w:t xml:space="preserve"> </w:t>
            </w:r>
            <w:r>
              <w:t xml:space="preserve">and every row is labelled</w:t>
            </w:r>
            <w:r>
              <w:t xml:space="preserve"> </w:t>
            </w:r>
            <w:r>
              <w:t xml:space="preserve">“</w:t>
            </w:r>
            <w:r>
              <w:t xml:space="preserve">visibility estimated,</w:t>
            </w:r>
            <w:r>
              <w:t xml:space="preserve">”</w:t>
            </w:r>
            <w:r>
              <w:t xml:space="preserve"> </w:t>
            </w:r>
            <w:r>
              <w:t xml:space="preserve">with a standing notice above the column.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Salesforce restricts</w:t>
            </w:r>
            <w:r>
              <w:t xml:space="preserve"> </w:t>
            </w:r>
            <w:r>
              <w:rPr>
                <w:rStyle w:val="VerbatimChar"/>
              </w:rPr>
              <w:t xml:space="preserve">LoginHistory</w:t>
            </w:r>
            <w:r>
              <w:t xml:space="preserve"> </w:t>
            </w:r>
            <w:r>
              <w:t xml:space="preserve">to users with</w:t>
            </w:r>
            <w:r>
              <w:t xml:space="preserve"> </w:t>
            </w:r>
            <w:r>
              <w:t xml:space="preserve">“</w:t>
            </w:r>
            <w:r>
              <w:t xml:space="preserve">Manage Users,</w:t>
            </w:r>
            <w:r>
              <w:t xml:space="preserve">”</w:t>
            </w:r>
            <w:r>
              <w:t xml:space="preserve"> </w:t>
            </w:r>
            <w:r>
              <w:t xml:space="preserve">which this package does not grant.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the running admin lacks it, the panel reports the reason instead of showing an empty list.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Protected permission 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 sets installed by other managed packages may be unreadable. Their permissions still apply.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header reports how many were skipped, so the admin knows the grid is a lower bound.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Sharing rules / record-level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__Share</w:t>
            </w:r>
            <w:r>
              <w:t xml:space="preserve"> </w:t>
            </w:r>
            <w:r>
              <w:t xml:space="preserve">queries can be enormous and OWD needs a callout to read fully.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 of scope; the object detail panel shows the org-wide default only.</w:t>
            </w:r>
          </w:p>
        </w:tc>
      </w:tr>
    </w:tbl>
    <w:p>
      <w:pPr>
        <w:pStyle w:val="BodyText"/>
      </w:pPr>
      <w:r>
        <w:t xml:space="preserve">We consider these disclosures a feature rather than an apology: an admin who</w:t>
      </w:r>
      <w:r>
        <w:t xml:space="preserve"> </w:t>
      </w:r>
      <w:r>
        <w:t xml:space="preserve">mistakes</w:t>
      </w:r>
      <w:r>
        <w:t xml:space="preserve"> </w:t>
      </w:r>
      <w:r>
        <w:t xml:space="preserve">“</w:t>
      </w:r>
      <w:r>
        <w:t xml:space="preserve">not analysed</w:t>
      </w:r>
      <w:r>
        <w:t xml:space="preserve">”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no access</w:t>
      </w:r>
      <w:r>
        <w:t xml:space="preserve">”</w:t>
      </w:r>
      <w:r>
        <w:t xml:space="preserve"> </w:t>
      </w:r>
      <w:r>
        <w:t xml:space="preserve">would make a worse security decision than</w:t>
      </w:r>
      <w:r>
        <w:t xml:space="preserve"> </w:t>
      </w:r>
      <w:r>
        <w:t xml:space="preserve">one who is told the boundary.</w:t>
      </w:r>
    </w:p>
    <w:p>
      <w:r>
        <w:pict>
          <v:rect style="width:0;height:1.5pt" o:hralign="center" o:hrstd="t" o:hr="t"/>
        </w:pict>
      </w:r>
    </w:p>
    <w:bookmarkEnd w:id="27"/>
    <w:bookmarkStart w:id="28" w:name="scale-and-governor-limit-handling"/>
    <w:p>
      <w:pPr>
        <w:pStyle w:val="Heading2"/>
      </w:pPr>
      <w:r>
        <w:t xml:space="preserve">7. Scale and governor-limit handling</w:t>
      </w:r>
    </w:p>
    <w:p>
      <w:pPr>
        <w:pStyle w:val="FirstParagraph"/>
      </w:pPr>
      <w:r>
        <w:rPr>
          <w:bCs/>
          <w:b/>
        </w:rPr>
        <w:t xml:space="preserve">Keyset pagination, not OFFSET.</w:t>
      </w:r>
      <w:r>
        <w:t xml:space="preserve"> </w:t>
      </w:r>
      <w:r>
        <w:t xml:space="preserve">SOQL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 </w:t>
      </w:r>
      <w:r>
        <w:t xml:space="preserve">is capped at 2,000 rows, which</w:t>
      </w:r>
      <w:r>
        <w:t xml:space="preserve"> </w:t>
      </w:r>
      <w:r>
        <w:t xml:space="preserve">silently truncates user lists in large orgs.</w:t>
      </w:r>
      <w:r>
        <w:t xml:space="preserve"> </w:t>
      </w:r>
      <w:r>
        <w:rPr>
          <w:rStyle w:val="VerbatimChar"/>
        </w:rPr>
        <w:t xml:space="preserve">PEKeysetCursor</w:t>
      </w:r>
      <w:r>
        <w:t xml:space="preserve"> </w:t>
      </w:r>
      <w:r>
        <w:t xml:space="preserve">encodes an opaque</w:t>
      </w:r>
      <w:r>
        <w:t xml:space="preserve"> </w:t>
      </w:r>
      <w:r>
        <w:t xml:space="preserve">cursor carrying the sort value and the last row Id; the Id tiebreaker is mandatory</w:t>
      </w:r>
      <w:r>
        <w:t xml:space="preserve"> </w:t>
      </w:r>
      <w:r>
        <w:t xml:space="preserve">because the sort value is not unique, and without it rows duplicate or vanish across</w:t>
      </w:r>
      <w:r>
        <w:t xml:space="preserve"> </w:t>
      </w:r>
      <w:r>
        <w:t xml:space="preserve">page boundaries. Asserted by</w:t>
      </w:r>
      <w:r>
        <w:t xml:space="preserve"> </w:t>
      </w:r>
      <w:r>
        <w:rPr>
          <w:rStyle w:val="VerbatimChar"/>
        </w:rPr>
        <w:t xml:space="preserve">PEUserSearchServiceTest.pagingCollectsEveryRowExactlyOnce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lastLoginSortIsAcceptedAndPages</w:t>
      </w:r>
      <w:r>
        <w:t xml:space="preserve">. Cursors are integrity-checked; a tampered cursor</w:t>
      </w:r>
      <w:r>
        <w:t xml:space="preserve"> </w:t>
      </w:r>
      <w:r>
        <w:t xml:space="preserve">is rejected (</w:t>
      </w:r>
      <w:r>
        <w:rPr>
          <w:rStyle w:val="VerbatimChar"/>
        </w:rPr>
        <w:t xml:space="preserve">PermissionExplorerTest.tamperedCursorIsRejected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SOQL chunking.</w:t>
      </w:r>
      <w:r>
        <w:t xml:space="preserve"> </w:t>
      </w:r>
      <w:r>
        <w:t xml:space="preserve">A user may have hundreds of effective permission-set parents,</w:t>
      </w:r>
      <w:r>
        <w:t xml:space="preserve"> </w:t>
      </w:r>
      <w:r>
        <w:t xml:space="preserve">exceeding the bind-list ceiling for a single query.</w:t>
      </w:r>
      <w:r>
        <w:t xml:space="preserve"> </w:t>
      </w:r>
      <w:r>
        <w:rPr>
          <w:rStyle w:val="VerbatimChar"/>
        </w:rPr>
        <w:t xml:space="preserve">PESoqlChunker</w:t>
      </w:r>
      <w:r>
        <w:t xml:space="preserve"> </w:t>
      </w:r>
      <w:r>
        <w:t xml:space="preserve">splits the</w:t>
      </w:r>
      <w:r>
        <w:t xml:space="preserve"> </w:t>
      </w:r>
      <w:r>
        <w:t xml:space="preserve">parent set into batches and</w:t>
      </w:r>
      <w:r>
        <w:t xml:space="preserve"> </w:t>
      </w:r>
      <w:r>
        <w:rPr>
          <w:rStyle w:val="VerbatimChar"/>
        </w:rPr>
        <w:t xml:space="preserve">assertQueryBudget</w:t>
      </w:r>
      <w:r>
        <w:t xml:space="preserve"> </w:t>
      </w:r>
      <w:r>
        <w:t xml:space="preserve">pre-checks the resulting query count</w:t>
      </w:r>
      <w:r>
        <w:t xml:space="preserve"> </w:t>
      </w:r>
      <w:r>
        <w:t xml:space="preserve">against the governor limit before any query runs. This is why several methods query</w:t>
      </w:r>
      <w:r>
        <w:t xml:space="preserve"> </w:t>
      </w:r>
      <w:r>
        <w:t xml:space="preserve">inside a loop — see the false-positives document.</w:t>
      </w:r>
    </w:p>
    <w:p>
      <w:pPr>
        <w:pStyle w:val="BodyText"/>
      </w:pPr>
      <w:r>
        <w:rPr>
          <w:bCs/>
          <w:b/>
        </w:rPr>
        <w:t xml:space="preserve">Composite endpoint.</w:t>
      </w:r>
      <w:r>
        <w:t xml:space="preserve"> </w:t>
      </w:r>
      <w:r>
        <w:rPr>
          <w:rStyle w:val="VerbatimChar"/>
        </w:rPr>
        <w:t xml:space="preserve">getObjectDetail</w:t>
      </w:r>
      <w:r>
        <w:t xml:space="preserve"> </w:t>
      </w:r>
      <w:r>
        <w:t xml:space="preserve">returns object permissions, field</w:t>
      </w:r>
      <w:r>
        <w:t xml:space="preserve"> </w:t>
      </w:r>
      <w:r>
        <w:t xml:space="preserve">permissions, record types and sharing model in one round trip, so switching sections</w:t>
      </w:r>
      <w:r>
        <w:t xml:space="preserve"> </w:t>
      </w:r>
      <w:r>
        <w:t xml:space="preserve">in the UI is pure client-side rendering.</w:t>
      </w:r>
    </w:p>
    <w:p>
      <w:pPr>
        <w:pStyle w:val="BodyText"/>
      </w:pPr>
      <w:r>
        <w:rPr>
          <w:bCs/>
          <w:b/>
        </w:rPr>
        <w:t xml:space="preserve">Per-section error boundary.</w:t>
      </w:r>
      <w:r>
        <w:t xml:space="preserve"> </w:t>
      </w:r>
      <w:r>
        <w:t xml:space="preserve">A field-list failure populates a typed error on the</w:t>
      </w:r>
      <w:r>
        <w:t xml:space="preserve"> </w:t>
      </w:r>
      <w:r>
        <w:t xml:space="preserve">field section only; the object permissions panel that already rendered correctly is</w:t>
      </w:r>
      <w:r>
        <w:t xml:space="preserve"> </w:t>
      </w:r>
      <w:r>
        <w:t xml:space="preserve">not blanked.</w:t>
      </w:r>
    </w:p>
    <w:p>
      <w:r>
        <w:pict>
          <v:rect style="width:0;height:1.5pt" o:hralign="center" o:hrstd="t" o:hr="t"/>
        </w:pict>
      </w:r>
    </w:p>
    <w:bookmarkEnd w:id="28"/>
    <w:bookmarkStart w:id="32" w:name="usage-instructions"/>
    <w:p>
      <w:pPr>
        <w:pStyle w:val="Heading2"/>
      </w:pPr>
      <w:r>
        <w:t xml:space="preserve">8. Usage instructions</w:t>
      </w:r>
    </w:p>
    <w:bookmarkStart w:id="29" w:name="install-and-set-up"/>
    <w:p>
      <w:pPr>
        <w:pStyle w:val="Heading3"/>
      </w:pPr>
      <w:r>
        <w:t xml:space="preserve">Install and set up</w:t>
      </w:r>
    </w:p>
    <w:p>
      <w:pPr>
        <w:numPr>
          <w:ilvl w:val="0"/>
          <w:numId w:val="1003"/>
        </w:numPr>
        <w:pStyle w:val="Compact"/>
      </w:pPr>
      <w:r>
        <w:t xml:space="preserve">Install the package (Admins Only recommended).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Setup → Permission Sets 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PermissionCheckerPermissionSet</w:t>
      </w:r>
      <w:r>
        <w:rPr>
          <w:bCs/>
          <w:b/>
        </w:rPr>
        <w:t xml:space="preserve"> </w:t>
      </w:r>
      <w:r>
        <w:rPr>
          <w:bCs/>
          <w:b/>
        </w:rPr>
        <w:t xml:space="preserve">→ Manage</w:t>
      </w:r>
      <w:r>
        <w:rPr>
          <w:bCs/>
          <w:b/>
        </w:rPr>
        <w:t xml:space="preserve"> </w:t>
      </w:r>
      <w:r>
        <w:rPr>
          <w:bCs/>
          <w:b/>
        </w:rPr>
        <w:t xml:space="preserve">Assignments</w:t>
      </w:r>
      <w:r>
        <w:t xml:space="preserve"> </w:t>
      </w:r>
      <w:r>
        <w:t xml:space="preserve">— assign to the System Administrators who should be able to inspect</w:t>
      </w:r>
      <w:r>
        <w:t xml:space="preserve"> </w:t>
      </w:r>
      <w:r>
        <w:t xml:space="preserve">other users. Not automatic, by design.</w:t>
      </w:r>
    </w:p>
    <w:p>
      <w:pPr>
        <w:numPr>
          <w:ilvl w:val="0"/>
          <w:numId w:val="1003"/>
        </w:numPr>
        <w:pStyle w:val="Compact"/>
      </w:pPr>
      <w:r>
        <w:t xml:space="preserve">Check the App Launcher for</w:t>
      </w:r>
      <w:r>
        <w:t xml:space="preserve"> </w:t>
      </w:r>
      <w:r>
        <w:rPr>
          <w:bCs/>
          <w:b/>
        </w:rPr>
        <w:t xml:space="preserve">Who Sees What</w:t>
      </w:r>
      <w:r>
        <w:t xml:space="preserve">. If absent:</w:t>
      </w:r>
      <w:r>
        <w:t xml:space="preserve"> </w:t>
      </w:r>
      <w:r>
        <w:rPr>
          <w:bCs/>
          <w:b/>
        </w:rPr>
        <w:t xml:space="preserve">Setup → Profiles →</w:t>
      </w:r>
      <w:r>
        <w:t xml:space="preserve"> </w:t>
      </w:r>
      <w:r>
        <w:t xml:space="preserve">your profile</w:t>
      </w:r>
      <w:r>
        <w:t xml:space="preserve"> </w:t>
      </w:r>
      <w:r>
        <w:rPr>
          <w:bCs/>
          <w:b/>
        </w:rPr>
        <w:t xml:space="preserve">→ Assigned Apps → Edit →</w:t>
      </w:r>
      <w:r>
        <w:t xml:space="preserve"> </w:t>
      </w:r>
      <w:r>
        <w:t xml:space="preserve">enable</w:t>
      </w:r>
      <w:r>
        <w:t xml:space="preserve"> </w:t>
      </w:r>
      <w:r>
        <w:rPr>
          <w:bCs/>
          <w:b/>
        </w:rPr>
        <w:t xml:space="preserve">Who Sees What → Save</w:t>
      </w:r>
      <w:r>
        <w:t xml:space="preserve">.</w:t>
      </w:r>
      <w:r>
        <w:t xml:space="preserve"> </w:t>
      </w:r>
      <w:r>
        <w:t xml:space="preserve">(App assignment lives in profile metadata and cannot be granted by a permission</w:t>
      </w:r>
      <w:r>
        <w:t xml:space="preserve"> </w:t>
      </w:r>
      <w:r>
        <w:t xml:space="preserve">set.)</w:t>
      </w:r>
    </w:p>
    <w:p>
      <w:pPr>
        <w:numPr>
          <w:ilvl w:val="0"/>
          <w:numId w:val="1003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App Launcher → Who Sees What → Permission Explorer</w:t>
      </w:r>
      <w:r>
        <w:t xml:space="preserve">.</w:t>
      </w:r>
    </w:p>
    <w:p>
      <w:pPr>
        <w:pStyle w:val="FirstParagraph"/>
      </w:pPr>
      <w:r>
        <w:t xml:space="preserve">Before a user is selected the tool shows an onboarding panel restating these steps,</w:t>
      </w:r>
      <w:r>
        <w:t xml:space="preserve"> </w:t>
      </w:r>
      <w:r>
        <w:t xml:space="preserve">the capabilities, and the fact that use is logged.</w:t>
      </w:r>
    </w:p>
    <w:bookmarkEnd w:id="29"/>
    <w:bookmarkStart w:id="30" w:name="inspect-a-user"/>
    <w:p>
      <w:pPr>
        <w:pStyle w:val="Heading3"/>
      </w:pPr>
      <w:r>
        <w:t xml:space="preserve">Inspect a user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User column</w:t>
      </w:r>
      <w:r>
        <w:t xml:space="preserve"> </w:t>
      </w:r>
      <w:r>
        <w:t xml:space="preserve">— search by name, username, alias or email, or filter by profile,</w:t>
      </w:r>
      <w:r>
        <w:t xml:space="preserve"> </w:t>
      </w:r>
      <w:r>
        <w:t xml:space="preserve">role, or user type. Sort by name or last login. Results are keyset paginated.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Select a user</w:t>
      </w:r>
      <w:r>
        <w:t xml:space="preserve"> </w:t>
      </w:r>
      <w:r>
        <w:t xml:space="preserve">— the header shows profile, role, licence, last sign-in, and</w:t>
      </w:r>
      <w:r>
        <w:t xml:space="preserve"> </w:t>
      </w:r>
      <w:r>
        <w:t xml:space="preserve">counts of assigned permission sets and permission set groups. Each count opens a</w:t>
      </w:r>
      <w:r>
        <w:t xml:space="preserve"> </w:t>
      </w:r>
      <w:r>
        <w:t xml:space="preserve">drill-down modal with links to the corresponding Setup page.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App column</w:t>
      </w:r>
      <w:r>
        <w:t xml:space="preserve"> </w:t>
      </w:r>
      <w:r>
        <w:t xml:space="preserve">— apps visible to the user, each labelled</w:t>
      </w:r>
      <w:r>
        <w:t xml:space="preserve"> </w:t>
      </w:r>
      <w:r>
        <w:t xml:space="preserve">“</w:t>
      </w:r>
      <w:r>
        <w:t xml:space="preserve">visibility estimated.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Open an app</w:t>
      </w:r>
      <w:r>
        <w:t xml:space="preserve"> </w:t>
      </w:r>
      <w:r>
        <w:t xml:space="preserve">— objects and tabs reachable from it, with C/R/U/D/View All/Modify</w:t>
      </w:r>
      <w:r>
        <w:t xml:space="preserve"> </w:t>
      </w:r>
      <w:r>
        <w:t xml:space="preserve">All chips and the granting source for each. Objects with data access but no tab in</w:t>
      </w:r>
      <w:r>
        <w:t xml:space="preserve"> </w:t>
      </w:r>
      <w:r>
        <w:t xml:space="preserve">the app are surfaced separately, as a frequent cause of</w:t>
      </w:r>
      <w:r>
        <w:t xml:space="preserve"> </w:t>
      </w:r>
      <w:r>
        <w:t xml:space="preserve">“</w:t>
      </w:r>
      <w:r>
        <w:t xml:space="preserve">why can they see this?</w:t>
      </w:r>
      <w:r>
        <w:t xml:space="preserve">”</w:t>
      </w:r>
      <w:r>
        <w:t xml:space="preserve"> </w:t>
      </w:r>
      <w:r>
        <w:t xml:space="preserve">questions.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Expand an object</w:t>
      </w:r>
      <w:r>
        <w:t xml:space="preserve"> </w:t>
      </w:r>
      <w:r>
        <w:t xml:space="preserve">— three tabs:</w:t>
      </w:r>
      <w:r>
        <w:t xml:space="preserve"> </w:t>
      </w:r>
      <w:r>
        <w:rPr>
          <w:bCs/>
          <w:b/>
        </w:rPr>
        <w:t xml:space="preserve">Fields</w:t>
      </w:r>
      <w:r>
        <w:t xml:space="preserve"> </w:t>
      </w:r>
      <w:r>
        <w:t xml:space="preserve">(readable/editable per field, with</w:t>
      </w:r>
      <w:r>
        <w:t xml:space="preserve"> </w:t>
      </w:r>
      <w:r>
        <w:t xml:space="preserve">granting sources, and an explicit reason where FLS does not apply, such as formula</w:t>
      </w:r>
      <w:r>
        <w:t xml:space="preserve"> </w:t>
      </w:r>
      <w:r>
        <w:t xml:space="preserve">or required fields),</w:t>
      </w:r>
      <w:r>
        <w:t xml:space="preserve"> </w:t>
      </w:r>
      <w:r>
        <w:rPr>
          <w:bCs/>
          <w:b/>
        </w:rPr>
        <w:t xml:space="preserve">Record types</w:t>
      </w:r>
      <w:r>
        <w:t xml:space="preserve"> </w:t>
      </w:r>
      <w:r>
        <w:t xml:space="preserve">(org-level list under the</w:t>
      </w:r>
      <w:r>
        <w:t xml:space="preserve"> </w:t>
      </w:r>
      <w:r>
        <w:t xml:space="preserve">“</w:t>
      </w:r>
      <w:r>
        <w:t xml:space="preserve">not analysed</w:t>
      </w:r>
      <w:r>
        <w:t xml:space="preserve">”</w:t>
      </w:r>
      <w:r>
        <w:t xml:space="preserve"> </w:t>
      </w:r>
      <w:r>
        <w:t xml:space="preserve">notice),</w:t>
      </w:r>
      <w:r>
        <w:t xml:space="preserve"> </w:t>
      </w:r>
      <w:r>
        <w:rPr>
          <w:bCs/>
          <w:b/>
        </w:rPr>
        <w:t xml:space="preserve">Origin</w:t>
      </w:r>
      <w:r>
        <w:t xml:space="preserve"> </w:t>
      </w:r>
      <w:r>
        <w:t xml:space="preserve">(where the object access came from).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Copy link</w:t>
      </w:r>
      <w:r>
        <w:t xml:space="preserve"> </w:t>
      </w:r>
      <w:r>
        <w:t xml:space="preserve">shares the current selection;</w:t>
      </w:r>
      <w:r>
        <w:t xml:space="preserve"> </w:t>
      </w:r>
      <w:r>
        <w:rPr>
          <w:bCs/>
          <w:b/>
        </w:rPr>
        <w:t xml:space="preserve">Refresh data</w:t>
      </w:r>
      <w:r>
        <w:t xml:space="preserve"> </w:t>
      </w:r>
      <w:r>
        <w:t xml:space="preserve">bumps a cache version</w:t>
      </w:r>
      <w:r>
        <w:t xml:space="preserve"> </w:t>
      </w:r>
      <w:r>
        <w:t xml:space="preserve">token rather than clearing the partition, so one admin refreshing does not cost</w:t>
      </w:r>
      <w:r>
        <w:t xml:space="preserve"> </w:t>
      </w:r>
      <w:r>
        <w:t xml:space="preserve">every other admin their warm cache.</w:t>
      </w:r>
    </w:p>
    <w:bookmarkEnd w:id="30"/>
    <w:bookmarkStart w:id="31" w:name="verifying-the-audit-trail"/>
    <w:p>
      <w:pPr>
        <w:pStyle w:val="Heading3"/>
      </w:pPr>
      <w:r>
        <w:t xml:space="preserve">Verifying the audit trail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twinforce__Inspector_User__c, twinforce__Subject_User__c,</w:t>
      </w:r>
      <w:r>
        <w:br/>
      </w:r>
      <w:r>
        <w:rPr>
          <w:rStyle w:val="NormalTok"/>
        </w:rPr>
        <w:t xml:space="preserve">       twinforce__Action__c, twinforce__Inspected_At__c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twinforce__PE_Inspection_Log__c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CreatedDate </w:t>
      </w:r>
      <w:r>
        <w:rPr>
          <w:rStyle w:val="KeywordTok"/>
        </w:rPr>
        <w:t xml:space="preserve">DESC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test-coverage"/>
    <w:p>
      <w:pPr>
        <w:pStyle w:val="Heading2"/>
      </w:pPr>
      <w:r>
        <w:t xml:space="preserve">9. Test coverage</w:t>
      </w:r>
    </w:p>
    <w:p>
      <w:pPr>
        <w:pStyle w:val="FirstParagraph"/>
      </w:pPr>
      <w:r>
        <w:t xml:space="preserve">101 Apex tests, 100% passing, 88% package coverage.</w:t>
      </w:r>
    </w:p>
    <w:p>
      <w:pPr>
        <w:pStyle w:val="BodyText"/>
      </w:pPr>
      <w:r>
        <w:t xml:space="preserve">Tests assert security properties, not only happy paths: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unauthorisedCallerIsRejectedByEveryEntryPoint</w:t>
      </w:r>
      <w:r>
        <w:t xml:space="preserve"> </w:t>
      </w:r>
      <w:r>
        <w:t xml:space="preserve">— the gate rejects on every entry point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unauthorisedUserIsRejectedBeforeAnyQuery</w:t>
      </w:r>
      <w:r>
        <w:t xml:space="preserve"> </w:t>
      </w:r>
      <w:r>
        <w:t xml:space="preserve">— rejection happens before any SOQL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quoteInTermIsBoundNotInterpolated</w:t>
      </w:r>
      <w:r>
        <w:t xml:space="preserve"> </w:t>
      </w:r>
      <w:r>
        <w:t xml:space="preserve">— search terms are bound, never interpolated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disallowedSortFieldIsRejected</w:t>
      </w:r>
      <w:r>
        <w:t xml:space="preserve"> </w:t>
      </w:r>
      <w:r>
        <w:t xml:space="preserve">— the sort allowlist holds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tamperedCursorIsRejected</w:t>
      </w:r>
      <w:r>
        <w:t xml:space="preserve"> </w:t>
      </w:r>
      <w:r>
        <w:t xml:space="preserve">— cursor integrity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pagingCollectsEveryRowExactlyOnce</w:t>
      </w:r>
      <w:r>
        <w:t xml:space="preserve"> </w:t>
      </w:r>
      <w:r>
        <w:t xml:space="preserve">— no duplicated or skipped rows across pages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mutingSubtractsAGrantedPermission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mutingDoesNotInventAGrant</w:t>
      </w:r>
      <w:r>
        <w:t xml:space="preserve">,</w:t>
      </w:r>
      <w:r>
        <w:t xml:space="preserve"> </w:t>
      </w:r>
      <w:r>
        <w:rPr>
          <w:rStyle w:val="VerbatimChar"/>
        </w:rPr>
        <w:t xml:space="preserve">mutingDoesNotLeakAcrossPermissions</w:t>
      </w:r>
      <w:r>
        <w:t xml:space="preserve"> </w:t>
      </w:r>
      <w:r>
        <w:t xml:space="preserve">— muting logic correctness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absentRowMeansNoAccessNotUnknown</w:t>
      </w:r>
      <w:r>
        <w:t xml:space="preserve"> </w:t>
      </w:r>
      <w:r>
        <w:t xml:space="preserve">— the absence rule</w:t>
      </w:r>
    </w:p>
    <w:p>
      <w:pPr>
        <w:pStyle w:val="FirstParagraph"/>
      </w:pPr>
      <w:r>
        <w:rPr>
          <w:rStyle w:val="VerbatimChar"/>
        </w:rPr>
        <w:t xml:space="preserve">PEUserDetailService</w:t>
      </w:r>
      <w:r>
        <w:t xml:space="preserve"> </w:t>
      </w:r>
      <w:r>
        <w:t xml:space="preserve">is capped near 57% by two platform constraints, documented in</w:t>
      </w:r>
      <w:r>
        <w:t xml:space="preserve"> </w:t>
      </w:r>
      <w:r>
        <w:t xml:space="preserve">the class header:</w:t>
      </w:r>
      <w:r>
        <w:t xml:space="preserve"> </w:t>
      </w:r>
      <w:r>
        <w:rPr>
          <w:rStyle w:val="VerbatimChar"/>
        </w:rPr>
        <w:t xml:space="preserve">Schema.isAccessible()</w:t>
      </w:r>
      <w:r>
        <w:t xml:space="preserve"> </w:t>
      </w:r>
      <w:r>
        <w:t xml:space="preserve">cannot be made to return false from a test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System.runAs</w:t>
      </w:r>
      <w:r>
        <w:t xml:space="preserve"> </w:t>
      </w:r>
      <w:r>
        <w:t xml:space="preserve">enforces sharing but not CRUD, and</w:t>
      </w:r>
      <w:r>
        <w:t xml:space="preserve"> </w:t>
      </w:r>
      <w:r>
        <w:rPr>
          <w:rStyle w:val="VerbatimChar"/>
        </w:rPr>
        <w:t xml:space="preserve">LoginHistory</w:t>
      </w:r>
      <w:r>
        <w:t xml:space="preserve"> </w:t>
      </w:r>
      <w:r>
        <w:t xml:space="preserve">rows cannot</w:t>
      </w:r>
      <w:r>
        <w:t xml:space="preserve"> </w:t>
      </w:r>
      <w:r>
        <w:t xml:space="preserve">be inserted in a test context.</w:t>
      </w:r>
    </w:p>
    <w:p>
      <w:r>
        <w:pict>
          <v:rect style="width:0;height:1.5pt" o:hralign="center" o:hrstd="t" o:hr="t"/>
        </w:pict>
      </w:r>
    </w:p>
    <w:bookmarkEnd w:id="33"/>
    <w:bookmarkStart w:id="34" w:name="static-analysis"/>
    <w:p>
      <w:pPr>
        <w:pStyle w:val="Heading2"/>
      </w:pPr>
      <w:r>
        <w:t xml:space="preserve">10. Static analysis</w:t>
      </w:r>
    </w:p>
    <w:p>
      <w:pPr>
        <w:pStyle w:val="FirstParagraph"/>
      </w:pPr>
      <w:r>
        <w:t xml:space="preserve">Salesforce Code Analyzer, AppExchange and Security rulesets:</w:t>
      </w:r>
      <w:r>
        <w:t xml:space="preserve"> </w:t>
      </w:r>
      <w:r>
        <w:rPr>
          <w:bCs/>
          <w:b/>
        </w:rPr>
        <w:t xml:space="preserve">0 violations.</w:t>
      </w:r>
    </w:p>
    <w:p>
      <w:pPr>
        <w:pStyle w:val="SourceCode"/>
      </w:pPr>
      <w:r>
        <w:rPr>
          <w:rStyle w:val="VerbatimChar"/>
        </w:rPr>
        <w:t xml:space="preserve">sf code-analyzer run --workspace force-app --config-file code-analyzer.yml \</w:t>
      </w:r>
      <w:r>
        <w:br/>
      </w:r>
      <w:r>
        <w:rPr>
          <w:rStyle w:val="VerbatimChar"/>
        </w:rPr>
        <w:t xml:space="preserve">  --rule-selector AppExchange --rule-selector Recommended:Security</w:t>
      </w:r>
    </w:p>
    <w:p>
      <w:pPr>
        <w:pStyle w:val="FirstParagraph"/>
      </w:pPr>
      <w:r>
        <w:t xml:space="preserve">Six</w:t>
      </w:r>
      <w:r>
        <w:t xml:space="preserve"> </w:t>
      </w:r>
      <w:r>
        <w:rPr>
          <w:rStyle w:val="VerbatimChar"/>
        </w:rPr>
        <w:t xml:space="preserve">@SuppressWarnings</w:t>
      </w:r>
      <w:r>
        <w:t xml:space="preserve"> </w:t>
      </w:r>
      <w:r>
        <w:t xml:space="preserve">annotations remain in</w:t>
      </w:r>
      <w:r>
        <w:t xml:space="preserve"> </w:t>
      </w:r>
      <w:r>
        <w:rPr>
          <w:rStyle w:val="VerbatimChar"/>
        </w:rPr>
        <w:t xml:space="preserve">PEAccessQueryService</w:t>
      </w:r>
      <w:r>
        <w:t xml:space="preserve">, none of which</w:t>
      </w:r>
      <w:r>
        <w:t xml:space="preserve"> </w:t>
      </w:r>
      <w:r>
        <w:t xml:space="preserve">appear in the AppExchange or Security rulesets. Each is justified in the</w:t>
      </w:r>
      <w:r>
        <w:t xml:space="preserve"> </w:t>
      </w:r>
      <w:r>
        <w:t xml:space="preserve">false-positives document and in the code itself.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2026-08-17T11:08:29Z</dcterms:created>
  <dcterms:modified xsi:type="dcterms:W3CDTF">2026-08-17T11:08:29Z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