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5257b6c3edaaf5fdd50ed3ab5136d77d4e914d"/>
    <w:p>
      <w:pPr>
        <w:pStyle w:val="Heading1"/>
      </w:pPr>
      <w:r>
        <w:t xml:space="preserve">Who Sees What — False Positives and Accepted Findings</w:t>
      </w:r>
    </w:p>
    <w:p>
      <w:pPr>
        <w:pStyle w:val="FirstParagraph"/>
      </w:pPr>
      <w:r>
        <w:rPr>
          <w:bCs/>
          <w:b/>
        </w:rPr>
        <w:t xml:space="preserve">Package:</w:t>
      </w:r>
      <w:r>
        <w:t xml:space="preserve"> </w:t>
      </w:r>
      <w:r>
        <w:t xml:space="preserve">Who Sees What (</w:t>
      </w:r>
      <w:r>
        <w:rPr>
          <w:rStyle w:val="VerbatimChar"/>
        </w:rPr>
        <w:t xml:space="preserve">twinforce</w:t>
      </w:r>
      <w:r>
        <w:t xml:space="preserve">) · Package Id</w:t>
      </w:r>
      <w:r>
        <w:t xml:space="preserve"> </w:t>
      </w:r>
      <w:r>
        <w:rPr>
          <w:rStyle w:val="VerbatimChar"/>
        </w:rPr>
        <w:t xml:space="preserve">0HoOW00000000ZV0AY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rPr>
          <w:rStyle w:val="VerbatimChar"/>
        </w:rPr>
        <w:t xml:space="preserve">[FILL IN]</w:t>
      </w:r>
      <w:r>
        <w:t xml:space="preserve"> </w:t>
      </w:r>
      <w:r>
        <w:rPr>
          <w:bCs/>
          <w:b/>
        </w:rPr>
        <w:t xml:space="preserve">Scanner:</w:t>
      </w:r>
      <w:r>
        <w:t xml:space="preserve"> </w:t>
      </w:r>
      <w:r>
        <w:t xml:space="preserve">Salesforce Code Analyzer</w:t>
      </w:r>
      <w:r>
        <w:t xml:space="preserve"> </w:t>
      </w:r>
      <w:r>
        <w:rPr>
          <w:rStyle w:val="VerbatimChar"/>
        </w:rPr>
        <w:t xml:space="preserve">[FILL IN VERSION, e.g. 0.52.0]</w:t>
      </w:r>
      <w:r>
        <w:t xml:space="preserve"> </w:t>
      </w:r>
      <w:r>
        <w:t xml:space="preserve">(PMD 7.26.0, RetireJS, Graph Engine)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rPr>
          <w:rStyle w:val="VerbatimChar"/>
        </w:rPr>
        <w:t xml:space="preserve">[FILL IN]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AppExchange and Security rulesets report</w:t>
      </w:r>
      <w:r>
        <w:t xml:space="preserve"> </w:t>
      </w:r>
      <w:r>
        <w:rPr>
          <w:bCs/>
          <w:b/>
        </w:rPr>
        <w:t xml:space="preserve">0 violations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sf code-analyzer run --workspace force-app --config-file code-analyzer.yml \</w:t>
      </w:r>
      <w:r>
        <w:br/>
      </w:r>
      <w:r>
        <w:rPr>
          <w:rStyle w:val="VerbatimChar"/>
        </w:rPr>
        <w:t xml:space="preserve">  --rule-selector AppExchange --rule-selector Recommended:Security</w:t>
      </w:r>
      <w:r>
        <w:br/>
      </w:r>
      <w:r>
        <w:rPr>
          <w:rStyle w:val="VerbatimChar"/>
        </w:rPr>
        <w:t xml:space="preserve">→ Found 0 violations.</w:t>
      </w:r>
    </w:p>
    <w:p>
      <w:pPr>
        <w:pStyle w:val="FirstParagraph"/>
      </w:pPr>
      <w:r>
        <w:t xml:space="preserve">This document covers the six</w:t>
      </w:r>
      <w:r>
        <w:t xml:space="preserve"> </w:t>
      </w:r>
      <w:r>
        <w:rPr>
          <w:rStyle w:val="VerbatimChar"/>
        </w:rPr>
        <w:t xml:space="preserve">@SuppressWarnings</w:t>
      </w:r>
      <w:r>
        <w:t xml:space="preserve"> </w:t>
      </w:r>
      <w:r>
        <w:t xml:space="preserve">annotations present in the source</w:t>
      </w:r>
      <w:r>
        <w:t xml:space="preserve"> </w:t>
      </w:r>
      <w:r>
        <w:t xml:space="preserve">and two scanner conditions a reviewer may notice.</w:t>
      </w:r>
      <w:r>
        <w:t xml:space="preserve"> </w:t>
      </w:r>
      <w:r>
        <w:rPr>
          <w:bCs/>
          <w:b/>
        </w:rPr>
        <w:t xml:space="preserve">None of the suppressed rules</w:t>
      </w:r>
      <w:r>
        <w:rPr>
          <w:bCs/>
          <w:b/>
        </w:rPr>
        <w:t xml:space="preserve"> </w:t>
      </w:r>
      <w:r>
        <w:rPr>
          <w:bCs/>
          <w:b/>
        </w:rPr>
        <w:t xml:space="preserve">appear in the AppExchange or Security rulesets</w:t>
      </w:r>
      <w:r>
        <w:t xml:space="preserve"> </w:t>
      </w:r>
      <w:r>
        <w:t xml:space="preserve">— verified by removing all six</w:t>
      </w:r>
      <w:r>
        <w:t xml:space="preserve"> </w:t>
      </w:r>
      <w:r>
        <w:t xml:space="preserve">annotations and re-running the gate scan, which still returned 0 violations. They</w:t>
      </w:r>
      <w:r>
        <w:t xml:space="preserve"> </w:t>
      </w:r>
      <w:r>
        <w:t xml:space="preserve">are retained so that the broader</w:t>
      </w:r>
      <w:r>
        <w:t xml:space="preserve"> </w:t>
      </w:r>
      <w:r>
        <w:rPr>
          <w:rStyle w:val="VerbatimChar"/>
        </w:rPr>
        <w:t xml:space="preserve">Recommended</w:t>
      </w:r>
      <w:r>
        <w:t xml:space="preserve"> </w:t>
      </w:r>
      <w:r>
        <w:t xml:space="preserve">triage view stays quiet and genuine</w:t>
      </w:r>
      <w:r>
        <w:t xml:space="preserve"> </w:t>
      </w:r>
      <w:r>
        <w:t xml:space="preserve">new findings are not lost among known ones.</w:t>
      </w:r>
    </w:p>
    <w:p>
      <w:pPr>
        <w:pStyle w:val="BodyText"/>
      </w:pPr>
      <w:r>
        <w:t xml:space="preserve">Each is a design decision, documented in the code at the point of suppression as</w:t>
      </w:r>
      <w:r>
        <w:t xml:space="preserve"> </w:t>
      </w:r>
      <w:r>
        <w:t xml:space="preserve">well as here.</w:t>
      </w:r>
    </w:p>
    <w:p>
      <w:r>
        <w:pict>
          <v:rect style="width:0;height:1.5pt" o:hralign="center" o:hrstd="t" o:hr="t"/>
        </w:pict>
      </w:r>
    </w:p>
    <w:bookmarkEnd w:id="20"/>
    <w:bookmarkStart w:id="21" w:name="X71354e601b2c9fde48fb72428aac255329f41d6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PMD.OperationWithLimitsInLoop</w:t>
      </w:r>
      <w:r>
        <w:t xml:space="preserve"> </w:t>
      </w:r>
      <w:r>
        <w:t xml:space="preserve">— 5 instances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PEAccessQueryService.cls</w:t>
      </w:r>
      <w:r>
        <w:t xml:space="preserve">, on</w:t>
      </w:r>
      <w:r>
        <w:t xml:space="preserve"> </w:t>
      </w:r>
      <w:r>
        <w:rPr>
          <w:rStyle w:val="VerbatimChar"/>
        </w:rPr>
        <w:t xml:space="preserve">applyTabVisibility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applyObjectPermissions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appendAccessWithoutTab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buildObjectGrants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buildFieldPerms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it fires:</w:t>
      </w:r>
      <w:r>
        <w:t xml:space="preserve"> </w:t>
      </w:r>
      <w:r>
        <w:t xml:space="preserve">each method contains a SOQL query inside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loop.</w:t>
      </w:r>
    </w:p>
    <w:p>
      <w:pPr>
        <w:pStyle w:val="BodyText"/>
      </w:pPr>
      <w:r>
        <w:rPr>
          <w:bCs/>
          <w:b/>
        </w:rPr>
        <w:t xml:space="preserve">Why it is not a defect:</w:t>
      </w:r>
      <w:r>
        <w:t xml:space="preserve"> </w:t>
      </w:r>
      <w:r>
        <w:t xml:space="preserve">the loop exists precisely to respect governor limits,</w:t>
      </w:r>
      <w:r>
        <w:t xml:space="preserve"> </w:t>
      </w:r>
      <w:r>
        <w:t xml:space="preserve">not in ignorance of them.</w:t>
      </w:r>
    </w:p>
    <w:p>
      <w:pPr>
        <w:pStyle w:val="BodyText"/>
      </w:pPr>
      <w:r>
        <w:t xml:space="preserve">A user’s effective permission-set parents include their profile-as-permission-set,</w:t>
      </w:r>
      <w:r>
        <w:t xml:space="preserve"> </w:t>
      </w:r>
      <w:r>
        <w:t xml:space="preserve">every directly assigned permission set, and every component of every assigned</w:t>
      </w:r>
      <w:r>
        <w:t xml:space="preserve"> </w:t>
      </w:r>
      <w:r>
        <w:t xml:space="preserve">permission set group. In a large enterprise org this is routinely hundreds of Ids —</w:t>
      </w:r>
      <w:r>
        <w:t xml:space="preserve"> </w:t>
      </w:r>
      <w:r>
        <w:t xml:space="preserve">more than a single SOQL bind list can safely carry.</w:t>
      </w:r>
      <w:r>
        <w:t xml:space="preserve"> </w:t>
      </w:r>
      <w:r>
        <w:rPr>
          <w:rStyle w:val="VerbatimChar"/>
        </w:rPr>
        <w:t xml:space="preserve">PESoqlChunker.chunk()</w:t>
      </w:r>
      <w:r>
        <w:t xml:space="preserve"> </w:t>
      </w:r>
      <w:r>
        <w:t xml:space="preserve">splits</w:t>
      </w:r>
      <w:r>
        <w:t xml:space="preserve"> </w:t>
      </w:r>
      <w:r>
        <w:t xml:space="preserve">the parent set into batches, and</w:t>
      </w:r>
      <w:r>
        <w:t xml:space="preserve"> </w:t>
      </w:r>
      <w:r>
        <w:rPr>
          <w:rStyle w:val="VerbatimChar"/>
        </w:rPr>
        <w:t xml:space="preserve">PESoqlChunker.assertQueryBudget(batches.size())</w:t>
      </w:r>
      <w:r>
        <w:t xml:space="preserve"> </w:t>
      </w:r>
      <w:r>
        <w:t xml:space="preserve">checks the resulting query count against the governor limit</w:t>
      </w:r>
      <w:r>
        <w:t xml:space="preserve"> </w:t>
      </w:r>
      <w:r>
        <w:rPr>
          <w:bCs/>
          <w:b/>
        </w:rPr>
        <w:t xml:space="preserve">before any query</w:t>
      </w:r>
      <w:r>
        <w:rPr>
          <w:bCs/>
          <w:b/>
        </w:rPr>
        <w:t xml:space="preserve"> </w:t>
      </w:r>
      <w:r>
        <w:rPr>
          <w:bCs/>
          <w:b/>
        </w:rPr>
        <w:t xml:space="preserve">runs</w:t>
      </w:r>
      <w:r>
        <w:t xml:space="preserve">, throwing a typed</w:t>
      </w:r>
      <w:r>
        <w:t xml:space="preserve"> </w:t>
      </w:r>
      <w:r>
        <w:rPr>
          <w:rStyle w:val="VerbatimChar"/>
        </w:rPr>
        <w:t xml:space="preserve">LIMIT_EXCEEDED</w:t>
      </w:r>
      <w:r>
        <w:t xml:space="preserve"> </w:t>
      </w:r>
      <w:r>
        <w:t xml:space="preserve">error the UI renders as a retryable</w:t>
      </w:r>
      <w:r>
        <w:t xml:space="preserve"> </w:t>
      </w:r>
      <w:r>
        <w:t xml:space="preserve">per-section failure.</w:t>
      </w:r>
    </w:p>
    <w:p>
      <w:pPr>
        <w:pStyle w:val="BodyText"/>
      </w:pPr>
      <w:r>
        <w:t xml:space="preserve">Hoisting the queries out of the loop is the bug this pattern prevents: a single</w:t>
      </w:r>
      <w:r>
        <w:t xml:space="preserve"> </w:t>
      </w:r>
      <w:r>
        <w:t xml:space="preserve">query with an unbounded bind list either fails at runtime or silently truncates.</w:t>
      </w:r>
    </w:p>
    <w:p>
      <w:pPr>
        <w:pStyle w:val="BodyText"/>
      </w:pPr>
      <w:r>
        <w:rPr>
          <w:bCs/>
          <w:b/>
        </w:rPr>
        <w:t xml:space="preserve">Security impact:</w:t>
      </w:r>
      <w:r>
        <w:t xml:space="preserve"> </w:t>
      </w:r>
      <w:r>
        <w:t xml:space="preserve">none. This is a performance and correctness rule, not a</w:t>
      </w:r>
      <w:r>
        <w:t xml:space="preserve"> </w:t>
      </w:r>
      <w:r>
        <w:t xml:space="preserve">security rule. It does not appear in the AppExchange or Security rulesets. Every</w:t>
      </w:r>
      <w:r>
        <w:t xml:space="preserve"> </w:t>
      </w:r>
      <w:r>
        <w:t xml:space="preserve">query involved runs in user mode (</w:t>
      </w:r>
      <w:r>
        <w:rPr>
          <w:rStyle w:val="VerbatimChar"/>
        </w:rPr>
        <w:t xml:space="preserve">WITH USER_MODE</w:t>
      </w:r>
      <w:r>
        <w:t xml:space="preserve">), so object and field permissions</w:t>
      </w:r>
      <w:r>
        <w:t xml:space="preserve"> </w:t>
      </w:r>
      <w:r>
        <w:t xml:space="preserve">are enforced regardless of how the query is batched.</w:t>
      </w:r>
    </w:p>
    <w:p>
      <w:pPr>
        <w:pStyle w:val="BodyText"/>
      </w:pPr>
      <w:r>
        <w:rPr>
          <w:bCs/>
          <w:b/>
        </w:rPr>
        <w:t xml:space="preserve">Mitigation in place:</w:t>
      </w:r>
      <w:r>
        <w:t xml:space="preserve"> </w:t>
      </w:r>
      <w:r>
        <w:t xml:space="preserve">pre-flight query budget check; typed retryable error;</w:t>
      </w:r>
      <w:r>
        <w:t xml:space="preserve"> </w:t>
      </w:r>
      <w:r>
        <w:t xml:space="preserve">Platform Cache on the resolved result so repeated drill-downs within a session do</w:t>
      </w:r>
      <w:r>
        <w:t xml:space="preserve"> </w:t>
      </w:r>
      <w:r>
        <w:t xml:space="preserve">not re-run the chain.</w:t>
      </w:r>
    </w:p>
    <w:p>
      <w:r>
        <w:pict>
          <v:rect style="width:0;height:1.5pt" o:hralign="center" o:hrstd="t" o:hr="t"/>
        </w:pict>
      </w:r>
    </w:p>
    <w:bookmarkEnd w:id="21"/>
    <w:bookmarkStart w:id="22" w:name="X864755a43b40cbc2a95691325b9cc4422c17563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PMD.CognitiveComplexity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PMD.CyclomaticComplexity</w:t>
      </w:r>
      <w:r>
        <w:t xml:space="preserve"> </w:t>
      </w:r>
      <w:r>
        <w:t xml:space="preserve">— 1 class-level instance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PEAccessQueryService.cls</w:t>
      </w:r>
      <w:r>
        <w:t xml:space="preserve">, class declaration.</w:t>
      </w:r>
    </w:p>
    <w:p>
      <w:pPr>
        <w:pStyle w:val="BodyText"/>
      </w:pPr>
      <w:r>
        <w:rPr>
          <w:bCs/>
          <w:b/>
        </w:rPr>
        <w:t xml:space="preserve">Why it fires:</w:t>
      </w:r>
      <w:r>
        <w:t xml:space="preserve"> </w:t>
      </w:r>
      <w:r>
        <w:t xml:space="preserve">class cognitive complexity 81 against a threshold of 50;</w:t>
      </w:r>
      <w:r>
        <w:t xml:space="preserve"> </w:t>
      </w:r>
      <w:r>
        <w:t xml:space="preserve">cyclomatic complexity 51 against 50.</w:t>
      </w:r>
    </w:p>
    <w:p>
      <w:pPr>
        <w:pStyle w:val="BodyText"/>
      </w:pPr>
      <w:r>
        <w:rPr>
          <w:bCs/>
          <w:b/>
        </w:rPr>
        <w:t xml:space="preserve">Why it is not a defect:</w:t>
      </w:r>
      <w:r>
        <w:t xml:space="preserve"> </w:t>
      </w:r>
      <w:r>
        <w:t xml:space="preserve">the complexity is breadth, not depth. This class is the</w:t>
      </w:r>
      <w:r>
        <w:t xml:space="preserve"> </w:t>
      </w:r>
      <w:r>
        <w:t xml:space="preserve">query surface for the whole product: six permission columns (create, read, update,</w:t>
      </w:r>
      <w:r>
        <w:t xml:space="preserve"> </w:t>
      </w:r>
      <w:r>
        <w:t xml:space="preserve">delete, view all, modify all) across four distinct query shapes (tab visibility,</w:t>
      </w:r>
      <w:r>
        <w:t xml:space="preserve"> </w:t>
      </w:r>
      <w:r>
        <w:t xml:space="preserve">object permissions, access-without-tab, field permissions). Individual method</w:t>
      </w:r>
      <w:r>
        <w:t xml:space="preserve"> </w:t>
      </w:r>
      <w:r>
        <w:t xml:space="preserve">complexity was reduced during remediation by extracting</w:t>
      </w:r>
      <w:r>
        <w:t xml:space="preserve"> </w:t>
      </w:r>
      <w:r>
        <w:rPr>
          <w:rStyle w:val="VerbatimChar"/>
        </w:rPr>
        <w:t xml:space="preserve">mergeCrud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apiNameByTabName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newAccessWithoutTabRow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seedFieldRows</w:t>
      </w:r>
      <w:r>
        <w:t xml:space="preserve">; the class total</w:t>
      </w:r>
      <w:r>
        <w:t xml:space="preserve"> </w:t>
      </w:r>
      <w:r>
        <w:t xml:space="preserve">remains above the threshold because the breadth is inherent.</w:t>
      </w:r>
    </w:p>
    <w:p>
      <w:pPr>
        <w:pStyle w:val="BodyText"/>
      </w:pPr>
      <w:r>
        <w:t xml:space="preserve">Splitting the class to satisfy a numeric threshold would scatter the</w:t>
      </w:r>
      <w:r>
        <w:t xml:space="preserve"> </w:t>
      </w:r>
      <w:r>
        <w:rPr>
          <w:iCs/>
          <w:i/>
        </w:rPr>
        <w:t xml:space="preserve">absence rule</w:t>
      </w:r>
      <w:r>
        <w:t xml:space="preserve"> </w:t>
      </w:r>
      <w:r>
        <w:t xml:space="preserve">— a missing</w:t>
      </w:r>
      <w:r>
        <w:t xml:space="preserve"> </w:t>
      </w:r>
      <w:r>
        <w:rPr>
          <w:rStyle w:val="VerbatimChar"/>
        </w:rPr>
        <w:t xml:space="preserve">ObjectPermissions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FieldPermissions</w:t>
      </w:r>
      <w:r>
        <w:t xml:space="preserve"> </w:t>
      </w:r>
      <w:r>
        <w:t xml:space="preserve">row means</w:t>
      </w:r>
      <w:r>
        <w:t xml:space="preserve"> </w:t>
      </w:r>
      <w:r>
        <w:rPr>
          <w:bCs/>
          <w:b/>
        </w:rPr>
        <w:t xml:space="preserve">no access</w:t>
      </w:r>
      <w:r>
        <w:t xml:space="preserve">, never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— across multiple files. That rule is the one invariant that must hold</w:t>
      </w:r>
      <w:r>
        <w:t xml:space="preserve"> </w:t>
      </w:r>
      <w:r>
        <w:t xml:space="preserve">identically in every code path in this product, and keeping it in one file is worth</w:t>
      </w:r>
      <w:r>
        <w:t xml:space="preserve"> </w:t>
      </w:r>
      <w:r>
        <w:t xml:space="preserve">more than a metric.</w:t>
      </w:r>
    </w:p>
    <w:p>
      <w:pPr>
        <w:pStyle w:val="BodyText"/>
      </w:pPr>
      <w:r>
        <w:rPr>
          <w:bCs/>
          <w:b/>
        </w:rPr>
        <w:t xml:space="preserve">Security impact:</w:t>
      </w:r>
      <w:r>
        <w:t xml:space="preserve"> </w:t>
      </w:r>
      <w:r>
        <w:t xml:space="preserve">none. Complexity metrics are maintainability rules. Not in the</w:t>
      </w:r>
      <w:r>
        <w:t xml:space="preserve"> </w:t>
      </w:r>
      <w:r>
        <w:t xml:space="preserve">AppExchange or Security rulesets.</w:t>
      </w:r>
    </w:p>
    <w:p>
      <w:r>
        <w:pict>
          <v:rect style="width:0;height:1.5pt" o:hralign="center" o:hrstd="t" o:hr="t"/>
        </w:pict>
      </w:r>
    </w:p>
    <w:bookmarkEnd w:id="22"/>
    <w:bookmarkStart w:id="23" w:name="Xdc3abfd282fa927b373bc023e98dda1e3c2d46f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PMD.ApexSOQLInjection</w:t>
      </w:r>
      <w:r>
        <w:t xml:space="preserve"> </w:t>
      </w:r>
      <w:r>
        <w:t xml:space="preserve">— resolved, no longer suppressed</w:t>
      </w:r>
    </w:p>
    <w:p>
      <w:pPr>
        <w:pStyle w:val="FirstParagraph"/>
      </w:pPr>
      <w:r>
        <w:t xml:space="preserve">Included because a reviewer comparing scan runs may see this rule mentioned in</w:t>
      </w:r>
      <w:r>
        <w:t xml:space="preserve"> </w:t>
      </w:r>
      <w:r>
        <w:t xml:space="preserve">earlier reports or in commit history.</w:t>
      </w:r>
    </w:p>
    <w:p>
      <w:pPr>
        <w:pStyle w:val="BodyText"/>
      </w:pPr>
      <w:r>
        <w:rPr>
          <w:bCs/>
          <w:b/>
        </w:rPr>
        <w:t xml:space="preserve">Original condition:</w:t>
      </w:r>
      <w:r>
        <w:t xml:space="preserve"> </w:t>
      </w:r>
      <w:r>
        <w:rPr>
          <w:rStyle w:val="VerbatimChar"/>
        </w:rPr>
        <w:t xml:space="preserve">PEUserSearchService.search</w:t>
      </w:r>
      <w:r>
        <w:t xml:space="preserve"> </w:t>
      </w:r>
      <w:r>
        <w:t xml:space="preserve">assembles one SOQL string at</w:t>
      </w:r>
      <w:r>
        <w:t xml:space="preserve"> </w:t>
      </w:r>
      <w:r>
        <w:t xml:space="preserve">runtime to apply optional filters (term, profile, role, user type) and the keyset</w:t>
      </w:r>
      <w:r>
        <w:t xml:space="preserve"> </w:t>
      </w:r>
      <w:r>
        <w:t xml:space="preserve">cursor predicate.</w:t>
      </w:r>
    </w:p>
    <w:p>
      <w:pPr>
        <w:pStyle w:val="BodyText"/>
      </w:pPr>
      <w:r>
        <w:rPr>
          <w:bCs/>
          <w:b/>
        </w:rPr>
        <w:t xml:space="preserve">How it was resolved rather than suppressed:</w:t>
      </w:r>
    </w:p>
    <w:p>
      <w:pPr>
        <w:numPr>
          <w:ilvl w:val="0"/>
          <w:numId w:val="1001"/>
        </w:numPr>
        <w:pStyle w:val="Compact"/>
      </w:pPr>
      <w:r>
        <w:t xml:space="preserve">The query string is built exclusively from</w:t>
      </w:r>
      <w:r>
        <w:t xml:space="preserve"> </w:t>
      </w:r>
      <w:r>
        <w:rPr>
          <w:rStyle w:val="VerbatimChar"/>
        </w:rPr>
        <w:t xml:space="preserve">private static final</w:t>
      </w:r>
      <w:r>
        <w:t xml:space="preserve"> </w:t>
      </w:r>
      <w:r>
        <w:t xml:space="preserve">constants</w:t>
      </w:r>
      <w:r>
        <w:t xml:space="preserve"> </w:t>
      </w:r>
      <w:r>
        <w:t xml:space="preserve">declared at the top of the class. Filters are applied by</w:t>
      </w:r>
      <w:r>
        <w:t xml:space="preserve"> </w:t>
      </w:r>
      <w:r>
        <w:rPr>
          <w:bCs/>
          <w:b/>
        </w:rPr>
        <w:t xml:space="preserve">choosing which constant</w:t>
      </w:r>
      <w:r>
        <w:rPr>
          <w:bCs/>
          <w:b/>
        </w:rPr>
        <w:t xml:space="preserve"> </w:t>
      </w:r>
      <w:r>
        <w:rPr>
          <w:bCs/>
          <w:b/>
        </w:rPr>
        <w:t xml:space="preserve">to append</w:t>
      </w:r>
      <w:r>
        <w:t xml:space="preserve">, never by concatenating a value.</w:t>
      </w:r>
    </w:p>
    <w:p>
      <w:pPr>
        <w:numPr>
          <w:ilvl w:val="0"/>
          <w:numId w:val="1001"/>
        </w:numPr>
        <w:pStyle w:val="Compact"/>
      </w:pPr>
      <w:r>
        <w:t xml:space="preserve">All values reach the database through a named bind map passed to</w:t>
      </w:r>
      <w:r>
        <w:t xml:space="preserve"> </w:t>
      </w:r>
      <w:r>
        <w:rPr>
          <w:rStyle w:val="VerbatimChar"/>
        </w:rPr>
        <w:t xml:space="preserve">Database.queryWithBinds(soql, binds, AccessLevel.USER_MODE)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only varying identifier is the sort column. It is not taken from input either:</w:t>
      </w:r>
      <w:r>
        <w:t xml:space="preserve"> </w:t>
      </w:r>
      <w:r>
        <w:rPr>
          <w:rStyle w:val="VerbatimChar"/>
        </w:rPr>
        <w:t xml:space="preserve">sortField</w:t>
      </w:r>
      <w:r>
        <w:t xml:space="preserve"> </w:t>
      </w:r>
      <w:r>
        <w:t xml:space="preserve">is validated by</w:t>
      </w:r>
      <w:r>
        <w:t xml:space="preserve"> </w:t>
      </w:r>
      <w:r>
        <w:rPr>
          <w:rStyle w:val="VerbatimChar"/>
        </w:rPr>
        <w:t xml:space="preserve">PEKeysetCursor.isAllowedSort</w:t>
      </w:r>
      <w:r>
        <w:t xml:space="preserve">, falls back to</w:t>
      </w:r>
      <w:r>
        <w:t xml:space="preserve"> </w:t>
      </w:r>
      <w:r>
        <w:rPr>
          <w:rStyle w:val="VerbatimChar"/>
        </w:rPr>
        <w:t xml:space="preserve">'Name'</w:t>
      </w:r>
      <w:r>
        <w:t xml:space="preserve">,</w:t>
      </w:r>
      <w:r>
        <w:t xml:space="preserve"> </w:t>
      </w:r>
      <w:r>
        <w:t xml:space="preserve">and the sort is then applied by selecting between two constant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fragments. The cursor predicate is selected on the same field, so predicate and</w:t>
      </w:r>
      <w:r>
        <w:t xml:space="preserve"> </w:t>
      </w:r>
      <w:r>
        <w:t xml:space="preserve">ordering cannot become mismatched.</w:t>
      </w:r>
    </w:p>
    <w:p>
      <w:pPr>
        <w:pStyle w:val="FirstParagraph"/>
      </w:pPr>
      <w:r>
        <w:rPr>
          <w:bCs/>
          <w:b/>
        </w:rPr>
        <w:t xml:space="preserve">Tests asserting this: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PEUserSearchServiceTest.quoteInTermIsBoundNotInterpolated</w:t>
      </w:r>
      <w:r>
        <w:t xml:space="preserve"> </w:t>
      </w:r>
      <w:r>
        <w:t xml:space="preserve">— a single quote in the</w:t>
      </w:r>
      <w:r>
        <w:t xml:space="preserve"> </w:t>
      </w:r>
      <w:r>
        <w:t xml:space="preserve">search term is bound, not interpolated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PEUserSearchServiceTest.disallowedSortFieldFallsBackToName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PermissionExplorerTest.disallowedSortFieldIsRejected</w:t>
      </w:r>
    </w:p>
    <w:p>
      <w:pPr>
        <w:pStyle w:val="FirstParagraph"/>
      </w:pPr>
      <w:r>
        <w:t xml:space="preserve">The rule no longer fires and no suppression remains in the source.</w:t>
      </w:r>
    </w:p>
    <w:p>
      <w:r>
        <w:pict>
          <v:rect style="width:0;height:1.5pt" o:hralign="center" o:hrstd="t" o:hr="t"/>
        </w:pict>
      </w:r>
    </w:p>
    <w:bookmarkEnd w:id="23"/>
    <w:bookmarkStart w:id="26" w:name="scanner-conditions-a-reviewer-may-notice"/>
    <w:p>
      <w:pPr>
        <w:pStyle w:val="Heading2"/>
      </w:pPr>
      <w:r>
        <w:t xml:space="preserve">4. Scanner conditions a reviewer may notice</w:t>
      </w:r>
    </w:p>
    <w:bookmarkStart w:id="24" w:name="a.-graph-engine-path-evaluation-timeouts"/>
    <w:p>
      <w:pPr>
        <w:pStyle w:val="Heading3"/>
      </w:pPr>
      <w:r>
        <w:t xml:space="preserve">4a. Graph Engine path-evaluation timeouts</w:t>
      </w:r>
    </w:p>
    <w:p>
      <w:pPr>
        <w:pStyle w:val="FirstParagraph"/>
      </w:pPr>
      <w:r>
        <w:t xml:space="preserve">Two entry points on</w:t>
      </w:r>
      <w:r>
        <w:t xml:space="preserve"> </w:t>
      </w:r>
      <w:r>
        <w:rPr>
          <w:rStyle w:val="VerbatimChar"/>
        </w:rPr>
        <w:t xml:space="preserve">PermissionExplorerController</w:t>
      </w:r>
      <w:r>
        <w:t xml:space="preserve"> </w:t>
      </w:r>
      <w:r>
        <w:t xml:space="preserve">exceed the Graph Engine’s default</w:t>
      </w:r>
      <w:r>
        <w:t xml:space="preserve"> </w:t>
      </w:r>
      <w:r>
        <w:t xml:space="preserve">30-second per-path budget:</w:t>
      </w:r>
    </w:p>
    <w:p>
      <w:pPr>
        <w:pStyle w:val="SourceCode"/>
      </w:pPr>
      <w:r>
        <w:rPr>
          <w:rStyle w:val="VerbatimChar"/>
        </w:rPr>
        <w:t xml:space="preserve">Internal execution error while scanning entry point:</w:t>
      </w:r>
      <w:r>
        <w:br/>
      </w:r>
      <w:r>
        <w:rPr>
          <w:rStyle w:val="VerbatimChar"/>
        </w:rPr>
        <w:t xml:space="preserve">PermissionExplorerController.cls:&lt;line&gt;: Path evaluation timed out after 30000 ms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rStyle w:val="VerbatimChar"/>
        </w:rPr>
        <w:t xml:space="preserve">getObjectDetail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getAppObjects</w:t>
      </w:r>
      <w:r>
        <w:t xml:space="preserve">, the two methods that fan out</w:t>
      </w:r>
      <w:r>
        <w:t xml:space="preserve"> </w:t>
      </w:r>
      <w:r>
        <w:t xml:space="preserve">through the full resolver and query stack. The timeout is path explosion in the</w:t>
      </w:r>
      <w:r>
        <w:t xml:space="preserve"> </w:t>
      </w:r>
      <w:r>
        <w:t xml:space="preserve">analyser, not a finding against the code — those entry points are reported as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scanned</w:t>
      </w:r>
      <w:r>
        <w:t xml:space="preserve">, not as passing.</w:t>
      </w:r>
    </w:p>
    <w:p>
      <w:pPr>
        <w:pStyle w:val="BodyText"/>
      </w:pPr>
      <w:r>
        <w:t xml:space="preserve">Both are covered by the mitigations described in §4 of the architecture document:</w:t>
      </w:r>
      <w:r>
        <w:t xml:space="preserve"> </w:t>
      </w:r>
      <w:r>
        <w:rPr>
          <w:rStyle w:val="VerbatimChar"/>
        </w:rPr>
        <w:t xml:space="preserve">PEAccessGate.assertAuthorised()</w:t>
      </w:r>
      <w:r>
        <w:t xml:space="preserve"> </w:t>
      </w:r>
      <w:r>
        <w:t xml:space="preserve">is the first statement in each, all classes are</w:t>
      </w:r>
      <w:r>
        <w:t xml:space="preserve"> </w:t>
      </w:r>
      <w:r>
        <w:rPr>
          <w:rStyle w:val="VerbatimChar"/>
        </w:rPr>
        <w:t xml:space="preserve">with sharing</w:t>
      </w:r>
      <w:r>
        <w:t xml:space="preserve">, and all SOQL runs in user mode. They are additionally exercised by</w:t>
      </w:r>
      <w:r>
        <w:t xml:space="preserve"> </w:t>
      </w:r>
      <w:r>
        <w:rPr>
          <w:rStyle w:val="VerbatimChar"/>
        </w:rPr>
        <w:t xml:space="preserve">PermissionExplorerControllerTest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PermissionExplorerFlowTest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PEUserDetailServiceTest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[IF YOU RAISED THE TIMEOUT AND THEY SCANNED CLEAN, REPLACE THIS SECTION WITH THAT RESULT — a clean scan is a materially better answer than this explanation.]</w:t>
      </w:r>
    </w:p>
    <w:bookmarkEnd w:id="24"/>
    <w:bookmarkStart w:id="25" w:name="X603fa8c0b6117b140f0891aa910f3d03d6ff10b"/>
    <w:p>
      <w:pPr>
        <w:pStyle w:val="Heading3"/>
      </w:pPr>
      <w:r>
        <w:t xml:space="preserve">4b. PMD JavaScript rules are excluded from our configuration</w:t>
      </w:r>
    </w:p>
    <w:p>
      <w:pPr>
        <w:pStyle w:val="FirstParagraph"/>
      </w:pPr>
      <w:r>
        <w:rPr>
          <w:rStyle w:val="VerbatimChar"/>
        </w:rPr>
        <w:t xml:space="preserve">code-analyzer.yml</w:t>
      </w:r>
      <w:r>
        <w:t xml:space="preserve"> </w:t>
      </w:r>
      <w:r>
        <w:t xml:space="preserve">scopes PMD to Apex file extensions only:</w:t>
      </w:r>
    </w:p>
    <w:p>
      <w:pPr>
        <w:pStyle w:val="SourceCode"/>
      </w:pPr>
      <w:r>
        <w:rPr>
          <w:rStyle w:val="FunctionTok"/>
        </w:rPr>
        <w:t xml:space="preserve">engines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pmd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file_extensions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apex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.cls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.trigger</w:t>
      </w:r>
    </w:p>
    <w:p>
      <w:pPr>
        <w:pStyle w:val="FirstParagraph"/>
      </w:pPr>
      <w:r>
        <w:t xml:space="preserve">PMD’s JavaScript ruleset predates ES modules and Lightning Web Components. Run</w:t>
      </w:r>
      <w:r>
        <w:t xml:space="preserve"> </w:t>
      </w:r>
      <w:r>
        <w:t xml:space="preserve">against our LWC source it flagged 95</w:t>
      </w:r>
      <w:r>
        <w:t xml:space="preserve"> </w:t>
      </w:r>
      <w:r>
        <w:rPr>
          <w:rStyle w:val="VerbatimChar"/>
        </w:rPr>
        <w:t xml:space="preserve">GlobalVariable</w:t>
      </w:r>
      <w:r>
        <w:t xml:space="preserve"> </w:t>
      </w:r>
      <w:r>
        <w:t xml:space="preserve">violations, every one of which</w:t>
      </w:r>
      <w:r>
        <w:t xml:space="preserve"> </w:t>
      </w:r>
      <w:r>
        <w:t xml:space="preserve">was a standard browser API —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URLSearchParams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—</w:t>
      </w:r>
      <w:r>
        <w:t xml:space="preserve"> </w:t>
      </w:r>
      <w:r>
        <w:t xml:space="preserve">which PMD treats as an undeclared global. There were no true positives among them.</w:t>
      </w:r>
    </w:p>
    <w:p>
      <w:pPr>
        <w:pStyle w:val="BodyText"/>
      </w:pPr>
      <w:r>
        <w:t xml:space="preserve">LWC linting is performed separately with ESLint and</w:t>
      </w:r>
      <w:r>
        <w:t xml:space="preserve"> </w:t>
      </w:r>
      <w:r>
        <w:rPr>
          <w:rStyle w:val="VerbatimChar"/>
        </w:rPr>
        <w:t xml:space="preserve">@salesforce/eslint-config-lwc</w:t>
      </w:r>
      <w:r>
        <w:t xml:space="preserve">, via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, which understands browser</w:t>
      </w:r>
      <w:r>
        <w:t xml:space="preserve"> </w:t>
      </w:r>
      <w:r>
        <w:t xml:space="preserve">globals and LWC decorators natively.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code-analyzer.yml</w:t>
      </w:r>
      <w:r>
        <w:t xml:space="preserve"> </w:t>
      </w:r>
      <w:r>
        <w:t xml:space="preserve">file is included in the submitted package source for</w:t>
      </w:r>
      <w:r>
        <w:t xml:space="preserve"> </w:t>
      </w:r>
      <w:r>
        <w:t xml:space="preserve">inspection.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eclarations"/>
    <w:p>
      <w:pPr>
        <w:pStyle w:val="Heading2"/>
      </w:pPr>
      <w:r>
        <w:t xml:space="preserve">5. Declarations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callouts.</w:t>
      </w:r>
      <w:r>
        <w:t xml:space="preserve"> </w:t>
      </w:r>
      <w:r>
        <w:t xml:space="preserve">Searching the package source for</w:t>
      </w:r>
      <w:r>
        <w:t xml:space="preserve"> </w:t>
      </w:r>
      <w:r>
        <w:rPr>
          <w:rStyle w:val="VerbatimChar"/>
        </w:rPr>
        <w:t xml:space="preserve">HttpRequest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new Http()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callout:</w:t>
      </w:r>
      <w:r>
        <w:t xml:space="preserve"> </w:t>
      </w:r>
      <w:r>
        <w:t xml:space="preserve">returns zero matches. No Named Credentials, External Credentials, Remote</w:t>
      </w:r>
      <w:r>
        <w:t xml:space="preserve"> </w:t>
      </w:r>
      <w:r>
        <w:t xml:space="preserve">Site Settings, or Auth Providers are present.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credential storage.</w:t>
      </w:r>
      <w:r>
        <w:t xml:space="preserve"> </w:t>
      </w:r>
      <w:r>
        <w:t xml:space="preserve">No OAuth tokens, session tokens, API keys, or passwords</w:t>
      </w:r>
      <w:r>
        <w:t xml:space="preserve"> </w:t>
      </w:r>
      <w:r>
        <w:t xml:space="preserve">are stored in any form.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off-platform data storage or transmission.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without sharing</w:t>
      </w:r>
      <w:r>
        <w:rPr>
          <w:bCs/>
          <w:b/>
        </w:rPr>
        <w:t xml:space="preserve">.</w:t>
      </w:r>
      <w:r>
        <w:t xml:space="preserve"> </w:t>
      </w:r>
      <w:r>
        <w:t xml:space="preserve">All 16 non-test classes are</w:t>
      </w:r>
      <w:r>
        <w:t xml:space="preserve"> </w:t>
      </w:r>
      <w:r>
        <w:rPr>
          <w:rStyle w:val="VerbatimChar"/>
        </w:rPr>
        <w:t xml:space="preserve">public with sharing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WITHOUT USER_MODE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AccessLevel.SYSTEM_MODE</w:t>
      </w:r>
      <w:r>
        <w:t xml:space="preserve"> </w:t>
      </w:r>
      <w:r>
        <w:t xml:space="preserve">anywhere in the source.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dynamic Apex.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Type.forName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JSON.deserializeUntyped</w:t>
      </w:r>
      <w:r>
        <w:t xml:space="preserve"> </w:t>
      </w:r>
      <w:r>
        <w:t xml:space="preserve">on</w:t>
      </w:r>
      <w:r>
        <w:t xml:space="preserve"> </w:t>
      </w:r>
      <w:r>
        <w:t xml:space="preserve">user-controlled input driving execution.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2026-08-17T11:08:29Z</dcterms:created>
  <dcterms:modified xsi:type="dcterms:W3CDTF">2026-08-17T11:08:29Z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