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d04942d4473a183f1573e7ee4a88cd26011e885"/>
    <w:p>
      <w:pPr>
        <w:pStyle w:val="Heading1"/>
      </w:pPr>
      <w:r>
        <w:t xml:space="preserve">Security Review submission pack — Who Sees What</w:t>
      </w:r>
    </w:p>
    <w:bookmarkStart w:id="20" w:name="which-file-goes-where"/>
    <w:p>
      <w:pPr>
        <w:pStyle w:val="Heading2"/>
      </w:pPr>
      <w:r>
        <w:t xml:space="preserve">Which file goes where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Form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Describe Your Solution</w:t>
            </w:r>
            <w:r>
              <w:t xml:space="preserve"> </w:t>
            </w:r>
            <w:r>
              <w:t xml:space="preserve">— the six text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01-describe-your-solution.md</w:t>
            </w:r>
            <w:r>
              <w:t xml:space="preserve"> </w:t>
            </w:r>
            <w:r>
              <w:t xml:space="preserve">— paste each block into its matching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Upload Documentation → Solution Architecture and Usage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02-solution-architecture-and-usage.md</w:t>
            </w:r>
            <w:r>
              <w:t xml:space="preserve"> </w:t>
            </w:r>
            <w:r>
              <w:t xml:space="preserve">— Title:</w:t>
            </w:r>
            <w:r>
              <w:t xml:space="preserve"> </w:t>
            </w:r>
            <w:r>
              <w:rPr>
                <w:iCs/>
                <w:i/>
              </w:rPr>
              <w:t xml:space="preserve">Who Sees What — Solution Architecture and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Upload Documentation → Sample API Callouts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Nothing to upload.</w:t>
            </w:r>
            <w:r>
              <w:t xml:space="preserve"> </w:t>
            </w:r>
            <w:r>
              <w:t xml:space="preserve">The field is required only if the solution needs a web app/service, integrates off-platform, or is API-only. None apply. If the form will not let you past it, upload</w:t>
            </w:r>
            <w:r>
              <w:t xml:space="preserve"> </w:t>
            </w:r>
            <w:r>
              <w:rPr>
                <w:rStyle w:val="VerbatimChar"/>
              </w:rPr>
              <w:t xml:space="preserve">02-...</w:t>
            </w:r>
            <w:r>
              <w:t xml:space="preserve"> </w:t>
            </w:r>
            <w:r>
              <w:t xml:space="preserve">again with the title</w:t>
            </w:r>
            <w:r>
              <w:t xml:space="preserve"> </w:t>
            </w:r>
            <w:r>
              <w:rPr>
                <w:iCs/>
                <w:i/>
              </w:rPr>
              <w:t xml:space="preserve">No API callouts — package makes zero HTTP callouts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Upload Documentation → Security Scanner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Your Code Analyzer HTML output. Regenerate immediately before submitting:</w:t>
            </w:r>
            <w:r>
              <w:t xml:space="preserve"> </w:t>
            </w:r>
            <w:r>
              <w:rPr>
                <w:rStyle w:val="VerbatimChar"/>
              </w:rPr>
              <w:t xml:space="preserve">npm run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 Positives Documentation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03-false-positives.md</w:t>
            </w:r>
            <w:r>
              <w:t xml:space="preserve"> </w:t>
            </w:r>
            <w:r>
              <w:t xml:space="preserve">— Title:</w:t>
            </w:r>
            <w:r>
              <w:t xml:space="preserve"> </w:t>
            </w:r>
            <w:r>
              <w:rPr>
                <w:iCs/>
                <w:i/>
              </w:rPr>
              <w:t xml:space="preserve">Who Sees What — False Positives and Accepted Findings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Do not tick</w:t>
            </w:r>
            <w:r>
              <w:t xml:space="preserve"> </w:t>
            </w:r>
            <w:r>
              <w:t xml:space="preserve">“</w:t>
            </w:r>
            <w:r>
              <w:t xml:space="preserve">I confirm there are no false positives</w:t>
            </w:r>
            <w:r>
              <w:t xml:space="preserve">”</w:t>
            </w:r>
            <w:r>
              <w:t xml:space="preserve"> </w:t>
            </w:r>
            <w:r>
              <w:t xml:space="preserve">— you have six documented suppressions.</w:t>
            </w:r>
          </w:p>
        </w:tc>
      </w:tr>
    </w:tbl>
    <w:bookmarkEnd w:id="20"/>
    <w:bookmarkStart w:id="21" w:name="before-you-submit"/>
    <w:p>
      <w:pPr>
        <w:pStyle w:val="Heading2"/>
      </w:pPr>
      <w:r>
        <w:t xml:space="preserve">Before you submit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Fill every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[SQUARE BRACKET]</w:t>
      </w:r>
      <w:r>
        <w:rPr>
          <w:bCs/>
          <w:b/>
        </w:rPr>
        <w:t xml:space="preserve"> </w:t>
      </w:r>
      <w:r>
        <w:rPr>
          <w:bCs/>
          <w:b/>
        </w:rPr>
        <w:t xml:space="preserve">placeholder.</w:t>
      </w:r>
      <w:r>
        <w:t xml:space="preserve"> </w:t>
      </w:r>
      <w:r>
        <w:t xml:space="preserve">They cover the submitted version</w:t>
      </w:r>
      <w:r>
        <w:t xml:space="preserve"> </w:t>
      </w:r>
      <w:r>
        <w:t xml:space="preserve">id, publisher legal name, technical contact, dates, and the Code Analyzer version.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Convert to PDF.</w:t>
      </w:r>
      <w:r>
        <w:t xml:space="preserve"> </w:t>
      </w:r>
      <w:r>
        <w:t xml:space="preserve">Reviewers expect PDF or Word, not Markdown. From VS Code:</w:t>
      </w:r>
      <w:r>
        <w:t xml:space="preserve"> </w:t>
      </w:r>
      <w:r>
        <w:t xml:space="preserve">Markdown PDF extension, or paste into Word and export.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Regenerate the scanner report</w:t>
      </w:r>
      <w:r>
        <w:t xml:space="preserve"> </w:t>
      </w:r>
      <w:r>
        <w:t xml:space="preserve">against the exact version you are submitting, so</w:t>
      </w:r>
      <w:r>
        <w:t xml:space="preserve"> </w:t>
      </w:r>
      <w:r>
        <w:t xml:space="preserve">the report and the package match.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Decide on the Graph Engine timeouts</w:t>
      </w:r>
      <w:r>
        <w:t xml:space="preserve"> </w:t>
      </w:r>
      <w:r>
        <w:t xml:space="preserve">(§4a of the false-positives doc). If you</w:t>
      </w:r>
      <w:r>
        <w:t xml:space="preserve"> </w:t>
      </w:r>
      <w:r>
        <w:t xml:space="preserve">raise the timeout and those two entry points scan clean, replace that section with</w:t>
      </w:r>
      <w:r>
        <w:t xml:space="preserve"> </w:t>
      </w:r>
      <w:r>
        <w:t xml:space="preserve">the clean result — it is a much stronger answer than an explanation.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Prepare the test org.</w:t>
      </w:r>
      <w:r>
        <w:t xml:space="preserve"> </w:t>
      </w:r>
      <w:r>
        <w:t xml:space="preserve">The reviewer needs a login where the tool shows real</w:t>
      </w:r>
      <w:r>
        <w:t xml:space="preserve"> </w:t>
      </w:r>
      <w:r>
        <w:t xml:space="preserve">data. A fresh scratch org with 7 users and no permission sets will look broken.</w:t>
      </w:r>
      <w:r>
        <w:t xml:space="preserve"> </w:t>
      </w:r>
      <w:r>
        <w:t xml:space="preserve">Seed it: several users on different profiles, a few permission sets, at least one</w:t>
      </w:r>
      <w:r>
        <w:t xml:space="preserve"> </w:t>
      </w:r>
      <w:r>
        <w:t xml:space="preserve">permission set group, and some field-level restrictions so the FLS column has</w:t>
      </w:r>
      <w:r>
        <w:t xml:space="preserve"> </w:t>
      </w:r>
      <w:r>
        <w:t xml:space="preserve">something to show. Pre-assign</w:t>
      </w:r>
      <w:r>
        <w:t xml:space="preserve"> </w:t>
      </w:r>
      <w:r>
        <w:rPr>
          <w:rStyle w:val="VerbatimChar"/>
        </w:rPr>
        <w:t xml:space="preserve">PermissionCheckerPermissionSet</w:t>
      </w:r>
      <w:r>
        <w:t xml:space="preserve"> </w:t>
      </w:r>
      <w:r>
        <w:t xml:space="preserve">to the reviewer’s</w:t>
      </w:r>
      <w:r>
        <w:t xml:space="preserve"> </w:t>
      </w:r>
      <w:r>
        <w:t xml:space="preserve">user.</w:t>
      </w:r>
    </w:p>
    <w:bookmarkEnd w:id="21"/>
    <w:bookmarkStart w:id="22" w:name="two-things-to-decide-not-just-document"/>
    <w:p>
      <w:pPr>
        <w:pStyle w:val="Heading2"/>
      </w:pPr>
      <w:r>
        <w:t xml:space="preserve">Two things to decide, not just document</w:t>
      </w:r>
    </w:p>
    <w:p>
      <w:pPr>
        <w:pStyle w:val="FirstParagraph"/>
      </w:pPr>
      <w:r>
        <w:rPr>
          <w:bCs/>
          <w:b/>
        </w:rPr>
        <w:t xml:space="preserve">The silent audit failure.</w:t>
      </w:r>
      <w:r>
        <w:t xml:space="preserve"> </w:t>
      </w:r>
      <w:r>
        <w:t xml:space="preserve">If the</w:t>
      </w:r>
      <w:r>
        <w:t xml:space="preserve"> </w:t>
      </w:r>
      <w:r>
        <w:rPr>
          <w:rStyle w:val="VerbatimChar"/>
        </w:rPr>
        <w:t xml:space="preserve">PE_Inspection_Log__c</w:t>
      </w:r>
      <w:r>
        <w:t xml:space="preserve"> </w:t>
      </w:r>
      <w:r>
        <w:t xml:space="preserve">insert fails, the</w:t>
      </w:r>
      <w:r>
        <w:t xml:space="preserve"> </w:t>
      </w:r>
      <w:r>
        <w:t xml:space="preserve">inspection still succeeds and the failure is written to a debug log the subscriber</w:t>
      </w:r>
      <w:r>
        <w:t xml:space="preserve"> </w:t>
      </w:r>
      <w:r>
        <w:t xml:space="preserve">cannot see. §5 of the architecture document states this honestly. A reviewer may</w:t>
      </w:r>
      <w:r>
        <w:t xml:space="preserve"> </w:t>
      </w:r>
      <w:r>
        <w:t xml:space="preserve">well ask about it, since the audit trail is the control the product’s security story</w:t>
      </w:r>
      <w:r>
        <w:t xml:space="preserve"> </w:t>
      </w:r>
      <w:r>
        <w:t xml:space="preserve">rests on. Consider surfacing a warning in the response DTO before submitting.</w:t>
      </w:r>
    </w:p>
    <w:p>
      <w:pPr>
        <w:pStyle w:val="BodyText"/>
      </w:pPr>
      <w:r>
        <w:rPr>
          <w:bCs/>
          <w:b/>
        </w:rPr>
        <w:t xml:space="preserve">Platform Cache in subscriber orgs.</w:t>
      </w:r>
      <w:r>
        <w:t xml:space="preserve"> </w:t>
      </w:r>
      <w:r>
        <w:rPr>
          <w:rStyle w:val="VerbatimChar"/>
        </w:rPr>
        <w:t xml:space="preserve">PECacheManager</w:t>
      </w:r>
      <w:r>
        <w:t xml:space="preserve"> </w:t>
      </w:r>
      <w:r>
        <w:t xml:space="preserve">requests the partition using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'local.'</w:t>
      </w:r>
      <w:r>
        <w:t xml:space="preserve"> </w:t>
      </w:r>
      <w:r>
        <w:t xml:space="preserve">prefix, which in a subscriber org resolves to the subscriber’s own</w:t>
      </w:r>
      <w:r>
        <w:t xml:space="preserve"> </w:t>
      </w:r>
      <w:r>
        <w:t xml:space="preserve">partitions rather than the packaged one. Caching therefore does nothing in an</w:t>
      </w:r>
      <w:r>
        <w:t xml:space="preserve"> </w:t>
      </w:r>
      <w:r>
        <w:t xml:space="preserve">installed package. It fails safe — the no-cache fallback path is correct and tested</w:t>
      </w:r>
      <w:r>
        <w:t xml:space="preserve"> </w:t>
      </w:r>
      <w:r>
        <w:t xml:space="preserve">— so this is a performance matter, not a security one, and nothing in the UI claims</w:t>
      </w:r>
      <w:r>
        <w:t xml:space="preserve"> </w:t>
      </w:r>
      <w:r>
        <w:t xml:space="preserve">caching is active. Worth fixing, but it does not block submission.</w:t>
      </w:r>
    </w:p>
    <w:bookmarkEnd w:id="22"/>
    <w:bookmarkStart w:id="23" w:name="facts-used-in-these-documents"/>
    <w:p>
      <w:pPr>
        <w:pStyle w:val="Heading2"/>
      </w:pPr>
      <w:r>
        <w:t xml:space="preserve">Facts used in these documents</w:t>
      </w:r>
    </w:p>
    <w:p>
      <w:pPr>
        <w:pStyle w:val="FirstParagraph"/>
      </w:pPr>
      <w:r>
        <w:t xml:space="preserve">Verified against the package source, not assumed:</w:t>
      </w:r>
    </w:p>
    <w:p>
      <w:pPr>
        <w:numPr>
          <w:ilvl w:val="0"/>
          <w:numId w:val="1002"/>
        </w:numPr>
        <w:pStyle w:val="Compact"/>
      </w:pPr>
      <w:r>
        <w:t xml:space="preserve">22 Apex classes: 16 implementation + 6 test</w:t>
      </w:r>
    </w:p>
    <w:p>
      <w:pPr>
        <w:numPr>
          <w:ilvl w:val="0"/>
          <w:numId w:val="1002"/>
        </w:numPr>
        <w:pStyle w:val="Compact"/>
      </w:pPr>
      <w:r>
        <w:t xml:space="preserve">22 LWC bundles; only</w:t>
      </w:r>
      <w:r>
        <w:t xml:space="preserve"> </w:t>
      </w:r>
      <w:r>
        <w:rPr>
          <w:rStyle w:val="VerbatimChar"/>
        </w:rPr>
        <w:t xml:space="preserve">permissionExplorer</w:t>
      </w:r>
      <w:r>
        <w:t xml:space="preserve"> </w:t>
      </w:r>
      <w:r>
        <w:t xml:space="preserve">is exposed</w:t>
      </w:r>
    </w:p>
    <w:p>
      <w:pPr>
        <w:numPr>
          <w:ilvl w:val="0"/>
          <w:numId w:val="1002"/>
        </w:numPr>
        <w:pStyle w:val="Compact"/>
      </w:pPr>
      <w:r>
        <w:t xml:space="preserve">15 sObjects read; 1 custom object written (</w:t>
      </w:r>
      <w:r>
        <w:rPr>
          <w:rStyle w:val="VerbatimChar"/>
        </w:rPr>
        <w:t xml:space="preserve">PE_Inspection_Log__c</w:t>
      </w:r>
      <w:r>
        <w:t xml:space="preserve">)</w:t>
      </w:r>
    </w:p>
    <w:p>
      <w:pPr>
        <w:numPr>
          <w:ilvl w:val="0"/>
          <w:numId w:val="1002"/>
        </w:numPr>
        <w:pStyle w:val="Compact"/>
      </w:pPr>
      <w:r>
        <w:t xml:space="preserve">0 matches for</w:t>
      </w:r>
      <w:r>
        <w:t xml:space="preserve"> </w:t>
      </w:r>
      <w:r>
        <w:rPr>
          <w:rStyle w:val="VerbatimChar"/>
        </w:rPr>
        <w:t xml:space="preserve">HttpRequest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new Http()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callout:</w:t>
      </w:r>
    </w:p>
    <w:p>
      <w:pPr>
        <w:numPr>
          <w:ilvl w:val="0"/>
          <w:numId w:val="1002"/>
        </w:numPr>
        <w:pStyle w:val="Compact"/>
      </w:pPr>
      <w:r>
        <w:t xml:space="preserve">All 16 implementation classes</w:t>
      </w:r>
      <w:r>
        <w:t xml:space="preserve"> </w:t>
      </w:r>
      <w:r>
        <w:rPr>
          <w:rStyle w:val="VerbatimChar"/>
        </w:rPr>
        <w:t xml:space="preserve">public with sharing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WITH USER_MODE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AccessLevel.USER_MODE</w:t>
      </w:r>
      <w:r>
        <w:t xml:space="preserve"> </w:t>
      </w:r>
      <w:r>
        <w:t xml:space="preserve">on every query</w:t>
      </w:r>
    </w:p>
    <w:p>
      <w:pPr>
        <w:numPr>
          <w:ilvl w:val="0"/>
          <w:numId w:val="1002"/>
        </w:numPr>
        <w:pStyle w:val="Compact"/>
      </w:pPr>
      <w:r>
        <w:t xml:space="preserve">101 Apex tests passing, 88% package coverage</w:t>
      </w:r>
    </w:p>
    <w:p>
      <w:pPr>
        <w:numPr>
          <w:ilvl w:val="0"/>
          <w:numId w:val="1002"/>
        </w:numPr>
        <w:pStyle w:val="Compact"/>
      </w:pPr>
      <w:r>
        <w:t xml:space="preserve">6</w:t>
      </w:r>
      <w:r>
        <w:t xml:space="preserve"> </w:t>
      </w:r>
      <w:r>
        <w:rPr>
          <w:rStyle w:val="VerbatimChar"/>
        </w:rPr>
        <w:t xml:space="preserve">@SuppressWarnings</w:t>
      </w:r>
      <w:r>
        <w:t xml:space="preserve">, all in</w:t>
      </w:r>
      <w:r>
        <w:t xml:space="preserve"> </w:t>
      </w:r>
      <w:r>
        <w:rPr>
          <w:rStyle w:val="VerbatimChar"/>
        </w:rPr>
        <w:t xml:space="preserve">PEAccessQueryService</w:t>
      </w:r>
      <w:r>
        <w:t xml:space="preserve">, none in the gate rulesets</w:t>
      </w:r>
    </w:p>
    <w:p>
      <w:pPr>
        <w:numPr>
          <w:ilvl w:val="0"/>
          <w:numId w:val="1002"/>
        </w:numPr>
        <w:pStyle w:val="Compact"/>
      </w:pPr>
      <w:r>
        <w:t xml:space="preserve">Namespace</w:t>
      </w:r>
      <w:r>
        <w:t xml:space="preserve"> </w:t>
      </w:r>
      <w:r>
        <w:rPr>
          <w:rStyle w:val="VerbatimChar"/>
        </w:rPr>
        <w:t xml:space="preserve">twinforce</w:t>
      </w:r>
      <w:r>
        <w:t xml:space="preserve">, package id</w:t>
      </w:r>
      <w:r>
        <w:t xml:space="preserve"> </w:t>
      </w:r>
      <w:r>
        <w:rPr>
          <w:rStyle w:val="VerbatimChar"/>
        </w:rPr>
        <w:t xml:space="preserve">0HoOW00000000ZV0AY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2026-08-17T11:08:29Z</dcterms:created>
  <dcterms:modified xsi:type="dcterms:W3CDTF">2026-08-17T11:08:29Z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