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who-sees-what-architecture-and-usage"/>
    <w:p>
      <w:pPr>
        <w:pStyle w:val="Heading1"/>
      </w:pPr>
      <w:r>
        <w:t xml:space="preserve">Who Sees What — Architecture and Usage</w:t>
      </w:r>
    </w:p>
    <w:p>
      <w:pPr>
        <w:pStyle w:val="FirstParagraph"/>
      </w:pPr>
      <w:r>
        <w:t xml:space="preserve">Prepared for Salesforce AppExchange Security Review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Sees What — User Access, Field Security &amp; Record Visibility Explorer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Twinforce Solutions 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info@twinstack.net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twinforce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0HoOW00000000ZV0AY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Subscriber Package Version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04tOW00000Gs9l8YAB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Package Version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05iOW00000064lhYAA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August 2026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what-the-product-does-and-why"/>
    <w:p>
      <w:pPr>
        <w:pStyle w:val="Heading2"/>
      </w:pPr>
      <w:r>
        <w:t xml:space="preserve">What the product does and why</w:t>
      </w:r>
    </w:p>
    <w:p>
      <w:pPr>
        <w:pStyle w:val="FirstParagraph"/>
      </w:pPr>
      <w:r>
        <w:t xml:space="preserve">In an org with thirty permission sets and a dozen permission set groups,</w:t>
      </w:r>
      <w:r>
        <w:t xml:space="preserve"> </w:t>
      </w:r>
      <w:r>
        <w:t xml:space="preserve">“</w:t>
      </w:r>
      <w:r>
        <w:t xml:space="preserve">why can</w:t>
      </w:r>
      <w:r>
        <w:t xml:space="preserve"> </w:t>
      </w:r>
      <w:r>
        <w:t xml:space="preserve">this user see this field?</w:t>
      </w:r>
      <w:r>
        <w:t xml:space="preserve">”</w:t>
      </w:r>
      <w:r>
        <w:t xml:space="preserve"> </w:t>
      </w:r>
      <w:r>
        <w:t xml:space="preserve">is a genuinely hard question. Answering it by hand means</w:t>
      </w:r>
      <w:r>
        <w:t xml:space="preserve"> </w:t>
      </w:r>
      <w:r>
        <w:t xml:space="preserve">opening Setup pages one at a time and mentally unioning the results, and if any</w:t>
      </w:r>
      <w:r>
        <w:t xml:space="preserve"> </w:t>
      </w:r>
      <w:r>
        <w:t xml:space="preserve">muting permission sets are involved a naive union gives you a confidently wrong</w:t>
      </w:r>
      <w:r>
        <w:t xml:space="preserve"> </w:t>
      </w:r>
      <w:r>
        <w:t xml:space="preserve">answer.</w:t>
      </w:r>
    </w:p>
    <w:p>
      <w:pPr>
        <w:pStyle w:val="BodyText"/>
      </w:pPr>
      <w:r>
        <w:t xml:space="preserve">Who Sees What does that work and shows its reasoning. An admin picks a user and drills</w:t>
      </w:r>
      <w:r>
        <w:t xml:space="preserve"> </w:t>
      </w:r>
      <w:r>
        <w:t xml:space="preserve">from apps to objects to fields. Beside every permission we show which permission set,</w:t>
      </w:r>
      <w:r>
        <w:t xml:space="preserve"> </w:t>
      </w:r>
      <w:r>
        <w:t xml:space="preserve">group, or profile granted it.</w:t>
      </w:r>
    </w:p>
    <w:p>
      <w:pPr>
        <w:pStyle w:val="BodyText"/>
      </w:pPr>
      <w:r>
        <w:t xml:space="preserve">The tool only reads. It grants nothing, changes no permissions, and writes nothing</w:t>
      </w:r>
      <w:r>
        <w:t xml:space="preserve"> </w:t>
      </w:r>
      <w:r>
        <w:t xml:space="preserve">apart from its own audit log.</w:t>
      </w:r>
    </w:p>
    <w:bookmarkEnd w:id="20"/>
    <w:bookmarkStart w:id="21" w:name="how-information-flows"/>
    <w:p>
      <w:pPr>
        <w:pStyle w:val="Heading2"/>
      </w:pPr>
      <w:r>
        <w:t xml:space="preserve">How information flows</w:t>
      </w:r>
    </w:p>
    <w:p>
      <w:pPr>
        <w:pStyle w:val="FirstParagraph"/>
      </w:pPr>
      <w:r>
        <w:t xml:space="preserve">There are no external systems. Everything happens inside the subscriber’s org.</w:t>
      </w:r>
    </w:p>
    <w:p>
      <w:pPr>
        <w:pStyle w:val="SourceCode"/>
      </w:pPr>
      <w:r>
        <w:rPr>
          <w:rStyle w:val="VerbatimChar"/>
        </w:rPr>
        <w:t xml:space="preserve">Admin's browser</w:t>
      </w:r>
      <w:r>
        <w:br/>
      </w:r>
      <w:r>
        <w:rPr>
          <w:rStyle w:val="VerbatimChar"/>
        </w:rPr>
        <w:t xml:space="preserve">  |  LWC: permissionExplorer + 21 child bundles</w:t>
      </w:r>
      <w:r>
        <w:br/>
      </w:r>
      <w:r>
        <w:rPr>
          <w:rStyle w:val="VerbatimChar"/>
        </w:rPr>
        <w:t xml:space="preserve">  |  Imperative Apex calls only. No fetch, no XHR.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PermissionExplorerController   (@AuraEnabled entry points)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PEAccessGate.assertAuthorised()   &lt;-- ALWAYS FIRST</w:t>
      </w:r>
      <w:r>
        <w:br/>
      </w:r>
      <w:r>
        <w:rPr>
          <w:rStyle w:val="VerbatimChar"/>
        </w:rPr>
        <w:t xml:space="preserve">  |      FeatureManagement.checkPermission(</w:t>
      </w:r>
      <w:r>
        <w:br/>
      </w:r>
      <w:r>
        <w:rPr>
          <w:rStyle w:val="VerbatimChar"/>
        </w:rPr>
        <w:t xml:space="preserve">  |          'Use_Permission_Explorer')</w:t>
      </w:r>
      <w:r>
        <w:br/>
      </w:r>
      <w:r>
        <w:rPr>
          <w:rStyle w:val="VerbatimChar"/>
        </w:rPr>
        <w:t xml:space="preserve">  |      throws NOT_AUTHORISED if absent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 PEPermissionResolver    effective + muting parents</w:t>
      </w:r>
      <w:r>
        <w:br/>
      </w:r>
      <w:r>
        <w:rPr>
          <w:rStyle w:val="VerbatimChar"/>
        </w:rPr>
        <w:t xml:space="preserve">  +-- PEUserSearchService     user list, keyset paginated</w:t>
      </w:r>
      <w:r>
        <w:br/>
      </w:r>
      <w:r>
        <w:rPr>
          <w:rStyle w:val="VerbatimChar"/>
        </w:rPr>
        <w:t xml:space="preserve">  +-- PEAccessQueryService    object CRUD, field FLS</w:t>
      </w:r>
      <w:r>
        <w:br/>
      </w:r>
      <w:r>
        <w:rPr>
          <w:rStyle w:val="VerbatimChar"/>
        </w:rPr>
        <w:t xml:space="preserve">  +-- PEAppVisibilityService  app list (estimated)</w:t>
      </w:r>
      <w:r>
        <w:br/>
      </w:r>
      <w:r>
        <w:rPr>
          <w:rStyle w:val="VerbatimChar"/>
        </w:rPr>
        <w:t xml:space="preserve">  +-- PEUserDetailService     login history, drill-downs</w:t>
      </w:r>
      <w:r>
        <w:br/>
      </w:r>
      <w:r>
        <w:rPr>
          <w:rStyle w:val="VerbatimChar"/>
        </w:rPr>
        <w:t xml:space="preserve">  +-- PEMetadataCatalog       describe, labels, sharing</w:t>
      </w:r>
      <w:r>
        <w:br/>
      </w:r>
      <w:r>
        <w:rPr>
          <w:rStyle w:val="VerbatimChar"/>
        </w:rPr>
        <w:t xml:space="preserve">  +-- PECacheManager          cache + no-cache fallback</w:t>
      </w:r>
      <w:r>
        <w:br/>
      </w:r>
      <w:r>
        <w:rPr>
          <w:rStyle w:val="VerbatimChar"/>
        </w:rPr>
        <w:t xml:space="preserve">  +-- PEInspectionAuditLogger writes PE_Inspection_Log__c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Salesforce database -- all SOQL in user mode</w:t>
      </w:r>
    </w:p>
    <w:p>
      <w:pPr>
        <w:pStyle w:val="FirstParagraph"/>
      </w:pPr>
      <w:r>
        <w:t xml:space="preserve">Data touchpoints, in full: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metadata and user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audit row per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PE_Inspection_Log__c, subscriber 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permissions, describe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Subscriber’s Platform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fifteen objects we query: User, UserLogin, UserRole, Profile, PermissionSet,</w:t>
      </w:r>
      <w:r>
        <w:t xml:space="preserve"> </w:t>
      </w:r>
      <w:r>
        <w:t xml:space="preserve">PermissionSetAssignment, PermissionSetGroup, PermissionSetGroupComponent,</w:t>
      </w:r>
      <w:r>
        <w:t xml:space="preserve"> </w:t>
      </w:r>
      <w:r>
        <w:t xml:space="preserve">PermissionSetTabSetting, ObjectPermissions, FieldPermissions, LoginHistory,</w:t>
      </w:r>
      <w:r>
        <w:t xml:space="preserve"> </w:t>
      </w:r>
      <w:r>
        <w:t xml:space="preserve">AppMenuItem, TabDefinition, EntityDefinition.</w:t>
      </w:r>
    </w:p>
    <w:p>
      <w:pPr>
        <w:pStyle w:val="BodyText"/>
      </w:pPr>
      <w:r>
        <w:t xml:space="preserve">Every one is permission or user metadata. We read no business data at all. To be</w:t>
      </w:r>
      <w:r>
        <w:t xml:space="preserve"> </w:t>
      </w:r>
      <w:r>
        <w:t xml:space="preserve">precise about a distinction that matters: we read the ObjectPermissions and</w:t>
      </w:r>
      <w:r>
        <w:t xml:space="preserve"> </w:t>
      </w:r>
      <w:r>
        <w:t xml:space="preserve">FieldPermissions rows that describe access to Account, and we never read Account</w:t>
      </w:r>
      <w:r>
        <w:t xml:space="preserve"> </w:t>
      </w:r>
      <w:r>
        <w:t xml:space="preserve">records.</w:t>
      </w:r>
    </w:p>
    <w:bookmarkEnd w:id="21"/>
    <w:bookmarkStart w:id="22" w:name="authentication-and-encryption"/>
    <w:p>
      <w:pPr>
        <w:pStyle w:val="Heading2"/>
      </w:pPr>
      <w:r>
        <w:t xml:space="preserve">Authentication and encryption</w:t>
      </w:r>
    </w:p>
    <w:p>
      <w:pPr>
        <w:pStyle w:val="FirstParagraph"/>
      </w:pPr>
      <w:r>
        <w:t xml:space="preserve">The package performs no authentication. It runs inside the subscriber’s existing</w:t>
      </w:r>
      <w:r>
        <w:t xml:space="preserve"> </w:t>
      </w:r>
      <w:r>
        <w:t xml:space="preserve">authenticated Salesforce session. There is no login flow, no credential storage, no</w:t>
      </w:r>
      <w:r>
        <w:t xml:space="preserve"> </w:t>
      </w:r>
      <w:r>
        <w:t xml:space="preserve">token handling, no Auth Provider, and no Connected App.</w:t>
      </w:r>
    </w:p>
    <w:p>
      <w:pPr>
        <w:pStyle w:val="BodyText"/>
      </w:pPr>
      <w:r>
        <w:t xml:space="preserve">Encryption on data transfer does not apply, because there is no data transfer off</w:t>
      </w:r>
      <w:r>
        <w:t xml:space="preserve"> </w:t>
      </w:r>
      <w:r>
        <w:t xml:space="preserve">platform. Traffic between the browser and the server is the standard Lightning</w:t>
      </w:r>
      <w:r>
        <w:t xml:space="preserve"> </w:t>
      </w:r>
      <w:r>
        <w:t xml:space="preserve">transport, encrypted by the platform.</w:t>
      </w:r>
    </w:p>
    <w:p>
      <w:pPr>
        <w:pStyle w:val="BodyText"/>
      </w:pPr>
      <w:r>
        <w:t xml:space="preserve">There are zero callouts. No HttpRequest, no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callout:</w:t>
      </w:r>
      <w:r>
        <w:t xml:space="preserve"> </w:t>
      </w:r>
      <w:r>
        <w:t xml:space="preserve">reference, no</w:t>
      </w:r>
      <w:r>
        <w:t xml:space="preserve"> </w:t>
      </w:r>
      <w:r>
        <w:t xml:space="preserve">Named Credential, no External Credential, no Remote Site Setting. That is verifiable</w:t>
      </w:r>
      <w:r>
        <w:t xml:space="preserve"> </w:t>
      </w:r>
      <w:r>
        <w:t xml:space="preserve">by searching the submitted source.</w:t>
      </w:r>
    </w:p>
    <w:p>
      <w:pPr>
        <w:pStyle w:val="BodyText"/>
      </w:pPr>
      <w:r>
        <w:t xml:space="preserve">This was a deliberate choice with a real product cost, and we describe what it cost</w:t>
      </w:r>
      <w:r>
        <w:t xml:space="preserve"> </w:t>
      </w:r>
      <w:r>
        <w:t xml:space="preserve">us below.</w:t>
      </w:r>
    </w:p>
    <w:bookmarkEnd w:id="22"/>
    <w:bookmarkStart w:id="23" w:name="how-access-is-controlled"/>
    <w:p>
      <w:pPr>
        <w:pStyle w:val="Heading2"/>
      </w:pPr>
      <w:r>
        <w:t xml:space="preserve">How access is controlled</w:t>
      </w:r>
    </w:p>
    <w:p>
      <w:pPr>
        <w:pStyle w:val="FirstParagraph"/>
      </w:pPr>
      <w:r>
        <w:t xml:space="preserve">Three layers, all enforced by the platform rather than by checks we wrote ourselves.</w:t>
      </w:r>
    </w:p>
    <w:p>
      <w:pPr>
        <w:pStyle w:val="BodyText"/>
      </w:pPr>
      <w:r>
        <w:rPr>
          <w:bCs/>
          <w:b/>
        </w:rPr>
        <w:t xml:space="preserve">The custom permission gate.</w:t>
      </w:r>
      <w:r>
        <w:t xml:space="preserve"> </w:t>
      </w:r>
      <w:r>
        <w:t xml:space="preserve">Every</w:t>
      </w:r>
      <w:r>
        <w:t xml:space="preserve"> </w:t>
      </w:r>
      <w:r>
        <w:t xml:space="preserve">@AuraEnabled</w:t>
      </w:r>
      <w:r>
        <w:t xml:space="preserve"> </w:t>
      </w:r>
      <w:r>
        <w:t xml:space="preserve">method begins with</w:t>
      </w:r>
      <w:r>
        <w:t xml:space="preserve"> </w:t>
      </w:r>
      <w:r>
        <w:t xml:space="preserve">PEAccessGate.assertAuthorised(), which calls</w:t>
      </w:r>
      <w:r>
        <w:t xml:space="preserve"> </w:t>
      </w:r>
      <w:r>
        <w:t xml:space="preserve">FeatureManagement.checkPermission(</w:t>
      </w:r>
      <w:r>
        <w:t xml:space="preserve">‘</w:t>
      </w:r>
      <w:r>
        <w:t xml:space="preserve">Use_Permission_Explorer</w:t>
      </w:r>
      <w:r>
        <w:t xml:space="preserve">’</w:t>
      </w:r>
      <w:r>
        <w:t xml:space="preserve">) and throws a typed</w:t>
      </w:r>
      <w:r>
        <w:t xml:space="preserve"> </w:t>
      </w:r>
      <w:r>
        <w:t xml:space="preserve">NOT_AUTHORISED exception if the caller lacks it.</w:t>
      </w:r>
    </w:p>
    <w:p>
      <w:pPr>
        <w:pStyle w:val="BodyText"/>
      </w:pPr>
      <w:r>
        <w:t xml:space="preserve">We deliberately do not cache that decision in a static. An authorisation decision</w:t>
      </w:r>
      <w:r>
        <w:t xml:space="preserve"> </w:t>
      </w:r>
      <w:r>
        <w:t xml:space="preserve">held in a mutable static outlives the context it was made in, and checkPermission is</w:t>
      </w:r>
      <w:r>
        <w:t xml:space="preserve"> </w:t>
      </w:r>
      <w:r>
        <w:t xml:space="preserve">cheap enough that the guarantee is worth more than the microseconds. We had a cached</w:t>
      </w:r>
      <w:r>
        <w:t xml:space="preserve"> </w:t>
      </w:r>
      <w:r>
        <w:t xml:space="preserve">version and removed it.</w:t>
      </w:r>
    </w:p>
    <w:p>
      <w:pPr>
        <w:pStyle w:val="BodyText"/>
      </w:pPr>
      <w:r>
        <w:rPr>
          <w:bCs/>
          <w:b/>
        </w:rPr>
        <w:t xml:space="preserve">Sharing.</w:t>
      </w:r>
      <w:r>
        <w:t xml:space="preserve"> </w:t>
      </w:r>
      <w:r>
        <w:t xml:space="preserve">All 16 implementation classes are declared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User-mode SOQL.</w:t>
      </w:r>
      <w:r>
        <w:t xml:space="preserve"> </w:t>
      </w:r>
      <w:r>
        <w:t xml:space="preserve">Every query runs in user mode, so the platform enforces object</w:t>
      </w:r>
      <w:r>
        <w:t xml:space="preserve"> </w:t>
      </w:r>
      <w:r>
        <w:t xml:space="preserve">and field permissions for the running admin. Inline queries use</w:t>
      </w:r>
      <w:r>
        <w:t xml:space="preserve"> </w:t>
      </w:r>
      <w:r>
        <w:rPr>
          <w:rStyle w:val="VerbatimChar"/>
        </w:rPr>
        <w:t xml:space="preserve">WITH USER_MODE</w:t>
      </w:r>
      <w:r>
        <w:t xml:space="preserve">; the</w:t>
      </w:r>
      <w:r>
        <w:t xml:space="preserve"> </w:t>
      </w:r>
      <w:r>
        <w:t xml:space="preserve">one dynamic query uses Database.queryWithBinds with AccessLevel.USER_MODE. The</w:t>
      </w:r>
      <w:r>
        <w:t xml:space="preserve"> </w:t>
      </w:r>
      <w:r>
        <w:t xml:space="preserve">practical consequence is that an admin cannot use this tool as a way around their own</w:t>
      </w:r>
      <w:r>
        <w:t xml:space="preserve"> </w:t>
      </w:r>
      <w:r>
        <w:t xml:space="preserve">permissions.</w:t>
      </w:r>
    </w:p>
    <w:p>
      <w:pPr>
        <w:pStyle w:val="BodyText"/>
      </w:pPr>
      <w:r>
        <w:rPr>
          <w:bCs/>
          <w:b/>
        </w:rPr>
        <w:t xml:space="preserve">What the permission set grants.</w:t>
      </w:r>
      <w:r>
        <w:t xml:space="preserve"> </w:t>
      </w:r>
      <w:r>
        <w:t xml:space="preserve">PermissionCheckerPermissionSet gives:</w:t>
      </w:r>
    </w:p>
    <w:p>
      <w:pPr>
        <w:numPr>
          <w:ilvl w:val="0"/>
          <w:numId w:val="1001"/>
        </w:numPr>
        <w:pStyle w:val="Compact"/>
      </w:pPr>
      <w:r>
        <w:t xml:space="preserve">The custom permission Use_Permission_Explorer</w:t>
      </w:r>
    </w:p>
    <w:p>
      <w:pPr>
        <w:numPr>
          <w:ilvl w:val="0"/>
          <w:numId w:val="1001"/>
        </w:numPr>
        <w:pStyle w:val="Compact"/>
      </w:pPr>
      <w:r>
        <w:t xml:space="preserve">Apex class access to PermissionExplorerController and nothing else</w:t>
      </w:r>
    </w:p>
    <w:p>
      <w:pPr>
        <w:numPr>
          <w:ilvl w:val="0"/>
          <w:numId w:val="1001"/>
        </w:numPr>
        <w:pStyle w:val="Compact"/>
      </w:pPr>
      <w:r>
        <w:t xml:space="preserve">PE_Inspection_Log__c: Read and Create only. Edit, Delete, View All and Modify All</w:t>
      </w:r>
      <w:r>
        <w:t xml:space="preserve"> </w:t>
      </w:r>
      <w:r>
        <w:t xml:space="preserve">are all withheld</w:t>
      </w:r>
    </w:p>
    <w:p>
      <w:pPr>
        <w:numPr>
          <w:ilvl w:val="0"/>
          <w:numId w:val="1001"/>
        </w:numPr>
        <w:pStyle w:val="Compact"/>
      </w:pPr>
      <w:r>
        <w:t xml:space="preserve">Field permissions on the three non-required audit fields</w:t>
      </w:r>
    </w:p>
    <w:p>
      <w:pPr>
        <w:numPr>
          <w:ilvl w:val="0"/>
          <w:numId w:val="1001"/>
        </w:numPr>
        <w:pStyle w:val="Compact"/>
      </w:pPr>
      <w:r>
        <w:t xml:space="preserve">Tab visibility for Permission_Explorer</w:t>
      </w:r>
    </w:p>
    <w:p>
      <w:pPr>
        <w:pStyle w:val="FirstParagraph"/>
      </w:pPr>
      <w:r>
        <w:t xml:space="preserve">The withheld Edit and Delete are the point of the design. A holder can read the audit</w:t>
      </w:r>
      <w:r>
        <w:t xml:space="preserve"> </w:t>
      </w:r>
      <w:r>
        <w:t xml:space="preserve">log but cannot rewrite or remove their own entries.</w:t>
      </w:r>
    </w:p>
    <w:p>
      <w:pPr>
        <w:pStyle w:val="BodyText"/>
      </w:pPr>
      <w:r>
        <w:t xml:space="preserve">We do not auto-assign this permission set on install, and we would rather not. An</w:t>
      </w:r>
      <w:r>
        <w:t xml:space="preserve"> </w:t>
      </w:r>
      <w:r>
        <w:t xml:space="preserve">InstallHandler that silently granted the ability to inspect every user in the org</w:t>
      </w:r>
      <w:r>
        <w:t xml:space="preserve"> </w:t>
      </w:r>
      <w:r>
        <w:t xml:space="preserve">would be convenient and, we think, wrong.</w:t>
      </w:r>
    </w:p>
    <w:bookmarkEnd w:id="23"/>
    <w:bookmarkStart w:id="24" w:name="the-audit-trail"/>
    <w:p>
      <w:pPr>
        <w:pStyle w:val="Heading2"/>
      </w:pPr>
      <w:r>
        <w:t xml:space="preserve">The audit trail</w:t>
      </w:r>
    </w:p>
    <w:p>
      <w:pPr>
        <w:pStyle w:val="FirstParagraph"/>
      </w:pPr>
      <w:r>
        <w:t xml:space="preserve">Every inspection writes one row to PE_Inspection_Log__c:</w:t>
      </w:r>
    </w:p>
    <w:p>
      <w:pPr>
        <w:numPr>
          <w:ilvl w:val="0"/>
          <w:numId w:val="1002"/>
        </w:numPr>
        <w:pStyle w:val="Compact"/>
      </w:pPr>
      <w:r>
        <w:t xml:space="preserve">Inspector_User__c — who ran the inspection</w:t>
      </w:r>
    </w:p>
    <w:p>
      <w:pPr>
        <w:numPr>
          <w:ilvl w:val="0"/>
          <w:numId w:val="1002"/>
        </w:numPr>
        <w:pStyle w:val="Compact"/>
      </w:pPr>
      <w:r>
        <w:t xml:space="preserve">Subject_User__c — who was inspected</w:t>
      </w:r>
    </w:p>
    <w:p>
      <w:pPr>
        <w:numPr>
          <w:ilvl w:val="0"/>
          <w:numId w:val="1002"/>
        </w:numPr>
        <w:pStyle w:val="Compact"/>
      </w:pPr>
      <w:r>
        <w:t xml:space="preserve">Action__c — RESOLVE_USER, GET_APP_OBJECTS, GET_OBJECT_DETAIL, and so on</w:t>
      </w:r>
    </w:p>
    <w:p>
      <w:pPr>
        <w:numPr>
          <w:ilvl w:val="0"/>
          <w:numId w:val="1002"/>
        </w:numPr>
        <w:pStyle w:val="Compact"/>
      </w:pPr>
      <w:r>
        <w:t xml:space="preserve">Inspected_At__c — UTC timestamp</w:t>
      </w:r>
    </w:p>
    <w:p>
      <w:pPr>
        <w:numPr>
          <w:ilvl w:val="0"/>
          <w:numId w:val="1002"/>
        </w:numPr>
        <w:pStyle w:val="Compact"/>
      </w:pPr>
      <w:r>
        <w:t xml:space="preserve">Detail__c — context, such as the object API name</w:t>
      </w:r>
    </w:p>
    <w:p>
      <w:pPr>
        <w:pStyle w:val="FirstParagraph"/>
      </w:pPr>
      <w:r>
        <w:t xml:space="preserve">Writes are buffered and flushed once per transaction.</w:t>
      </w:r>
    </w:p>
    <w:p>
      <w:pPr>
        <w:pStyle w:val="BodyText"/>
      </w:pPr>
      <w:r>
        <w:rPr>
          <w:bCs/>
          <w:b/>
        </w:rPr>
        <w:t xml:space="preserve">A limitation we want to state rather than have found.</w:t>
      </w:r>
      <w:r>
        <w:t xml:space="preserve"> </w:t>
      </w:r>
      <w:r>
        <w:t xml:space="preserve">If the audit insert fails,</w:t>
      </w:r>
      <w:r>
        <w:t xml:space="preserve"> </w:t>
      </w:r>
      <w:r>
        <w:t xml:space="preserve">we log it with System.debug and let the inspection return. In a managed package a</w:t>
      </w:r>
      <w:r>
        <w:t xml:space="preserve"> </w:t>
      </w:r>
      <w:r>
        <w:t xml:space="preserve">debug statement is not visible to the subscriber, so an audit failure is currently</w:t>
      </w:r>
      <w:r>
        <w:t xml:space="preserve"> </w:t>
      </w:r>
      <w:r>
        <w:t xml:space="preserve">silent to them. We chose that over failing an admin’s inspection because of a logging</w:t>
      </w:r>
      <w:r>
        <w:t xml:space="preserve"> </w:t>
      </w:r>
      <w:r>
        <w:t xml:space="preserve">error, but we recognise it is a trade-off rather than a good answer, and the audit</w:t>
      </w:r>
      <w:r>
        <w:t xml:space="preserve"> </w:t>
      </w:r>
      <w:r>
        <w:t xml:space="preserve">trail is the control this product’s safety argument rests on. If the reviewer would</w:t>
      </w:r>
      <w:r>
        <w:t xml:space="preserve"> </w:t>
      </w:r>
      <w:r>
        <w:t xml:space="preserve">prefer a surfaced warning in the response or a hard failure, we will change it.</w:t>
      </w:r>
    </w:p>
    <w:bookmarkEnd w:id="24"/>
    <w:bookmarkStart w:id="25" w:name="where-the-tool-stops-and-why"/>
    <w:p>
      <w:pPr>
        <w:pStyle w:val="Heading2"/>
      </w:pPr>
      <w:r>
        <w:t xml:space="preserve">Where the tool stops, and why</w:t>
      </w:r>
    </w:p>
    <w:p>
      <w:pPr>
        <w:pStyle w:val="FirstParagraph"/>
      </w:pPr>
      <w:r>
        <w:t xml:space="preserve">Our design rule is that we never present a guess as an answer. Where the platform</w:t>
      </w:r>
      <w:r>
        <w:t xml:space="preserve"> </w:t>
      </w:r>
      <w:r>
        <w:t xml:space="preserve">cannot tell us something without a callout, the interface says so in place rather</w:t>
      </w:r>
      <w:r>
        <w:t xml:space="preserve"> </w:t>
      </w:r>
      <w:r>
        <w:t xml:space="preserve">than rendering an empty result that reads as</w:t>
      </w:r>
      <w:r>
        <w:t xml:space="preserve"> </w:t>
      </w:r>
      <w:r>
        <w:t xml:space="preserve">“</w:t>
      </w:r>
      <w:r>
        <w:t xml:space="preserve">no access.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Per-user record type visibility.</w:t>
      </w:r>
      <w:r>
        <w:t xml:space="preserve"> </w:t>
      </w:r>
      <w:r>
        <w:t xml:space="preserve">This lives only in Profile and PermissionSet</w:t>
      </w:r>
      <w:r>
        <w:t xml:space="preserve"> </w:t>
      </w:r>
      <w:r>
        <w:t xml:space="preserve">metadata XML. No queryable junction object exists — we verified this against the</w:t>
      </w:r>
      <w:r>
        <w:t xml:space="preserve"> </w:t>
      </w:r>
      <w:r>
        <w:t xml:space="preserve">sObject list and against SetupEntityAccess, which covers Apex classes, pages, tabs,</w:t>
      </w:r>
      <w:r>
        <w:t xml:space="preserve"> </w:t>
      </w:r>
      <w:r>
        <w:t xml:space="preserve">custom permissions and connected apps but not record types. Reading it needs the</w:t>
      </w:r>
      <w:r>
        <w:t xml:space="preserve"> </w:t>
      </w:r>
      <w:r>
        <w:t xml:space="preserve">Metadata or Tooling API, which means a callout. So we list the record types that</w:t>
      </w:r>
      <w:r>
        <w:t xml:space="preserve"> </w:t>
      </w:r>
      <w:r>
        <w:t xml:space="preserve">exist on the object beneath a standing notice that record type access is not</w:t>
      </w:r>
      <w:r>
        <w:t xml:space="preserve"> </w:t>
      </w:r>
      <w:r>
        <w:t xml:space="preserve">analysed, naming recordTypeVisibilities as where the answer actually lives.</w:t>
      </w:r>
    </w:p>
    <w:p>
      <w:pPr>
        <w:pStyle w:val="BodyText"/>
      </w:pPr>
      <w:r>
        <w:rPr>
          <w:bCs/>
          <w:b/>
        </w:rPr>
        <w:t xml:space="preserve">Per-permission-set app visibility.</w:t>
      </w:r>
      <w:r>
        <w:t xml:space="preserve"> </w:t>
      </w:r>
      <w:r>
        <w:t xml:space="preserve">Same reason. We derive the app list from</w:t>
      </w:r>
      <w:r>
        <w:t xml:space="preserve"> </w:t>
      </w:r>
      <w:r>
        <w:t xml:space="preserve">AppMenuItem and label every row</w:t>
      </w:r>
      <w:r>
        <w:t xml:space="preserve"> </w:t>
      </w:r>
      <w:r>
        <w:t xml:space="preserve">“</w:t>
      </w:r>
      <w:r>
        <w:t xml:space="preserve">visibility estimated,</w:t>
      </w:r>
      <w:r>
        <w:t xml:space="preserve">”</w:t>
      </w:r>
      <w:r>
        <w:t xml:space="preserve"> </w:t>
      </w:r>
      <w:r>
        <w:t xml:space="preserve">with a notice above the</w:t>
      </w:r>
      <w:r>
        <w:t xml:space="preserve"> </w:t>
      </w:r>
      <w:r>
        <w:t xml:space="preserve">column.</w:t>
      </w:r>
    </w:p>
    <w:p>
      <w:pPr>
        <w:pStyle w:val="BodyText"/>
      </w:pPr>
      <w:r>
        <w:rPr>
          <w:bCs/>
          <w:b/>
        </w:rPr>
        <w:t xml:space="preserve">Login history.</w:t>
      </w:r>
      <w:r>
        <w:t xml:space="preserve"> </w:t>
      </w:r>
      <w:r>
        <w:t xml:space="preserve">Salesforce restricts LoginHistory to users with Manage Users, and</w:t>
      </w:r>
      <w:r>
        <w:t xml:space="preserve"> </w:t>
      </w:r>
      <w:r>
        <w:t xml:space="preserve">we do not grant that permission. Where the running admin lacks it, the panel reports</w:t>
      </w:r>
      <w:r>
        <w:t xml:space="preserve"> </w:t>
      </w:r>
      <w:r>
        <w:t xml:space="preserve">why instead of showing an empty list.</w:t>
      </w:r>
    </w:p>
    <w:p>
      <w:pPr>
        <w:pStyle w:val="BodyText"/>
      </w:pPr>
      <w:r>
        <w:rPr>
          <w:bCs/>
          <w:b/>
        </w:rPr>
        <w:t xml:space="preserve">Protected permission sets.</w:t>
      </w:r>
      <w:r>
        <w:t xml:space="preserve"> </w:t>
      </w:r>
      <w:r>
        <w:t xml:space="preserve">Permission sets installed by other managed packages</w:t>
      </w:r>
      <w:r>
        <w:t xml:space="preserve"> </w:t>
      </w:r>
      <w:r>
        <w:t xml:space="preserve">may not be readable, and their permissions still apply. The header reports how many</w:t>
      </w:r>
      <w:r>
        <w:t xml:space="preserve"> </w:t>
      </w:r>
      <w:r>
        <w:t xml:space="preserve">were skipped, so the admin knows the grid is a lower bound rather than a complete</w:t>
      </w:r>
      <w:r>
        <w:t xml:space="preserve"> </w:t>
      </w:r>
      <w:r>
        <w:t xml:space="preserve">answer.</w:t>
      </w:r>
    </w:p>
    <w:p>
      <w:pPr>
        <w:pStyle w:val="BodyText"/>
      </w:pPr>
      <w:r>
        <w:rPr>
          <w:bCs/>
          <w:b/>
        </w:rPr>
        <w:t xml:space="preserve">Sharing rules and record-level access.</w:t>
      </w:r>
      <w:r>
        <w:t xml:space="preserve"> </w:t>
      </w:r>
      <w:r>
        <w:t xml:space="preserve">Out of scope. __Share queries can be</w:t>
      </w:r>
      <w:r>
        <w:t xml:space="preserve"> </w:t>
      </w:r>
      <w:r>
        <w:t xml:space="preserve">enormous and reading org-wide defaults properly needs a callout. We show the org-wide</w:t>
      </w:r>
      <w:r>
        <w:t xml:space="preserve"> </w:t>
      </w:r>
      <w:r>
        <w:t xml:space="preserve">default only.</w:t>
      </w:r>
    </w:p>
    <w:bookmarkEnd w:id="25"/>
    <w:bookmarkStart w:id="26" w:name="handling-scale-and-governor-limits"/>
    <w:p>
      <w:pPr>
        <w:pStyle w:val="Heading2"/>
      </w:pPr>
      <w:r>
        <w:t xml:space="preserve">Handling scale and governor limits</w:t>
      </w:r>
    </w:p>
    <w:p>
      <w:pPr>
        <w:pStyle w:val="FirstParagraph"/>
      </w:pPr>
      <w:r>
        <w:rPr>
          <w:bCs/>
          <w:b/>
        </w:rPr>
        <w:t xml:space="preserve">Keyset pagination rather than OFFSET.</w:t>
      </w:r>
      <w:r>
        <w:t xml:space="preserve"> </w:t>
      </w:r>
      <w:r>
        <w:t xml:space="preserve">SOQL OFFSET is capped at 2,000 rows, which</w:t>
      </w:r>
      <w:r>
        <w:t xml:space="preserve"> </w:t>
      </w:r>
      <w:r>
        <w:t xml:space="preserve">silently truncates user lists in large orgs. PEKeysetCursor encodes an opaque cursor</w:t>
      </w:r>
      <w:r>
        <w:t xml:space="preserve"> </w:t>
      </w:r>
      <w:r>
        <w:t xml:space="preserve">carrying the sort value and the last row Id. The Id tiebreaker is mandatory: the sort</w:t>
      </w:r>
      <w:r>
        <w:t xml:space="preserve"> </w:t>
      </w:r>
      <w:r>
        <w:t xml:space="preserve">value is never unique, and without it rows duplicate or vanish between pages. Two</w:t>
      </w:r>
      <w:r>
        <w:t xml:space="preserve"> </w:t>
      </w:r>
      <w:r>
        <w:t xml:space="preserve">tests cover this — PEUserSearchServiceTest.pagingCollectsEveryRowExactlyOnce walks</w:t>
      </w:r>
      <w:r>
        <w:t xml:space="preserve"> </w:t>
      </w:r>
      <w:r>
        <w:t xml:space="preserve">every page and asserts each row appears exactly once, and lastLoginSortIsAcceptedAndPages</w:t>
      </w:r>
      <w:r>
        <w:t xml:space="preserve"> </w:t>
      </w:r>
      <w:r>
        <w:t xml:space="preserve">covers the date-sorted branch. Cursors are integrity-checked;</w:t>
      </w:r>
      <w:r>
        <w:t xml:space="preserve"> </w:t>
      </w:r>
      <w:r>
        <w:t xml:space="preserve">PermissionExplorerTest.tamperedCursorIsRejected asserts a modified cursor is refused.</w:t>
      </w:r>
    </w:p>
    <w:p>
      <w:pPr>
        <w:pStyle w:val="BodyText"/>
      </w:pPr>
      <w:r>
        <w:rPr>
          <w:bCs/>
          <w:b/>
        </w:rPr>
        <w:t xml:space="preserve">Query chunking.</w:t>
      </w:r>
      <w:r>
        <w:t xml:space="preserve"> </w:t>
      </w:r>
      <w:r>
        <w:t xml:space="preserve">A user can have hundreds of effective permission-set parents,</w:t>
      </w:r>
      <w:r>
        <w:t xml:space="preserve"> </w:t>
      </w:r>
      <w:r>
        <w:t xml:space="preserve">more than a single SOQL bind list should carry. PESoqlChunker splits them into</w:t>
      </w:r>
      <w:r>
        <w:t xml:space="preserve"> </w:t>
      </w:r>
      <w:r>
        <w:t xml:space="preserve">batches, and assertQueryBudget checks the resulting query count against the governor</w:t>
      </w:r>
      <w:r>
        <w:t xml:space="preserve"> </w:t>
      </w:r>
      <w:r>
        <w:t xml:space="preserve">limit before any query runs, throwing a typed retryable error if it would not fit.</w:t>
      </w:r>
      <w:r>
        <w:t xml:space="preserve"> </w:t>
      </w:r>
      <w:r>
        <w:t xml:space="preserve">This is why several methods query inside a loop, and it is the subject of five of our</w:t>
      </w:r>
      <w:r>
        <w:t xml:space="preserve"> </w:t>
      </w:r>
      <w:r>
        <w:t xml:space="preserve">six analyser suppressions — see the false positives document.</w:t>
      </w:r>
    </w:p>
    <w:p>
      <w:pPr>
        <w:pStyle w:val="BodyText"/>
      </w:pPr>
      <w:r>
        <w:rPr>
          <w:bCs/>
          <w:b/>
        </w:rPr>
        <w:t xml:space="preserve">One composite endpoint.</w:t>
      </w:r>
      <w:r>
        <w:t xml:space="preserve"> </w:t>
      </w:r>
      <w:r>
        <w:t xml:space="preserve">getObjectDetail returns object permissions, field</w:t>
      </w:r>
      <w:r>
        <w:t xml:space="preserve"> </w:t>
      </w:r>
      <w:r>
        <w:t xml:space="preserve">permissions, record types and sharing model in a single round trip, so switching</w:t>
      </w:r>
      <w:r>
        <w:t xml:space="preserve"> </w:t>
      </w:r>
      <w:r>
        <w:t xml:space="preserve">sections in the interface is pure client-side rendering.</w:t>
      </w:r>
    </w:p>
    <w:p>
      <w:pPr>
        <w:pStyle w:val="BodyText"/>
      </w:pPr>
      <w:r>
        <w:rPr>
          <w:bCs/>
          <w:b/>
        </w:rPr>
        <w:t xml:space="preserve">Per-section error boundaries.</w:t>
      </w:r>
      <w:r>
        <w:t xml:space="preserve"> </w:t>
      </w:r>
      <w:r>
        <w:t xml:space="preserve">A failure loading fields populates a typed error on</w:t>
      </w:r>
      <w:r>
        <w:t xml:space="preserve"> </w:t>
      </w:r>
      <w:r>
        <w:t xml:space="preserve">the field section only. The object permissions panel that already rendered correctly</w:t>
      </w:r>
      <w:r>
        <w:t xml:space="preserve"> </w:t>
      </w:r>
      <w:r>
        <w:t xml:space="preserve">is not blanked.</w:t>
      </w:r>
    </w:p>
    <w:bookmarkEnd w:id="26"/>
    <w:bookmarkStart w:id="27" w:name="using-the-tool"/>
    <w:p>
      <w:pPr>
        <w:pStyle w:val="Heading2"/>
      </w:pPr>
      <w:r>
        <w:t xml:space="preserve">Using the tool</w:t>
      </w:r>
    </w:p>
    <w:p>
      <w:pPr>
        <w:pStyle w:val="FirstParagraph"/>
      </w:pPr>
      <w:r>
        <w:rPr>
          <w:bCs/>
          <w:b/>
        </w:rPr>
        <w:t xml:space="preserve">Install and set up</w:t>
      </w:r>
    </w:p>
    <w:p>
      <w:pPr>
        <w:numPr>
          <w:ilvl w:val="0"/>
          <w:numId w:val="1003"/>
        </w:numPr>
        <w:pStyle w:val="Compact"/>
      </w:pPr>
      <w:r>
        <w:t xml:space="preserve">Install the package. Admins Only is the recommended setting.</w:t>
      </w:r>
    </w:p>
    <w:p>
      <w:pPr>
        <w:numPr>
          <w:ilvl w:val="0"/>
          <w:numId w:val="1003"/>
        </w:numPr>
        <w:pStyle w:val="Compact"/>
      </w:pPr>
      <w:r>
        <w:t xml:space="preserve">Setup → Permission Sets → PermissionCheckerPermissionSet → Manage Assignments,</w:t>
      </w:r>
      <w:r>
        <w:t xml:space="preserve"> </w:t>
      </w:r>
      <w:r>
        <w:t xml:space="preserve">and assign it to the administrators who should be able to inspect other users.</w:t>
      </w:r>
    </w:p>
    <w:p>
      <w:pPr>
        <w:numPr>
          <w:ilvl w:val="0"/>
          <w:numId w:val="1003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Who Sees What</w:t>
      </w:r>
      <w:r>
        <w:t xml:space="preserve"> </w:t>
      </w:r>
      <w:r>
        <w:t xml:space="preserve">in the App Launcher. If it is not there: Setup →</w:t>
      </w:r>
      <w:r>
        <w:t xml:space="preserve"> </w:t>
      </w:r>
      <w:r>
        <w:t xml:space="preserve">Profiles → your profile → Assigned Apps → Edit → enable Who Sees What → Save. App</w:t>
      </w:r>
      <w:r>
        <w:t xml:space="preserve"> </w:t>
      </w:r>
      <w:r>
        <w:t xml:space="preserve">assignment lives in profile metadata and cannot be granted by a permission set.</w:t>
      </w:r>
    </w:p>
    <w:p>
      <w:pPr>
        <w:numPr>
          <w:ilvl w:val="0"/>
          <w:numId w:val="1003"/>
        </w:numPr>
        <w:pStyle w:val="Compact"/>
      </w:pPr>
      <w:r>
        <w:t xml:space="preserve">Open App Launcher → Who Sees What → Permission Explorer.</w:t>
      </w:r>
    </w:p>
    <w:p>
      <w:pPr>
        <w:pStyle w:val="FirstParagraph"/>
      </w:pPr>
      <w:r>
        <w:t xml:space="preserve">Before any user is selected the tool shows an onboarding panel repeating these steps,</w:t>
      </w:r>
      <w:r>
        <w:t xml:space="preserve"> </w:t>
      </w:r>
      <w:r>
        <w:t xml:space="preserve">listing what it can tell you, and stating that use is logged.</w:t>
      </w:r>
    </w:p>
    <w:p>
      <w:pPr>
        <w:pStyle w:val="BodyText"/>
      </w:pPr>
      <w:r>
        <w:rPr>
          <w:bCs/>
          <w:b/>
        </w:rPr>
        <w:t xml:space="preserve">Inspect a user</w:t>
      </w:r>
    </w:p>
    <w:p>
      <w:pPr>
        <w:numPr>
          <w:ilvl w:val="0"/>
          <w:numId w:val="1004"/>
        </w:numPr>
        <w:pStyle w:val="Compact"/>
      </w:pPr>
      <w:r>
        <w:t xml:space="preserve">In the user column, search by name, username, alias or email, or filter by</w:t>
      </w:r>
      <w:r>
        <w:t xml:space="preserve"> </w:t>
      </w:r>
      <w:r>
        <w:t xml:space="preserve">profile, role, or user type. Sort by name or last login. Results are keyset</w:t>
      </w:r>
      <w:r>
        <w:t xml:space="preserve"> </w:t>
      </w:r>
      <w:r>
        <w:t xml:space="preserve">paginated.</w:t>
      </w:r>
    </w:p>
    <w:p>
      <w:pPr>
        <w:numPr>
          <w:ilvl w:val="0"/>
          <w:numId w:val="1004"/>
        </w:numPr>
        <w:pStyle w:val="Compact"/>
      </w:pPr>
      <w:r>
        <w:t xml:space="preserve">Select a user. The header shows profile, role, licence, last sign-in, and counts</w:t>
      </w:r>
      <w:r>
        <w:t xml:space="preserve"> </w:t>
      </w:r>
      <w:r>
        <w:t xml:space="preserve">of assigned permission sets and groups. Each count opens a drill-down with links</w:t>
      </w:r>
      <w:r>
        <w:t xml:space="preserve"> </w:t>
      </w:r>
      <w:r>
        <w:t xml:space="preserve">to the matching Setup page.</w:t>
      </w:r>
    </w:p>
    <w:p>
      <w:pPr>
        <w:numPr>
          <w:ilvl w:val="0"/>
          <w:numId w:val="1004"/>
        </w:numPr>
        <w:pStyle w:val="Compact"/>
      </w:pPr>
      <w:r>
        <w:t xml:space="preserve">The app column lists apps visible to that user, each marked</w:t>
      </w:r>
      <w:r>
        <w:t xml:space="preserve"> </w:t>
      </w:r>
      <w:r>
        <w:t xml:space="preserve">“</w:t>
      </w:r>
      <w:r>
        <w:t xml:space="preserve">visibility</w:t>
      </w:r>
      <w:r>
        <w:t xml:space="preserve"> </w:t>
      </w:r>
      <w:r>
        <w:t xml:space="preserve">estimated.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Open an app to see the objects and tabs reachable from it, with create, read,</w:t>
      </w:r>
      <w:r>
        <w:t xml:space="preserve"> </w:t>
      </w:r>
      <w:r>
        <w:t xml:space="preserve">update, delete, view all and modify all chips and the granting source for each.</w:t>
      </w:r>
      <w:r>
        <w:t xml:space="preserve"> </w:t>
      </w:r>
      <w:r>
        <w:t xml:space="preserve">Objects the user can reach by data access but which have no tab in that app are</w:t>
      </w:r>
      <w:r>
        <w:t xml:space="preserve"> </w:t>
      </w:r>
      <w:r>
        <w:t xml:space="preserve">listed separately — that gap is a common source of</w:t>
      </w:r>
      <w:r>
        <w:t xml:space="preserve"> </w:t>
      </w:r>
      <w:r>
        <w:t xml:space="preserve">“</w:t>
      </w:r>
      <w:r>
        <w:t xml:space="preserve">why can they see this?</w:t>
      </w:r>
      <w:r>
        <w:t xml:space="preserve">”</w:t>
      </w:r>
      <w:r>
        <w:t xml:space="preserve"> </w:t>
      </w:r>
      <w:r>
        <w:t xml:space="preserve">questions, so we surface it rather than omitting it.</w:t>
      </w:r>
    </w:p>
    <w:p>
      <w:pPr>
        <w:numPr>
          <w:ilvl w:val="0"/>
          <w:numId w:val="1004"/>
        </w:numPr>
        <w:pStyle w:val="Compact"/>
      </w:pPr>
      <w:r>
        <w:t xml:space="preserve">Expand an object for three tabs. Fields shows readable and editable per field with</w:t>
      </w:r>
      <w:r>
        <w:t xml:space="preserve"> </w:t>
      </w:r>
      <w:r>
        <w:t xml:space="preserve">granting sources, and an explicit reason where field-level security does not apply</w:t>
      </w:r>
      <w:r>
        <w:t xml:space="preserve"> </w:t>
      </w:r>
      <w:r>
        <w:t xml:space="preserve">at all, such as formula or required fields. Record types shows the org-level list</w:t>
      </w:r>
      <w:r>
        <w:t xml:space="preserve"> </w:t>
      </w:r>
      <w:r>
        <w:t xml:space="preserve">under the not-analysed notice. Origin shows where the object access came from.</w:t>
      </w:r>
    </w:p>
    <w:p>
      <w:pPr>
        <w:numPr>
          <w:ilvl w:val="0"/>
          <w:numId w:val="1004"/>
        </w:numPr>
        <w:pStyle w:val="Compact"/>
      </w:pPr>
      <w:r>
        <w:t xml:space="preserve">Copy link shares the current selection. Refresh data bumps a cache version token</w:t>
      </w:r>
      <w:r>
        <w:t xml:space="preserve"> </w:t>
      </w:r>
      <w:r>
        <w:t xml:space="preserve">rather than clearing the partition, so one admin refreshing does not cost every</w:t>
      </w:r>
      <w:r>
        <w:t xml:space="preserve"> </w:t>
      </w:r>
      <w:r>
        <w:t xml:space="preserve">other admin their warm cache.</w:t>
      </w:r>
    </w:p>
    <w:p>
      <w:pPr>
        <w:pStyle w:val="FirstParagraph"/>
      </w:pPr>
      <w:r>
        <w:rPr>
          <w:bCs/>
          <w:b/>
        </w:rPr>
        <w:t xml:space="preserve">Checking the audit log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twinforce__Inspector_User__c, twinforce__Subject_User__c,</w:t>
      </w:r>
      <w:r>
        <w:br/>
      </w:r>
      <w:r>
        <w:rPr>
          <w:rStyle w:val="NormalTok"/>
        </w:rPr>
        <w:t xml:space="preserve">       twinforce__Action__c, twinforce__Inspected_At__c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twinforce__PE_Inspection_Log__c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CreatedDate </w:t>
      </w:r>
      <w:r>
        <w:rPr>
          <w:rStyle w:val="KeywordTok"/>
        </w:rPr>
        <w:t xml:space="preserve">DESC</w:t>
      </w:r>
    </w:p>
    <w:bookmarkEnd w:id="27"/>
    <w:bookmarkStart w:id="28" w:name="test-coverage"/>
    <w:p>
      <w:pPr>
        <w:pStyle w:val="Heading2"/>
      </w:pPr>
      <w:r>
        <w:t xml:space="preserve">Test coverage</w:t>
      </w:r>
    </w:p>
    <w:p>
      <w:pPr>
        <w:pStyle w:val="FirstParagraph"/>
      </w:pPr>
      <w:r>
        <w:t xml:space="preserve">74 Apex tests ship with the package. All pass. Coverage is 88%, and Salesforce</w:t>
      </w:r>
      <w:r>
        <w:t xml:space="preserve"> </w:t>
      </w:r>
      <w:r>
        <w:t xml:space="preserve">reports the coverage requirement as met.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PEAccessGate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PEConstants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PermissionExplorerException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PEUserSearchService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PEKeysetCursor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PEInspectionAuditLogger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PermissionExplorerController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PEAccessQueryService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PEMetadataCatalog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PEFlsClassifier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PEPermissionResolver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PESoqlChunker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PECacheManager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PEUserDetailService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57%</w:t>
            </w:r>
          </w:p>
        </w:tc>
      </w:tr>
    </w:tbl>
    <w:p>
      <w:pPr>
        <w:pStyle w:val="BodyText"/>
      </w:pPr>
      <w:r>
        <w:t xml:space="preserve">The tests assert security properties, not only that the happy path works:</w:t>
      </w:r>
    </w:p>
    <w:p>
      <w:pPr>
        <w:numPr>
          <w:ilvl w:val="0"/>
          <w:numId w:val="1005"/>
        </w:numPr>
        <w:pStyle w:val="Compact"/>
      </w:pPr>
      <w:r>
        <w:t xml:space="preserve">unauthorisedCallerIsRejectedByEveryEntryPoint — the gate holds on every entry point</w:t>
      </w:r>
    </w:p>
    <w:p>
      <w:pPr>
        <w:numPr>
          <w:ilvl w:val="0"/>
          <w:numId w:val="1005"/>
        </w:numPr>
        <w:pStyle w:val="Compact"/>
      </w:pPr>
      <w:r>
        <w:t xml:space="preserve">unauthorisedUserIsRejectedBeforeAnyQuery — rejection precedes any SOQL</w:t>
      </w:r>
    </w:p>
    <w:p>
      <w:pPr>
        <w:numPr>
          <w:ilvl w:val="0"/>
          <w:numId w:val="1005"/>
        </w:numPr>
        <w:pStyle w:val="Compact"/>
      </w:pPr>
      <w:r>
        <w:t xml:space="preserve">quoteInTermIsBoundNotInterpolated — a quote in a search term is bound, not interpolated</w:t>
      </w:r>
    </w:p>
    <w:p>
      <w:pPr>
        <w:numPr>
          <w:ilvl w:val="0"/>
          <w:numId w:val="1005"/>
        </w:numPr>
        <w:pStyle w:val="Compact"/>
      </w:pPr>
      <w:r>
        <w:t xml:space="preserve">disallowedSortFieldIsRejected — the sort allowlist holds</w:t>
      </w:r>
    </w:p>
    <w:p>
      <w:pPr>
        <w:numPr>
          <w:ilvl w:val="0"/>
          <w:numId w:val="1005"/>
        </w:numPr>
        <w:pStyle w:val="Compact"/>
      </w:pPr>
      <w:r>
        <w:t xml:space="preserve">tamperedCursorIsRejected — cursor integrity</w:t>
      </w:r>
    </w:p>
    <w:p>
      <w:pPr>
        <w:numPr>
          <w:ilvl w:val="0"/>
          <w:numId w:val="1005"/>
        </w:numPr>
        <w:pStyle w:val="Compact"/>
      </w:pPr>
      <w:r>
        <w:t xml:space="preserve">pagingCollectsEveryRowExactlyOnce — no duplicated or skipped rows across pages</w:t>
      </w:r>
    </w:p>
    <w:p>
      <w:pPr>
        <w:numPr>
          <w:ilvl w:val="0"/>
          <w:numId w:val="1005"/>
        </w:numPr>
        <w:pStyle w:val="Compact"/>
      </w:pPr>
      <w:r>
        <w:t xml:space="preserve">mutingSubtractsAGrantedPermission, mutingDoesNotInventAGrant,</w:t>
      </w:r>
      <w:r>
        <w:t xml:space="preserve"> </w:t>
      </w:r>
      <w:r>
        <w:t xml:space="preserve">mutingDoesNotLeakAcrossPermissions — muting correctness</w:t>
      </w:r>
    </w:p>
    <w:p>
      <w:pPr>
        <w:numPr>
          <w:ilvl w:val="0"/>
          <w:numId w:val="1005"/>
        </w:numPr>
        <w:pStyle w:val="Compact"/>
      </w:pPr>
      <w:r>
        <w:t xml:space="preserve">absentRowMeansNoAccessNotUnknown — absence means no access, never unknown</w:t>
      </w:r>
    </w:p>
    <w:p>
      <w:pPr>
        <w:pStyle w:val="FirstParagraph"/>
      </w:pPr>
      <w:r>
        <w:rPr>
          <w:bCs/>
          <w:b/>
        </w:rPr>
        <w:t xml:space="preserve">Why PEUserDetailService sits at 57%.</w:t>
      </w:r>
      <w:r>
        <w:t xml:space="preserve"> </w:t>
      </w:r>
      <w:r>
        <w:t xml:space="preserve">Two regions of it cannot be covered by any</w:t>
      </w:r>
      <w:r>
        <w:t xml:space="preserve"> </w:t>
      </w:r>
      <w:r>
        <w:t xml:space="preserve">test, and we documented this in the class header rather than leaving it looking like</w:t>
      </w:r>
      <w:r>
        <w:t xml:space="preserve"> </w:t>
      </w:r>
      <w:r>
        <w:t xml:space="preserve">neglect. The not-readable branch depends on Schema.isAccessible() returning false,</w:t>
      </w:r>
      <w:r>
        <w:t xml:space="preserve"> </w:t>
      </w:r>
      <w:r>
        <w:t xml:space="preserve">which cannot be arranged from a test because System.runAs enforces record sharing but</w:t>
      </w:r>
      <w:r>
        <w:t xml:space="preserve"> </w:t>
      </w:r>
      <w:r>
        <w:t xml:space="preserve">not object permissions. The query loop needs LoginHistory rows, which cannot be</w:t>
      </w:r>
      <w:r>
        <w:t xml:space="preserve"> </w:t>
      </w:r>
      <w:r>
        <w:t xml:space="preserve">inserted in a test context. That is a floor, not a gap we have yet to close.</w:t>
      </w:r>
    </w:p>
    <w:bookmarkEnd w:id="28"/>
    <w:bookmarkStart w:id="29" w:name="static-analysis"/>
    <w:p>
      <w:pPr>
        <w:pStyle w:val="Heading2"/>
      </w:pPr>
      <w:r>
        <w:t xml:space="preserve">Static analysis</w:t>
      </w:r>
    </w:p>
    <w:p>
      <w:pPr>
        <w:pStyle w:val="FirstParagraph"/>
      </w:pPr>
      <w:r>
        <w:t xml:space="preserve">Salesforce Code Analyzer plugin 5.15.0, using the AppExchange and Security rulesets:</w:t>
      </w:r>
      <w:r>
        <w:t xml:space="preserve"> </w:t>
      </w:r>
      <w:r>
        <w:rPr>
          <w:bCs/>
          <w:b/>
        </w:rPr>
        <w:t xml:space="preserve">0 violations.</w:t>
      </w:r>
    </w:p>
    <w:p>
      <w:pPr>
        <w:pStyle w:val="SourceCode"/>
      </w:pPr>
      <w:r>
        <w:rPr>
          <w:rStyle w:val="VerbatimChar"/>
        </w:rPr>
        <w:t xml:space="preserve">sf code-analyzer run --workspace force-app --config-file code-analyzer.yml \</w:t>
      </w:r>
      <w:r>
        <w:br/>
      </w:r>
      <w:r>
        <w:rPr>
          <w:rStyle w:val="VerbatimChar"/>
        </w:rPr>
        <w:t xml:space="preserve">  --rule-selector AppExchange --rule-selector Recommended:Security</w:t>
      </w:r>
      <w:r>
        <w:br/>
      </w:r>
      <w:r>
        <w:rPr>
          <w:rStyle w:val="VerbatimChar"/>
        </w:rPr>
        <w:t xml:space="preserve">→ Found 0 violations.</w:t>
      </w:r>
    </w:p>
    <w:p>
      <w:pPr>
        <w:pStyle w:val="FirstParagraph"/>
      </w:pPr>
      <w:r>
        <w:t xml:space="preserve">Six</w:t>
      </w:r>
      <w:r>
        <w:t xml:space="preserve"> </w:t>
      </w:r>
      <w:r>
        <w:t xml:space="preserve">@SuppressWarnings</w:t>
      </w:r>
      <w:r>
        <w:t xml:space="preserve"> </w:t>
      </w:r>
      <w:r>
        <w:t xml:space="preserve">annotations remain in PEAccessQueryService. None of the rules</w:t>
      </w:r>
      <w:r>
        <w:t xml:space="preserve"> </w:t>
      </w:r>
      <w:r>
        <w:t xml:space="preserve">they suppress appear in the AppExchange or Security rulesets — we verified that by</w:t>
      </w:r>
      <w:r>
        <w:t xml:space="preserve"> </w:t>
      </w:r>
      <w:r>
        <w:t xml:space="preserve">removing all six and re-running the gate scan, which still returned zero. Each is</w:t>
      </w:r>
      <w:r>
        <w:t xml:space="preserve"> </w:t>
      </w:r>
      <w:r>
        <w:t xml:space="preserve">explained in the false positives document and in the code at the point of</w:t>
      </w:r>
      <w:r>
        <w:t xml:space="preserve"> </w:t>
      </w:r>
      <w:r>
        <w:t xml:space="preserve">suppression.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2026-08-17T11:58:17Z</dcterms:created>
  <dcterms:modified xsi:type="dcterms:W3CDTF">2026-08-17T11:58:17Z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