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Last chapter: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 can then move to asking about the language they shared to the language that makes each of their contributions unique. Another place where text mining excels is counting the words from each individual speaker, finding the words they shared and the words that were most distinctive of each speaker.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Why would we want to understand the words that made the principal speakers different? Because it may tell us something important about what they disagreed about.  An understanding of the poles of debate can lead us to a detailed case about the tensions that emerged in parliament around abolition.</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