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lam80dl79azc"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Gesetz über die Gerichts- und Behördenorganisation im Zivil- und Strafprozess (Änderung vom ….; Gesetzliche Grundlage für den automatisierten Datenaustausch zwischen Statthalterämtern und Polizei)</w:t>
      </w:r>
    </w:p>
    <w:p w:rsidR="00000000" w:rsidDel="00000000" w:rsidP="00000000" w:rsidRDefault="00000000" w:rsidRPr="00000000" w14:paraId="00000002">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Entwurf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 Erläuterungen vom 16. November 2017</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s>
        <w:spacing w:after="120" w:before="120" w:line="360" w:lineRule="auto"/>
        <w:ind w:left="0" w:right="0" w:firstLine="283.999999999999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Aufgaben der Strafverfolgung werden durch Oberstaatsanwaltschaft, Staatsanwaltschaften, Oberjugendanwaltschaft, Jugendanwaltschaften und Statthalterämter erfüllt. Ihre Aufgabenerfüllung sowie weiterer Strafbehörden (Gerichte und Polizei, vgl. Art. 12 f. StPO) zieht zwingend die Bearbeitung besonderer Personendaten während laufender Strafverfahren nach sich. Die Datenbearbeitung und insbesondere auch die Datenbekanntgabe, ist von den materiellen Strafgesetzen sowie den Verfahrensgesetzen des Bundes abschliessend geregelt (vgl. Art. 95 ff. Strafprozessordnung vom 5. Oktober 2007 [StPO; SR 312], Art. 3 Jugendstrafprozessordnung vom 20. März 2009 [JStPO; SR 312.1] in Verbindung mit Art. 89 ff. StPO). Zusätzlich enthalten Spezialgesetze Normen zur Datenbearbeitung (vgl. etwa Art. 8 f. des Bundesgesetzes vom 20. Juni 2003 über die Verwendung von DNA-Profilen im Strafverfahren und zur Identifizierung von unbekannten oder vermissten Personen [DNA-Profil-Gesetz; SR 363]). § 151 Abs. 1 des Gesetzes über die Gerichts- und Behördenorganisation im Zivil- und Strafprozess vom 10. Mai 2010 (GOG; LS 211.1), der festhält, dass Strafbehörden andere Behörden über von ihnen geführte Verfahren nur gemäss § 17 des Gesetzes über die Information und den Datenschutz vom 12. Februar 2007 (IDG; LS 170.4) informieren dürfen, findet während laufenden Strafverfahren im Verhältnis zwischen den Strafbehörden folglich keine Anwendung (§ 151 Abs. 2 GOG). Die Kantone sind in diesem Bereich lediglich zum Erlass organisatorischer Normen befugt, wozu auch die Regelung des direkten elektronischen Zugriffs auf die Daten einer anderen Strafverfolgungsbehörde zu zählen ist. Zudem sind die Kantone zur Regelung des Datenaustausches bei abgeschlossenen Verfahren zuständig. Eine entsprechende gesetzliche Grundlage ist in § 54a des Polizeigesetzes vom 23. April 2007 (PolG; LS 550.1) für sämtliche Strafverfolgungsbehörden enthalten. Danach teilen die Strafbehörden der Polizei zur Nachführung der polizeilichen Datenbearbeitungssysteme Freisprüche sowie Einstellungen und Nichtanhandnahmen von Strafverfahren innert 14 Tagen seit Eintritt der Rechtskraft mit. Mit dem Gesetz über die in der Direktion der Justiz und des Innern verwendeten besonderen Personendaten vom 27. Oktober 2014 wurde eine gesetzliche Grundlage für den gegenseitigen direkten elektronischen Zugriff auf Daten zwischen den Staatsanwaltschaften und den Jugendanwaltschaften einerseits und der Kantonspolizei und den kommunalen Polizeien andererseits in hängigen und abgeschlossenen Verfahren geschaffen (OS 71, 163; ABl 2013-11-15). Zwischen den Statthalterämtern, denen die Verfolgung und Beurteilung von Übertretungen zusteht (§ 89 GOG), und den Polizeien besteht demgegenüber keine entsprechende formell-gesetzliche Grundlage für einen gegenseitigen direkten elektronischen Datenzugriff. Die Übermittlung von Daten zwischen den Polizeien und den Statthalterämtern erfolgt in laufenden Verfahren im Rahmen von Art. 95 ff. StPO und ist jeweils auf das einzelne Verfahren beschränkt. Allerdings sind Rückmeldungen von Statthalterämtern an Polizeien aus abgeschlossenen Verfahren nach geltendem Recht lediglich gemäss § 54a PolG zulässig. Diese letztere Regelung ist zu einschränkend, da auch an einer Rückmeldung von Strafuntersuchungen, die durch die Statthalterämter mit einer Verurteilung abgeschlossen wurden, ein Interesse besteht. Die Daten der Polizei können dann entsprechend ergänzt werden, was der Forderung nach Datenwahrheit entspricht. Festzuhalten ist, dass keine vollständigen Dokumenteninhalte (z. B. ein vollständiges Urteil) übermittelt werden sollen. Der gegenseitige Zugriff auf die Datenbanken soll analog zur Regelung in § 151 b Abs. 1 GOG auf das für die Aufgabenerfüllung Notwendige beschränkt werden.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s>
        <w:spacing w:after="120" w:before="120" w:line="360" w:lineRule="auto"/>
        <w:ind w:left="0" w:right="0" w:firstLine="283.999999999999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Kosten für die Anpassung der Informatiksysteme wurden bei den beteiligten Organisationen budgetiert. Die Kosten für den Betrieb der Datenaustauschplattform SiDAP werden zwischen den Organisationen nach einem noch zu definierenden Kostenschlüssel verteilt.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s>
        <w:spacing w:after="120" w:before="120" w:line="360" w:lineRule="auto"/>
        <w:ind w:left="0" w:right="0" w:firstLine="283.999999999999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Verfolgung und Beurteilung von Übertretungen können unter den Voraussetzungen von § 89 Abs. 2 GOG auf Gesuch hin einer Gemeinde übertragen werden. Die Bestimmung zum direkten gegenseitigen Datenzugriff soll daher analog für die Übertretungsstrafbehörden der Gemeinden gelten.</w:t>
      </w:r>
    </w:p>
    <w:p w:rsidR="00000000" w:rsidDel="00000000" w:rsidP="00000000" w:rsidRDefault="00000000" w:rsidRPr="00000000" w14:paraId="00000008">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rFonts w:ascii="Arial" w:cs="Arial" w:eastAsia="Arial" w:hAnsi="Arial"/>
          <w:color w:val="000000"/>
        </w:rPr>
        <w:sectPr>
          <w:headerReference r:id="rId6" w:type="default"/>
          <w:headerReference r:id="rId7" w:type="first"/>
          <w:pgSz w:h="16838" w:w="11906" w:orient="portrait"/>
          <w:pgMar w:bottom="1560" w:top="3062" w:left="1985" w:right="1418" w:header="567" w:footer="567"/>
          <w:pgNumType w:start="1"/>
          <w:titlePg w:val="1"/>
        </w:sectPr>
      </w:pP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2"/>
          <w:szCs w:val="22"/>
          <w:u w:val="none"/>
          <w:shd w:fill="auto" w:val="clear"/>
          <w:vertAlign w:val="baseline"/>
          <w:rtl w:val="0"/>
        </w:rPr>
        <w:t xml:space="preserve">Entwurf vom 10. November 2017</w:t>
      </w:r>
      <w:r w:rsidDel="00000000" w:rsidR="00000000" w:rsidRPr="00000000">
        <w:rPr>
          <w:rtl w:val="0"/>
        </w:rPr>
      </w:r>
    </w:p>
    <w:tbl>
      <w:tblPr>
        <w:tblStyle w:val="Table1"/>
        <w:tblW w:w="15276.0" w:type="dxa"/>
        <w:jc w:val="left"/>
        <w:tblInd w:w="-9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99"/>
        <w:gridCol w:w="6804"/>
        <w:gridCol w:w="4473"/>
        <w:tblGridChange w:id="0">
          <w:tblGrid>
            <w:gridCol w:w="3999"/>
            <w:gridCol w:w="6804"/>
            <w:gridCol w:w="4473"/>
          </w:tblGrid>
        </w:tblGridChange>
      </w:tblGrid>
      <w:tr>
        <w:trPr>
          <w:cantSplit w:val="0"/>
          <w:tblHeader w:val="1"/>
        </w:trPr>
        <w:tc>
          <w:tcPr>
            <w:gridSpan w:val="3"/>
            <w:shd w:fill="auto" w:val="clear"/>
            <w:vAlign w:val="center"/>
          </w:tcPr>
          <w:p w:rsidR="00000000" w:rsidDel="00000000" w:rsidP="00000000" w:rsidRDefault="00000000" w:rsidRPr="00000000" w14:paraId="0000000A">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rFonts w:ascii="Arial" w:cs="Arial" w:eastAsia="Arial" w:hAnsi="Arial"/>
                <w:b w:val="1"/>
                <w:bCs w:val="1"/>
              </w:rPr>
            </w:pPr>
            <w:r w:rsidDel="00000000" w:rsidR="00000000" w:rsidRPr="00000000">
              <w:rPr>
                <w:rFonts w:ascii="Arial" w:cs="Arial" w:eastAsia="Arial" w:hAnsi="Arial"/>
                <w:b w:val="1"/>
                <w:bCs w:val="1"/>
                <w:rtl w:val="0"/>
              </w:rPr>
              <w:t xml:space="preserve">Gesetz über die Gerichts- und Behördenorganisation im Zivil- und Strafprozess (GOG) vom 10. Mai 2010 (LS 211.1)</w:t>
            </w:r>
          </w:p>
        </w:tc>
      </w:tr>
      <w:tr>
        <w:trPr>
          <w:cantSplit w:val="0"/>
          <w:tblHeader w:val="1"/>
        </w:trPr>
        <w:tc>
          <w:tcPr>
            <w:shd w:fill="d9d9d9" w:val="clear"/>
            <w:vAlign w:val="center"/>
          </w:tcPr>
          <w:p w:rsidR="00000000" w:rsidDel="00000000" w:rsidP="00000000" w:rsidRDefault="00000000" w:rsidRPr="00000000" w14:paraId="0000000D">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Geltendes Recht</w:t>
            </w:r>
          </w:p>
        </w:tc>
        <w:tc>
          <w:tcPr>
            <w:shd w:fill="d9d9d9" w:val="clear"/>
            <w:vAlign w:val="center"/>
          </w:tcPr>
          <w:p w:rsidR="00000000" w:rsidDel="00000000" w:rsidP="00000000" w:rsidRDefault="00000000" w:rsidRPr="00000000" w14:paraId="0000000E">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Neues Recht </w:t>
            </w:r>
          </w:p>
        </w:tc>
        <w:tc>
          <w:tcPr>
            <w:shd w:fill="d9d9d9" w:val="clear"/>
            <w:vAlign w:val="center"/>
          </w:tcPr>
          <w:p w:rsidR="00000000" w:rsidDel="00000000" w:rsidP="00000000" w:rsidRDefault="00000000" w:rsidRPr="00000000" w14:paraId="0000000F">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rFonts w:ascii="Arial" w:cs="Arial" w:eastAsia="Arial" w:hAnsi="Arial"/>
                <w:b w:val="1"/>
                <w:bCs w:val="1"/>
              </w:rPr>
            </w:pPr>
            <w:r w:rsidDel="00000000" w:rsidR="00000000" w:rsidRPr="00000000">
              <w:rPr>
                <w:rFonts w:ascii="Arial" w:cs="Arial" w:eastAsia="Arial" w:hAnsi="Arial"/>
                <w:b w:val="1"/>
                <w:bCs w:val="1"/>
                <w:rtl w:val="0"/>
              </w:rPr>
              <w:t xml:space="preserve">Bemerkungen</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Gesetz über die Gerichts- und Behördenorganisation im Zivil- und Strafprozess und Straf- und Justizvollzugsgesetz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(Änderung vom ….; Gesetzliche Grundlage für den automatisierten Datenaustausch zwischen Statthalterämtern und Polizei)</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Der Kantonsrat,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nach Einsichtnahme in den Antrag des Regierungsrates vom ….     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beschliesst: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ab/>
              <w:t xml:space="preserve">I. Das Gesetz über die Gerichts- und Behördenorganisation im Zivil- und Strafprozess vom 10. Mai 2010 wird wie folgt geändert: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before="0" w:lineRule="auto"/>
              <w:rPr>
                <w:rFonts w:ascii="Arial Narrow" w:cs="Arial Narrow" w:eastAsia="Arial Narrow" w:hAnsi="Arial Narrow"/>
                <w:i w:val="1"/>
                <w:iCs w:val="1"/>
              </w:rPr>
            </w:pPr>
            <w:r w:rsidDel="00000000" w:rsidR="00000000" w:rsidRPr="00000000">
              <w:rPr>
                <w:rtl w:val="0"/>
              </w:rPr>
            </w:r>
          </w:p>
        </w:tc>
        <w:tc>
          <w:tcPr/>
          <w:p w:rsidR="00000000" w:rsidDel="00000000" w:rsidP="00000000" w:rsidRDefault="00000000" w:rsidRPr="00000000" w14:paraId="00000019">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before="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Datenzugriff zwischen Statthalterämtern und Polizeien sowie zwischen Übertretungsstrafbehörden der Gemeinden und Polizeien</w:t>
            </w:r>
          </w:p>
        </w:tc>
        <w:tc>
          <w:tcPr/>
          <w:p w:rsidR="00000000" w:rsidDel="00000000" w:rsidP="00000000" w:rsidRDefault="00000000" w:rsidRPr="00000000" w14:paraId="0000001A">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before="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Neuer Paragraf vor Titel C. Allgemeine Verfahrensvorschriften</w:t>
            </w:r>
          </w:p>
        </w:tc>
      </w:tr>
      <w:tr>
        <w:trPr>
          <w:cantSplit w:val="0"/>
          <w:tblHeader w:val="0"/>
        </w:trPr>
        <w:tc>
          <w:tcPr/>
          <w:p w:rsidR="00000000" w:rsidDel="00000000" w:rsidP="00000000" w:rsidRDefault="00000000" w:rsidRPr="00000000" w14:paraId="0000001B">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88"/>
              </w:tabs>
              <w:spacing w:before="0" w:lineRule="auto"/>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1C">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before="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151 e. </w:t>
            </w:r>
            <w:r w:rsidDel="00000000" w:rsidR="00000000" w:rsidRPr="00000000">
              <w:rPr>
                <w:vertAlign w:val="superscript"/>
                <w:rtl w:val="0"/>
              </w:rPr>
              <w:t xml:space="preserve">1 </w:t>
            </w:r>
            <w:r w:rsidDel="00000000" w:rsidR="00000000" w:rsidRPr="00000000">
              <w:rPr>
                <w:rFonts w:ascii="Arial Narrow" w:cs="Arial Narrow" w:eastAsia="Arial Narrow" w:hAnsi="Arial Narrow"/>
                <w:rtl w:val="0"/>
              </w:rPr>
              <w:t xml:space="preserve">Die Statthalterämter und die Polizeien sowie die Übertretungsstrafbehörden der Gemeinden und die Polizeien gewähren sich gegenseitig direkten elektronischen Zugriff auf Daten, einschliesslich Personendaten und besonderer Personendaten, von hängigen und abgeschlossenen Verfahren. Der Zugriff der berechtigten Amtsstelle ist auf die für ihre Aufgabenerfüllung notwendigen Daten beschränkt.</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Vgl. obige Ausführungen.</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00"/>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ab/>
              <w:t xml:space="preserve">II. Diese Gesetzesänderung untersteht dem fakultativen Referendum.</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1906" w:w="16838" w:orient="landscape"/>
      <w:pgMar w:bottom="1418" w:top="1985" w:left="1701" w:right="3062" w:header="567" w:footer="56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Black"/>
  <w:font w:name="Arial Narro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pPr w:leftFromText="142" w:rightFromText="142" w:topFromText="0" w:bottomFromText="0" w:vertAnchor="page" w:horzAnchor="page" w:tblpX="7089" w:tblpY="766"/>
      <w:tblW w:w="4728.0" w:type="dxa"/>
      <w:jc w:val="left"/>
      <w:tblInd w:w="-115.0" w:type="dxa"/>
      <w:tblLayout w:type="fixed"/>
      <w:tblLook w:val="0000"/>
    </w:tblPr>
    <w:tblGrid>
      <w:gridCol w:w="1134"/>
      <w:gridCol w:w="3594"/>
      <w:tblGridChange w:id="0">
        <w:tblGrid>
          <w:gridCol w:w="1134"/>
          <w:gridCol w:w="3594"/>
        </w:tblGrid>
      </w:tblGridChange>
    </w:tblGrid>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Seite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page">
            <wp:posOffset>4914900</wp:posOffset>
          </wp:positionH>
          <wp:positionV relativeFrom="page">
            <wp:posOffset>702310</wp:posOffset>
          </wp:positionV>
          <wp:extent cx="215900" cy="215900"/>
          <wp:effectExtent b="0" l="0" r="0" t="0"/>
          <wp:wrapNone/>
          <wp:docPr descr="FlaggeNeu" id="2" name="image1.png"/>
          <a:graphic>
            <a:graphicData uri="http://schemas.openxmlformats.org/drawingml/2006/picture">
              <pic:pic>
                <pic:nvPicPr>
                  <pic:cNvPr descr="FlaggeNeu" id="0" name="image1.png"/>
                  <pic:cNvPicPr preferRelativeResize="0"/>
                </pic:nvPicPr>
                <pic:blipFill>
                  <a:blip r:embed="rId1"/>
                  <a:srcRect b="0" l="0" r="0" t="0"/>
                  <a:stretch>
                    <a:fillRect/>
                  </a:stretch>
                </pic:blipFill>
                <pic:spPr>
                  <a:xfrm>
                    <a:off x="0" y="0"/>
                    <a:ext cx="215900" cy="2159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pPr w:leftFromText="5103" w:rightFromText="142" w:topFromText="0" w:bottomFromText="0" w:vertAnchor="page" w:horzAnchor="page" w:tblpX="7089" w:tblpY="766"/>
      <w:tblW w:w="4728.0" w:type="dxa"/>
      <w:jc w:val="left"/>
      <w:tblInd w:w="-115.0" w:type="dxa"/>
      <w:tblLayout w:type="fixed"/>
      <w:tblLook w:val="0000"/>
    </w:tblPr>
    <w:tblGrid>
      <w:gridCol w:w="1134"/>
      <w:gridCol w:w="3594"/>
      <w:tblGridChange w:id="0">
        <w:tblGrid>
          <w:gridCol w:w="1134"/>
          <w:gridCol w:w="3594"/>
        </w:tblGrid>
      </w:tblGridChange>
    </w:tblGrid>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-597534</wp:posOffset>
                </wp:positionH>
                <wp:positionV relativeFrom="paragraph">
                  <wp:posOffset>0</wp:posOffset>
                </wp:positionV>
                <wp:extent cx="215900" cy="215900"/>
                <wp:effectExtent b="0" l="0" r="0" t="0"/>
                <wp:wrapNone/>
                <wp:docPr descr="FlaggeNeu" id="1" name="image1.png"/>
                <a:graphic>
                  <a:graphicData uri="http://schemas.openxmlformats.org/drawingml/2006/picture">
                    <pic:pic>
                      <pic:nvPicPr>
                        <pic:cNvPr descr="FlaggeNeu" id="0" name="image1.png"/>
                        <pic:cNvPicPr preferRelativeResize="0"/>
                      </pic:nvPicPr>
                      <pic:blipFill>
                        <a:blip r:embed="rId1"/>
                        <a:srcRect b="0" l="0" r="0" t="0"/>
                        <a:stretch>
                          <a:fillRect/>
                        </a:stretch>
                      </pic:blipFill>
                      <pic:spPr>
                        <a:xfrm>
                          <a:off x="0" y="0"/>
                          <a:ext cx="215900" cy="215900"/>
                        </a:xfrm>
                        <a:prstGeom prst="rect"/>
                        <a:ln/>
                      </pic:spPr>
                    </pic:pic>
                  </a:graphicData>
                </a:graphic>
              </wp:anchor>
            </w:drawing>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Kanton Zürich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16"/>
              <w:szCs w:val="16"/>
              <w:u w:val="none"/>
              <w:shd w:fill="auto" w:val="clear"/>
              <w:vertAlign w:val="baseline"/>
              <w:rtl w:val="0"/>
            </w:rPr>
            <w:t xml:space="preserve">Direktion der Justiz und des Innern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Generalsekretariat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0</wp:posOffset>
          </wp:positionV>
          <wp:extent cx="831850" cy="1080135"/>
          <wp:effectExtent b="0" l="0" r="0" t="0"/>
          <wp:wrapNone/>
          <wp:docPr descr="LoeweNeu" id="3" name="image2.png"/>
          <a:graphic>
            <a:graphicData uri="http://schemas.openxmlformats.org/drawingml/2006/picture">
              <pic:pic>
                <pic:nvPicPr>
                  <pic:cNvPr descr="LoeweNeu" id="0" name="image2.png"/>
                  <pic:cNvPicPr preferRelativeResize="0"/>
                </pic:nvPicPr>
                <pic:blipFill>
                  <a:blip r:embed="rId2"/>
                  <a:srcRect b="0" l="0" r="0" t="0"/>
                  <a:stretch>
                    <a:fillRect/>
                  </a:stretch>
                </pic:blipFill>
                <pic:spPr>
                  <a:xfrm>
                    <a:off x="0" y="0"/>
                    <a:ext cx="831850" cy="10801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5."/>
      <w:lvlJc w:val="left"/>
      <w:pPr>
        <w:ind w:left="397" w:hanging="397"/>
      </w:pPr>
      <w:rPr/>
    </w:lvl>
    <w:lvl w:ilvl="5">
      <w:start w:val="1"/>
      <w:numFmt w:val="decimal"/>
      <w:lvlText w:val="%5.%6"/>
      <w:lvlJc w:val="left"/>
      <w:pPr>
        <w:ind w:left="397" w:hanging="397"/>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_CH"/>
      </w:rPr>
    </w:rPrDefault>
    <w:pPrDefault>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Arial" w:cs="Arial" w:eastAsia="Arial" w:hAnsi="Arial"/>
      <w:b w:val="1"/>
      <w:bCs w:val="1"/>
      <w:color w:val="004f9e"/>
      <w:sz w:val="28"/>
      <w:szCs w:val="28"/>
    </w:rPr>
  </w:style>
  <w:style w:type="paragraph" w:styleId="Heading2">
    <w:name w:val="heading 2"/>
    <w:basedOn w:val="Normal"/>
    <w:next w:val="Normal"/>
    <w:pPr>
      <w:keepNext w:val="1"/>
      <w:keepLines w:val="1"/>
      <w:spacing w:before="200" w:lineRule="auto"/>
    </w:pPr>
    <w:rPr>
      <w:rFonts w:ascii="Arial" w:cs="Arial" w:eastAsia="Arial" w:hAnsi="Arial"/>
      <w:b w:val="1"/>
      <w:bCs w:val="1"/>
      <w:color w:val="006ad4"/>
      <w:sz w:val="26"/>
      <w:szCs w:val="26"/>
    </w:rPr>
  </w:style>
  <w:style w:type="paragraph" w:styleId="Heading3">
    <w:name w:val="heading 3"/>
    <w:basedOn w:val="Normal"/>
    <w:next w:val="Normal"/>
    <w:pPr>
      <w:keepNext w:val="1"/>
      <w:keepLines w:val="1"/>
      <w:spacing w:before="200" w:lineRule="auto"/>
    </w:pPr>
    <w:rPr>
      <w:rFonts w:ascii="Arial" w:cs="Arial" w:eastAsia="Arial" w:hAnsi="Arial"/>
      <w:b w:val="1"/>
      <w:bCs w:val="1"/>
      <w:color w:val="006ad4"/>
    </w:rPr>
  </w:style>
  <w:style w:type="paragraph" w:styleId="Heading4">
    <w:name w:val="heading 4"/>
    <w:basedOn w:val="Normal"/>
    <w:next w:val="Normal"/>
    <w:pPr>
      <w:keepNext w:val="1"/>
    </w:pPr>
    <w:rPr/>
  </w:style>
  <w:style w:type="paragraph" w:styleId="Heading5">
    <w:name w:val="heading 5"/>
    <w:basedOn w:val="Normal"/>
    <w:next w:val="Normal"/>
    <w:pPr>
      <w:keepNext w:val="1"/>
      <w:keepLines w:val="1"/>
      <w:spacing w:before="200" w:lineRule="auto"/>
    </w:pPr>
    <w:rPr>
      <w:rFonts w:ascii="Arial" w:cs="Arial" w:eastAsia="Arial" w:hAnsi="Arial"/>
      <w:color w:val="003469"/>
    </w:rPr>
  </w:style>
  <w:style w:type="paragraph" w:styleId="Heading6">
    <w:name w:val="heading 6"/>
    <w:basedOn w:val="Normal"/>
    <w:next w:val="Normal"/>
    <w:pPr>
      <w:keepNext w:val="1"/>
      <w:keepLines w:val="1"/>
      <w:spacing w:before="200" w:lineRule="auto"/>
    </w:pPr>
    <w:rPr>
      <w:rFonts w:ascii="Arial" w:cs="Arial" w:eastAsia="Arial" w:hAnsi="Arial"/>
      <w:i w:val="1"/>
      <w:iCs w:val="1"/>
      <w:color w:val="003469"/>
    </w:rPr>
  </w:style>
  <w:style w:type="paragraph" w:styleId="Title">
    <w:name w:val="Title"/>
    <w:basedOn w:val="Normal"/>
    <w:next w:val="Normal"/>
    <w:pPr>
      <w:pBdr>
        <w:bottom w:color="006ad4" w:space="4" w:sz="8" w:val="single"/>
      </w:pBdr>
      <w:spacing w:after="300" w:before="0" w:lineRule="auto"/>
    </w:pPr>
    <w:rPr>
      <w:rFonts w:ascii="Arial" w:cs="Arial" w:eastAsia="Arial" w:hAnsi="Arial"/>
      <w:color w:val="262626"/>
      <w:sz w:val="52"/>
      <w:szCs w:val="52"/>
    </w:rPr>
  </w:style>
  <w:style w:type="paragraph" w:styleId="Subtitle">
    <w:name w:val="Subtitle"/>
    <w:basedOn w:val="Normal"/>
    <w:next w:val="Normal"/>
    <w:pPr/>
    <w:rPr>
      <w:rFonts w:ascii="Arial" w:cs="Arial" w:eastAsia="Arial" w:hAnsi="Arial"/>
      <w:i w:val="1"/>
      <w:iCs w:val="1"/>
      <w:color w:val="006ad4"/>
      <w:sz w:val="24"/>
      <w:szCs w:val="24"/>
    </w:rPr>
  </w:style>
  <w:style w:type="table" w:styleId="Table1">
    <w:basedOn w:val="TableNormal"/>
    <w:pPr>
      <w:spacing w:before="120" w:lineRule="auto"/>
    </w:pPr>
    <w:rPr>
      <w:rFonts w:ascii="Arial" w:cs="Arial" w:eastAsia="Arial" w:hAnsi="Arial"/>
    </w:rPr>
    <w:tblPr>
      <w:tblStyleRowBandSize w:val="1"/>
      <w:tblStyleColBandSize w:val="1"/>
      <w:tblCellMar>
        <w:top w:w="85.0" w:type="dxa"/>
        <w:left w:w="85.0" w:type="dxa"/>
        <w:bottom w:w="85.0" w:type="dxa"/>
        <w:right w:w="8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