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8rda1hafhid"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240" w:before="120" w:line="240" w:lineRule="auto"/>
        <w:ind w:left="0" w:right="0" w:firstLine="0"/>
        <w:jc w:val="left"/>
        <w:rPr>
          <w:rFonts w:ascii="Arial Black" w:cs="Arial Black" w:eastAsia="Arial Black" w:hAnsi="Arial Black"/>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4"/>
          <w:szCs w:val="24"/>
          <w:u w:val="none"/>
          <w:shd w:fill="auto" w:val="clear"/>
          <w:vertAlign w:val="baseline"/>
          <w:rtl w:val="0"/>
        </w:rPr>
        <w:t xml:space="preserve">Vernehmlassungsentwurf</w:t>
      </w:r>
    </w:p>
    <w:tbl>
      <w:tblPr>
        <w:tblStyle w:val="Table1"/>
        <w:tblW w:w="1410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178"/>
        <w:gridCol w:w="6930"/>
        <w:tblGridChange w:id="0">
          <w:tblGrid>
            <w:gridCol w:w="7178"/>
            <w:gridCol w:w="6930"/>
          </w:tblGrid>
        </w:tblGridChange>
      </w:tblGrid>
      <w:tr>
        <w:trPr>
          <w:cantSplit w:val="0"/>
          <w:tblHeader w:val="0"/>
        </w:trPr>
        <w:tc>
          <w:tcP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36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Antrag an den Regierungsrat vom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 für 1. Lesung</w:t>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36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Bemerkungen</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36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(Änderung vom …; kantonales Betreibungsregister)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36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Der Kantonsrat,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36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nach Einsichtnahme in die Anträge des Regierungsrates vom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und der Kommission vom </w:t>
            </w:r>
            <w:bookmarkStart w:colFirst="0" w:colLast="0" w:name="1whxba28ily" w:id="1"/>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36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beschliesst: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84"/>
                <w:tab w:val="left" w:leader="none" w:pos="851"/>
              </w:tabs>
              <w:spacing w:after="0" w:before="120" w:line="240" w:lineRule="auto"/>
              <w:ind w:left="284" w:right="0" w:hanging="284"/>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 </w:t>
              <w:tab/>
              <w:t xml:space="preserve">Das Einführungsgesetz zum Bundesgesetz über Schuldbetreibung und Konkurs (EG SchKG) vom 26. November 2007 wird wie folgt geändert:</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neuer Titel nach § 6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 Kantonales Betreibungsregister </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bookmarkStart w:colFirst="0" w:colLast="0" w:name="_1m6099uz9gyv" w:id="2"/>
            <w:bookmarkEnd w:id="2"/>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Identifikator</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Zu § 6 a Identifikator:</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6 a.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Die Betreibungsämter erfassen für jedes Betreibungsbegehren am ordentlichen Betreibungsort folgende Daten:</w:t>
            </w:r>
            <w:r w:rsidDel="00000000" w:rsidR="00000000" w:rsidRPr="00000000">
              <w:pict>
                <v:shape id="_x0000_s1027" style="position:absolute;margin-left:-93.6pt;margin-top:0.0pt;width:671.75pt;height:28.35pt;z-index:251658240;mso-wrap-style:tight;mso-position-horizontal-relative:margin;mso-position-vertical-relative:text;mso-position-horizontal:absolute;mso-position-vertical:absolute;" filled="f" stroked="f" type="#_x0000_t202">
                  <v:textbox>
                    <w:txbxContent>
                      <w:p w:rsidR="00C54C63" w:rsidDel="00000000" w:rsidP="00C54C63" w:rsidRDefault="000B1970" w:rsidRPr="00C54C63">
                        <w:pPr>
                          <w:pStyle w:val="01Kleinschrift"/>
                          <w:jc w:val="right"/>
                        </w:pPr>
                        <w:fldSimple w:instr=" FILENAME  \p  \* MERGEFORMAT " w:fldLock="0" w:dirty="0">
                          <w:r w:rsidDel="00000000" w:rsidR="00C54C63" w:rsidRPr="00000000">
                            <w:rPr>
                              <w:noProof w:val="1"/>
                            </w:rPr>
                            <w:t>L:\SFR\02. MA\EV\G_Betreibungsregister\Vernehmlassungsentwurf.docx</w:t>
                          </w:r>
                        </w:fldSimple>
                      </w:p>
                    </w:txbxContent>
                  </v:textbox>
                  <w10:wrap/>
                </v:shape>
              </w:pic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1: Art. 67 Abs. 1 Ziff. 2 SchKG legt die Anforderungen an Betreibungsbegehren verbindlich fest. Nach dieser Bestimmung, die auch durch Weisungen des Bundesamtes für Justiz bestätigt und konkretisiert wurde (vgl. Weisung der Dienststelle Oberaufsicht für Schuldbetreibung und Konkurs Nr. 4 [Betreibungsauszug 2016]) sind die Betreibungsämter nicht befugt, bei den Gläubigern weitere Informationen einzuholen, sofern sich die Schuldnerin oder der Schuldner anhand der Daten gemäss Betreibungsbegehren nicht eindeutig feststellen lassen. Nur wenn der Gläubiger seine Betreibung am ordentlichen Betreibungsort einreicht, d.h. am Ort, an dem die Schuldnerin oder der Schuldner niedergelassen und auch tatsächlich angemeldet ist (vgl. § 1 des Gesetzes über das Meldewesen und die Einwohnerregister (MERG) vom 11. Mai 2015), ist eine Identifikation möglich. Ist eine Schuldnerin oder ein Schuldner nicht angemeldet, hat sie oder er gleichwohl einen betreibungsrechtlichen Wohnsitz in der fraglichen Gemeinde und ein eingeleitetes Betreibungsverfahren muss vom zuständigen Betreibungsamt durchgeführt werden (Art. 46 SchKG i.V.m. Art. 23 ZGB). Die Abfrage der AHV-Nummer auf der kantonalen Einwohnerdatenplattform (KEP) gemäss § 22 MERG wird aber nicht zu einem Ergebnis führen.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 gibt überdies eine Anzahl spezieller Betreibungsverfahren (z.B. die Arrestbetreibung oder die Betreibung auf Pfandverwertung), welche nicht zwingend am Wohnsitz (und damit am ordentlichen Betreibungsort) eingeleitet werden müssen (vgl. Art. 51 und 52 SchKG).</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84"/>
              </w:tabs>
              <w:spacing w:after="0" w:before="120" w:line="240" w:lineRule="auto"/>
              <w:ind w:left="284" w:right="0" w:hanging="284"/>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w:t>
              <w:tab/>
              <w:t xml:space="preserve">für natürliche Personen: die AHV-Versichertennummer gemäss dem Bundesgesetz über die Alters- und Hinterlassenenversicherung vom 20. Dezember 1946,</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lit. a: Gemäss Art. 50</w:t>
            </w: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Abs. 1 des Bundesgesetzes vom 20. Dezember 1946 über die Alters- und Hinterlassenenversicherung  (AHVG) wird jeder Person eine Versichertennummer zugewiesen, die in der Schweiz Wohnsitz oder gewöhnlichen Aufenthalt hat oder im Ausland wohnt und Beiträge entrichtet oder Leistungen bezieht oder beantragt. Zusätzlich werden Versichertennummern auch Personen zugewiesen, wenn dies im Verkehr mit einer Stelle oder Institution notwendig ist, die zur systematischen Verwendung der Nummer berechtigt ist. Die Verwendung der AHV-Versichertennummer erscheint damit als Identifikator geeignet.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84"/>
              </w:tabs>
              <w:spacing w:after="0" w:before="120" w:line="240" w:lineRule="auto"/>
              <w:ind w:left="284" w:right="0" w:hanging="284"/>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b.</w:t>
              <w:tab/>
              <w:t xml:space="preserve">für juristische Personen: die Unternehmens-Identifikationsnummer gemäss dem Bundesgesetz vom 18. Juni 2010 über die Unternehmens-Identifikationsnummer. </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lit. b: Für juristische Personen drängt sich die Verwendung der Unternehmens-Identifikationsnummer (UID-Nummer) als Identifikator auf. Sie wird sämtlichen im Handelsregister eingetragenen Rechtsträgern zugewiesen und zusätzlich auch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natürlichen Personen, die ein nach kaufmännischer Art geführtes Gewerbe betreiben oder einen freien Beruf ausüben und nicht im Handelsregister eingetragen sind (Art. 3 Abs. 1 lit. c des Bundesgesetzes vom 18. Juni 2010 über die Unternehmens-Identifikationsnummer (UIDG). </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Sie beziehen diese Daten von der kantonalen Einwohnerdatenplattform gemäss § 22 des Gesetzes über das Meldewesen und die Einwohnerregister vom 11. Mai 2015 bzw. aus dem Handelsregister.</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2: Die im Kanton niedergelassenen Personen, d.h. Personen, die sich in der Absicht des dauernden Verbleibens in einer Gemeinde aufhalten, um dort den für Dritte erkennbaren Mittelpunkt ihres Lebens zu begründen, und Personen, die sich - ohne Absicht des dauernden Verbleibens - mindestens während dreier aufeinanderfolgender Monate oder dreier Monate innerhalb eines Jahres in einer Gemeinde aufhalten, sind gemäss § 3 MERG meldepflichtig. Ihre Daten werden auf der KEP erfasst, wobei die AHV-Nummer als Identifikator verwendet wird. Mittels eines Zugriffs auf die KEP, sind die Betreibungsämter folglich in der Lage die Daten zu erheben. Dazu sind sie ausdrücklich zu berechtigen.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Times" w:cs="Times" w:eastAsia="Times" w:hAnsi="Times"/>
                <w:b w:val="0"/>
                <w:bCs w:val="0"/>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Für die juristischen Personen ist der Datenbezug aus dem Handelsregister, das öffentlich zugänglich ist, unbedenklich.</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tl w:val="0"/>
              </w:rPr>
              <w:t xml:space="preserve">Vorbemerkungen zu den Varianten 1 und 2 von §§ 6 b ff.:</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Als Voraussetzung für einen Auszug, der sämtliche Betreibungen im Kanton ausweist, ist eine zentrale Datenbank notwendig.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Dabei sind zwei Möglichkeiten denkbar: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Alle Betreibungsämter betreiben weiterhin ihre eigenen Systeme und übergeben die massgebenden Daten regelmässig an eine zentrale Plattform, auf die alle Betreibungsämter Zugriff haben (Variante 1).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ab/>
              <w:t xml:space="preserve">Bei dieser Lösung würden zusätzlich zu den bei den einzelnen  Betreibungsämtern gleichbleibenden Kosten die Kosten der gemeinsamen Plattform für die Betreibungsregisterauszüge anfallen.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 wird ein zentraler Server eingerichtet für alle Betreibungsämter, auf dem jedes Amt über einen eigenen Bereich verfügt. Den übrigen Ämtern wird die Zugriffsmöglichkeit auf die für die Betreibungsauskünfte massgebenden Daten gewährt (Variante 2).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Diese Lösung wird mindestens mittel- und langfristig zu Einsparungen führen (tiefere Kosten für Wartung, Downloads u.ä.). Allerdings müssen die bestehenden Datenbanken noch während fünf Jahren unterhalten werden. Zudem müssen die Gemeinden allenfalls bestehende IT-Verträge künden, was (kurzfristig) zu erhöhten Kosten führen kann. In Gemeinden, die eigene IT-Abteilungen unterhalten, ist zudem nicht mit grösseren Einsparungen zu rechnen.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Der Vollständigkeit halber ist zu ergänzen, dass es weitere Möglichkeit darin bestehen würde, dass sämtliche Betreibungsämter sich über individuelle Schnittstellen Zugriff gewähren. Dies müsste jedoch individuell von sämtlichen Betreibungsämtern ausgeführt werden und wäre folglich organisatorisch und technisch aufwendig. </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tl w:val="0"/>
              </w:rPr>
              <w:t xml:space="preserve">Variante 1: </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tl w:val="0"/>
              </w:rPr>
              <w:t xml:space="preserve">Variante 1: </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Kantonale Plattform für Betreibungsregisterauszüge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a. zu speichernde Daten</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Zu § 6 b. Kantonale Plattform für Betreibungsregisterauszüge, a. zu speichernde Daten:</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6 b.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Die Betreibungsämter speichern die für die Erstellung eines Betreibungsregisterauszuges notwendigen Daten auch auf der kantonalen Plattform</w:t>
            </w: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für Betreibungsregisterauszüge. </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1: Die Betreibungsämter betreiben nach dieser Lösung weiterhin ihre eigenen Systeme speichern ihre Daten auf ihrem eigenen Server. Zusätzlich übergeben die für die Erstellung eines Betreibungsregisterauszuges massgebenden Daten regelmässig an eine zentrale Plattform, auf die alle Betreibungsämter Zugriff haben. Falls zusätzliche Regelungen dazu nötig sein sollten, welche Daten zentral gespeichert werden, könnte dies auf Verordnungsstufe geregelt werden. Da die Verordnungskompetenz in § 24 EG SchKG dem Obergericht zugewiesen ist, wäre dieses für die Regelung zuständig. </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Jedes Betreibungsamt hat elektronischen Zugriff auf die auf der Plattform gespeicherten Daten.</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2: Der gegenseitige Zugriff ist mittels formell-gesetzlicher Grundlage zu regeln (vgl. § 8 Abs. 2 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Gesetzes über die Information und den Datenschutz vom 12. Februar 2007). Nur eine entsprechende Zugriffsmöglichkeit ermöglicht jedem Betreibungsamt die Ausstellung eines Auszuges, der nicht nur die im eigenen, sondern auch die in allen anderen Ämtern vorhandenen Betreibungen enthält. </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b. Betrieb</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Zu § 6 c. b. Betrieb:</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6 c.</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 1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Die für das Schuldbetreibungs- und Konkursrecht zuständige Direktion (Untervariante: das Obergericht) betreibt die Plattform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und trägt die Kosten für Aufbau und Betrieb.</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1: Mit der Erfüllung dieser Aufgabe sind Kosten verbunden. Da es sich um eine (neue) zentrale Aufgabe des Kantons handelt, sind die Kosten für die Erstellung und den Betrieb der Plattform von ihm zu tragen. Eine Überbindung der Kosten auf die einzelnen Betreibungsämter und damit die Gemeinden wäre nicht gerechtfertigt.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Die Kosten müssen als gebundene Ausgaben budgetiert werden können. Die Zuweisung an eine Einheit (Direktion oder Obergericht) im Gesetz drängt sich deshalb auf. </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Die Betreibungsämter tragen die Kosten für die Anpassungen ihrer Systeme zur elektronischen Übermittlung der notwendigen Daten an den Kanton. Sie melden die Daten unentgeltlich.</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2: Die Kosten der Anpassung der bestehenden IT-Systeme an die kantonale Plattform sind von den Betreibungsämtern zu übernehmen. Da jedoch sämtliche Betreibungsämter über dasselbe System verfügen, sollten sich diese Kosten in überschaubarem Rahmen halten, da die neue Plattform so gebaut werden kann, dass sie die Anforderungen des bestehenden Systems berücksichtigt</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superscript"/>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tl w:val="0"/>
              </w:rPr>
              <w:t xml:space="preserve">Variante 2: </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1"/>
                <w:bCs w:val="1"/>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000000"/>
                <w:sz w:val="22"/>
                <w:szCs w:val="22"/>
                <w:u w:val="none"/>
                <w:shd w:fill="auto" w:val="clear"/>
                <w:vertAlign w:val="baseline"/>
                <w:rtl w:val="0"/>
              </w:rPr>
              <w:t xml:space="preserve">Variante 2: </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Kantonale Plattform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a. Datenspeicherung</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Zu § 6 b. Kantonale Plattform, a. Datenspeicherung:</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6 b.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Die Betreibungsämter speichern die im Betreibungsregister zu führenden Daten auf der kantonalen Plattform.</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1: Bei dieser Lösung wird von sämtlichen Betreibungsämtern für sämtliche IT-unterstützte Arbeiten eine gemeinsame Datenplattform benutzt, wobei jedes Betreibungsamt in einem ihm vorbehaltenen, geschützten Bereich arbeitet. </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Jedes Betreibungsamt hat elektronischen Zugriff auf für die Erstellung eines Betreibungsregisterauszuges notwendigen Daten der aller Betreibungsämter.</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Abs. 2: Der Zugriff des einzelnen Amtes auf Daten der übrigen Ämter ist auf die für die Ausstellung eines Betreibungsregisterauszuges notwendigen Daten beschränkt.</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superscript"/>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b. Betrieb</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Zu § 6 c. Betrieb</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6 c.</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 1</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Der Kanton betreibt die gemeinsame Plattform für die Speicherung der Daten der Betreibungsämter.</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Die Plattform ist – analog zur Lösung bei der KEP – vom Kanton zu betreiben. Die Kosten sind jedoch von den Betreibungsämtern zu übernehmen. Diese Lösung hat ein gewisses Sparpotential für die Betreibungsämter, da der gemeinsame Betrieb einer einzigen Plattform weniger kostet, als wenn jedes Amt für seine Datenbearbeitung eigenständig betreibt und die Daten zusätzlich zentral auf einer kantonalen Plattform gespeichert werden müssen. </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Die Betreibungsämter tragen die Kosten entsprechend der Zahl der in ihrem Kreis wohnhaften Einwohnerinnen und Einwohner.  </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 die Betreibungsämter von den Gemeinden getragen werden, sind die Aufwendungen für den gemeinsamen Betrieb der Plattform von den Betreibungsämtern d.h. letztlich von den Gemeinden zu übernehmen. Die Kostenaufteilung ist im Gesetz zu regeln.</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superscript"/>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Auszüge aus dem Betreibungsregister</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Zu § 6 d. Auszüge aus dem Betreibungsregister</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1"/>
                <w:iCs w:val="1"/>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6 d.</w:t>
            </w: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Ein Auszug</w:t>
            </w: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aus dem Betreibungsregister gemäss Art. 8a SchKG enthält:</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84"/>
              </w:tabs>
              <w:spacing w:after="0" w:before="120" w:line="240" w:lineRule="auto"/>
              <w:ind w:left="284" w:right="0" w:hanging="284"/>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w:t>
              <w:tab/>
              <w:t xml:space="preserve">die beim angefragten Betreibungsamt vorhandenen Betreibungsbegehren gegen die Schuldnerin oder den Schuldner,</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284"/>
              </w:tabs>
              <w:spacing w:after="0" w:before="120" w:line="240" w:lineRule="auto"/>
              <w:ind w:left="284" w:right="0" w:hanging="284"/>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b.</w:t>
              <w:tab/>
              <w:t xml:space="preserve">die auf der kantonalen Plattform gespeicherten Betreibungsbegehren der übrigen Betreibungsämter gegen die Schuldnerin oder den Schuldner.</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Jeder Auszug enthält den Hinweis, dass die Auskünfte gemäss Abs. 1 lit. b nur Betreibungen gegen Schuldnerinnen und Schuldner enthalten, die an ihrem ordentlichen Betreibungsort im Kanton Zürich eingeleitet wurden.  </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 den Bemerkungen zu § 6 a Abs. 1 wurde dargelegt, dass nur diejenigen Betreibungen mittels eines Identifikators auf einer kantonalen Plattform erfasst werden können, die am ordentlichen Betreibungsort eingeleitet werden. Um eine Haftung des Kantons für unvollständige Betreibungsauszüge auszuschliessen, ist auf jedem Betreibungsregisterauszug auf diesen Umstand hinzuweisen.  </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Titel B – D werden zu Titeln C – E </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Übergangsbestimmung zur Änderung vom …</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Zur Übergangsbestimmung:</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26"/>
                <w:tab w:val="left" w:leader="none" w:pos="851"/>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Bis sechs Jahre nach Inkrafttreten dieser Gesetzesänderung enthält jeder Auszug aus dem Betreibungsregister den Hinweis, dass dieser nur diejenigen Betreibungsbegehren gemäss § 6 c Abs. 1 lit. b enthält, die nach dem Inkraftsetzungszeitpunkt dieser Änderung eingereicht worden sind.</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Gestützt auf Art. 8a Abs. 4 SchKG geben Betreibungsregisterauszüge über sämtliche in den letzten fünf Jahren eingeleiteten Betreibungen Auskunft. Bis zum Zeitpunkt in dem die gemeinsame Plattform fünf Jahre mit Daten gefüllt wurde, besteht deshalb eine weitere Rechtsunsicherheit. Ein Auszug aus dem kantonalen Register, der alle Anforderungen gemäss Art. 8a SchKG erfüllt, könnte deshalb erst fünf Jahre nach dem Inkrafttreten ausgestellt werden. Um dem Interesse der Personen, die eine Auskunft aus dem Betreibungsregister verlangen jedoch bestmöglich Rechnung zu tragen, ist bereits vor Ablauf dieser Frist ein entsprechender Auszug zu erstellen. Bis zum Ablauf von fünf Jahren ab der Inkraftsetzung ist jedoch - wiederum um die Rechtsunsicherheit offenzulegen und allfälligen Haftungsansprüchen bei unvollständigen Auszügen vorzubeugen, bei sämtlichen ausgestellten Auszügen auf den Zeitpunkt des Beginns der Datenerfassung hinzuweisen. Diese Pflicht erlischt fünf Jahre nach Inkraftsetzung dieser Änderung. </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6" w:type="default"/>
      <w:headerReference r:id="rId7" w:type="first"/>
      <w:headerReference r:id="rId8" w:type="even"/>
      <w:pgSz w:h="11906" w:w="16838" w:orient="landscape"/>
      <w:pgMar w:bottom="1701" w:top="3062" w:left="1985" w:right="1418"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Black"/>
  <w:font w:name="Arial Narrow"/>
  <w:font w:name="Times"/>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pPr w:leftFromText="142" w:rightFromText="142" w:topFromText="0" w:bottomFromText="0" w:vertAnchor="page" w:horzAnchor="page" w:tblpX="7089" w:tblpY="766"/>
      <w:tblW w:w="4728.0" w:type="dxa"/>
      <w:jc w:val="left"/>
      <w:tblInd w:w="-115.0" w:type="dxa"/>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Seite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posOffset>4914900</wp:posOffset>
          </wp:positionH>
          <wp:positionV relativeFrom="page">
            <wp:posOffset>702310</wp:posOffset>
          </wp:positionV>
          <wp:extent cx="215900" cy="215900"/>
          <wp:effectExtent b="0" l="0" r="0" t="0"/>
          <wp:wrapNone/>
          <wp:docPr descr="FlaggeNeu" id="1" name="image1.png"/>
          <a:graphic>
            <a:graphicData uri="http://schemas.openxmlformats.org/drawingml/2006/picture">
              <pic:pic>
                <pic:nvPicPr>
                  <pic:cNvPr descr="FlaggeNeu" id="0" name="image1.png"/>
                  <pic:cNvPicPr preferRelativeResize="0"/>
                </pic:nvPicPr>
                <pic:blipFill>
                  <a:blip r:embed="rId1"/>
                  <a:srcRect b="0" l="0" r="0" t="0"/>
                  <a:stretch>
                    <a:fillRect/>
                  </a:stretch>
                </pic:blipFill>
                <pic:spPr>
                  <a:xfrm>
                    <a:off x="0" y="0"/>
                    <a:ext cx="215900" cy="21590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pPr w:leftFromText="5103" w:rightFromText="142" w:topFromText="0" w:bottomFromText="0" w:vertAnchor="page" w:horzAnchor="page" w:tblpX="11845" w:tblpY="766"/>
      <w:tblW w:w="4728.0" w:type="dxa"/>
      <w:jc w:val="left"/>
      <w:tblInd w:w="-115.0" w:type="dxa"/>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Kanton Zürich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Black" w:cs="Arial Black" w:eastAsia="Arial Black" w:hAnsi="Arial Black"/>
              <w:b w:val="0"/>
              <w:bCs w:val="0"/>
              <w:i w:val="0"/>
              <w:iCs w:val="0"/>
              <w:smallCaps w:val="0"/>
              <w:strike w:val="0"/>
              <w:color w:val="000000"/>
              <w:sz w:val="16"/>
              <w:szCs w:val="16"/>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16"/>
              <w:szCs w:val="16"/>
              <w:u w:val="none"/>
              <w:shd w:fill="auto" w:val="clear"/>
              <w:vertAlign w:val="baseline"/>
              <w:rtl w:val="0"/>
            </w:rPr>
            <w:t xml:space="preserve">Direktion der Justiz und des Innern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Generalsekretariat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Juli 2016</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posOffset>7901940</wp:posOffset>
          </wp:positionH>
          <wp:positionV relativeFrom="page">
            <wp:posOffset>701040</wp:posOffset>
          </wp:positionV>
          <wp:extent cx="217170" cy="213360"/>
          <wp:effectExtent b="0" l="0" r="0" t="0"/>
          <wp:wrapNone/>
          <wp:docPr descr="FlaggeNeu" id="3" name="image1.png"/>
          <a:graphic>
            <a:graphicData uri="http://schemas.openxmlformats.org/drawingml/2006/picture">
              <pic:pic>
                <pic:nvPicPr>
                  <pic:cNvPr descr="FlaggeNeu" id="0" name="image1.png"/>
                  <pic:cNvPicPr preferRelativeResize="0"/>
                </pic:nvPicPr>
                <pic:blipFill>
                  <a:blip r:embed="rId1"/>
                  <a:srcRect b="0" l="0" r="0" t="0"/>
                  <a:stretch>
                    <a:fillRect/>
                  </a:stretch>
                </pic:blipFill>
                <pic:spPr>
                  <a:xfrm>
                    <a:off x="0" y="0"/>
                    <a:ext cx="217170" cy="213360"/>
                  </a:xfrm>
                  <a:prstGeom prst="rect"/>
                  <a:ln/>
                </pic:spPr>
              </pic:pic>
            </a:graphicData>
          </a:graphic>
        </wp:anchor>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0</wp:posOffset>
          </wp:positionV>
          <wp:extent cx="831850" cy="1080135"/>
          <wp:effectExtent b="0" l="0" r="0" t="0"/>
          <wp:wrapNone/>
          <wp:docPr descr="LoeweNeu" id="2" name="image2.png"/>
          <a:graphic>
            <a:graphicData uri="http://schemas.openxmlformats.org/drawingml/2006/picture">
              <pic:pic>
                <pic:nvPicPr>
                  <pic:cNvPr descr="LoeweNeu" id="0" name="image2.png"/>
                  <pic:cNvPicPr preferRelativeResize="0"/>
                </pic:nvPicPr>
                <pic:blipFill>
                  <a:blip r:embed="rId2"/>
                  <a:srcRect b="0" l="0" r="0" t="0"/>
                  <a:stretch>
                    <a:fillRect/>
                  </a:stretch>
                </pic:blipFill>
                <pic:spPr>
                  <a:xfrm>
                    <a:off x="0" y="0"/>
                    <a:ext cx="831850" cy="10801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_CH"/>
      </w:rPr>
    </w:rPrDefault>
    <w:pPrDefault>
      <w:pP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Arial" w:cs="Arial" w:eastAsia="Arial" w:hAnsi="Arial"/>
      <w:b w:val="1"/>
      <w:bCs w:val="1"/>
      <w:color w:val="004f9e"/>
      <w:sz w:val="28"/>
      <w:szCs w:val="28"/>
    </w:rPr>
  </w:style>
  <w:style w:type="paragraph" w:styleId="Heading2">
    <w:name w:val="heading 2"/>
    <w:basedOn w:val="Normal"/>
    <w:next w:val="Normal"/>
    <w:pPr>
      <w:keepNext w:val="1"/>
      <w:keepLines w:val="1"/>
      <w:spacing w:before="200" w:lineRule="auto"/>
    </w:pPr>
    <w:rPr>
      <w:rFonts w:ascii="Arial" w:cs="Arial" w:eastAsia="Arial" w:hAnsi="Arial"/>
      <w:b w:val="1"/>
      <w:bCs w:val="1"/>
      <w:color w:val="006ad4"/>
      <w:sz w:val="26"/>
      <w:szCs w:val="26"/>
    </w:rPr>
  </w:style>
  <w:style w:type="paragraph" w:styleId="Heading3">
    <w:name w:val="heading 3"/>
    <w:basedOn w:val="Normal"/>
    <w:next w:val="Normal"/>
    <w:pPr>
      <w:keepNext w:val="1"/>
      <w:keepLines w:val="1"/>
      <w:spacing w:before="200" w:lineRule="auto"/>
    </w:pPr>
    <w:rPr>
      <w:rFonts w:ascii="Arial" w:cs="Arial" w:eastAsia="Arial" w:hAnsi="Arial"/>
      <w:b w:val="1"/>
      <w:bCs w:val="1"/>
      <w:color w:val="006ad4"/>
    </w:rPr>
  </w:style>
  <w:style w:type="paragraph" w:styleId="Heading4">
    <w:name w:val="heading 4"/>
    <w:basedOn w:val="Normal"/>
    <w:next w:val="Normal"/>
    <w:pPr>
      <w:keepNext w:val="1"/>
    </w:pPr>
    <w:rPr/>
  </w:style>
  <w:style w:type="paragraph" w:styleId="Heading5">
    <w:name w:val="heading 5"/>
    <w:basedOn w:val="Normal"/>
    <w:next w:val="Normal"/>
    <w:pPr>
      <w:keepNext w:val="1"/>
      <w:keepLines w:val="1"/>
      <w:spacing w:before="200" w:lineRule="auto"/>
    </w:pPr>
    <w:rPr>
      <w:rFonts w:ascii="Arial" w:cs="Arial" w:eastAsia="Arial" w:hAnsi="Arial"/>
      <w:color w:val="003469"/>
    </w:rPr>
  </w:style>
  <w:style w:type="paragraph" w:styleId="Heading6">
    <w:name w:val="heading 6"/>
    <w:basedOn w:val="Normal"/>
    <w:next w:val="Normal"/>
    <w:pPr>
      <w:keepNext w:val="1"/>
      <w:keepLines w:val="1"/>
      <w:spacing w:before="200" w:lineRule="auto"/>
    </w:pPr>
    <w:rPr>
      <w:rFonts w:ascii="Arial" w:cs="Arial" w:eastAsia="Arial" w:hAnsi="Arial"/>
      <w:i w:val="1"/>
      <w:iCs w:val="1"/>
      <w:color w:val="003469"/>
    </w:rPr>
  </w:style>
  <w:style w:type="paragraph" w:styleId="Title">
    <w:name w:val="Title"/>
    <w:basedOn w:val="Normal"/>
    <w:next w:val="Normal"/>
    <w:pPr>
      <w:pBdr>
        <w:bottom w:color="006ad4" w:space="4" w:sz="8" w:val="single"/>
      </w:pBdr>
      <w:spacing w:after="300" w:before="0" w:lineRule="auto"/>
    </w:pPr>
    <w:rPr>
      <w:rFonts w:ascii="Arial" w:cs="Arial" w:eastAsia="Arial" w:hAnsi="Arial"/>
      <w:color w:val="262626"/>
      <w:sz w:val="52"/>
      <w:szCs w:val="52"/>
    </w:rPr>
  </w:style>
  <w:style w:type="paragraph" w:styleId="Subtitle">
    <w:name w:val="Subtitle"/>
    <w:basedOn w:val="Normal"/>
    <w:next w:val="Normal"/>
    <w:pPr/>
    <w:rPr>
      <w:rFonts w:ascii="Arial" w:cs="Arial" w:eastAsia="Arial" w:hAnsi="Arial"/>
      <w:i w:val="1"/>
      <w:iCs w:val="1"/>
      <w:color w:val="006ad4"/>
      <w:sz w:val="24"/>
      <w:szCs w:val="24"/>
    </w:rPr>
  </w:style>
  <w:style w:type="table" w:styleId="Table1">
    <w:basedOn w:val="TableNormal"/>
    <w:pPr>
      <w:spacing w:before="12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