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27958">
      <w:pPr>
        <w:spacing w:before="480" w:after="480" w:line="288" w:lineRule="auto"/>
        <w:ind w:left="0"/>
        <w:jc w:val="center"/>
        <w:rPr>
          <w:rFonts w:hint="eastAsia" w:asciiTheme="majorEastAsia" w:hAnsiTheme="majorEastAsia" w:eastAsiaTheme="majorEastAsia" w:cstheme="majorEastAsia"/>
          <w:sz w:val="18"/>
          <w:szCs w:val="20"/>
        </w:rPr>
      </w:pPr>
      <w:r>
        <w:rPr>
          <w:rFonts w:hint="eastAsia" w:asciiTheme="majorEastAsia" w:hAnsiTheme="majorEastAsia" w:eastAsiaTheme="majorEastAsia" w:cstheme="majorEastAsia"/>
          <w:b/>
          <w:sz w:val="44"/>
          <w:szCs w:val="20"/>
        </w:rPr>
        <w:t>电子渠道系统日志运维安全规范（试行）</w:t>
      </w:r>
    </w:p>
    <w:p w14:paraId="39564B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为规范各业务线日志运维操作，强化数据安全管控，规避审计风险，保障系统稳定运行及日志数据的完整性、可追溯性，结合4A金库管理要求，制定本规范。本规范适用于所有涉及日志操作的业务运维人员，所有运维行为须严格遵循本规范要求，审计部门将定期对日志运维情况进行核查。</w:t>
      </w:r>
    </w:p>
    <w:p w14:paraId="78257E7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一、核心操作禁令</w:t>
      </w:r>
      <w:bookmarkEnd w:id="0"/>
    </w:p>
    <w:p w14:paraId="3CBD9BA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高危删除操作禁令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：严禁执行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rm -f /*</w:t>
      </w:r>
      <w:r>
        <w:rPr>
          <w:rFonts w:hint="eastAsia" w:asciiTheme="minorEastAsia" w:hAnsiTheme="minorEastAsia" w:eastAsiaTheme="minorEastAsia" w:cstheme="minorEastAsia"/>
          <w:sz w:val="22"/>
        </w:rPr>
        <w:t>、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rm -rf /*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等高危递归删除命令，严禁通过任何方式批量删除系统根目录及子目录下的核心文件；严禁未经审批使用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rm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命令对任何日志文件（含原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.log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后缀及服务器日志、脚本日志）执行删除操作，违者将严肃追责。</w:t>
      </w:r>
    </w:p>
    <w:p w14:paraId="65B50327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日志及相关文件删除禁令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：严禁删除系统日志、应用日志、安全日志（含访问日志、操作日志、审计日志等）、各类业务日志、服务器日志、脚本日志及脚本中间文件，包括但不限于修改文件名、移动至不可追溯路径、清空内容（如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&gt; 文件名</w:t>
      </w:r>
      <w:r>
        <w:rPr>
          <w:rFonts w:hint="eastAsia" w:asciiTheme="minorEastAsia" w:hAnsiTheme="minorEastAsia" w:eastAsiaTheme="minorEastAsia" w:cstheme="minorEastAsia"/>
          <w:sz w:val="22"/>
        </w:rPr>
        <w:t>、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echo "" &gt; 文件名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等）等变相删除行为；确因特殊情况需删除日志的，必须先完成备份流程，未备份严禁执行任何删除操作。</w:t>
      </w:r>
    </w:p>
    <w:p w14:paraId="6E17E93A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日志查询工具禁令</w:t>
      </w:r>
      <w:r>
        <w:rPr>
          <w:rFonts w:hint="eastAsia" w:asciiTheme="minorEastAsia" w:hAnsiTheme="minorEastAsia" w:eastAsiaTheme="minorEastAsia" w:cstheme="minorEastAsia"/>
          <w:sz w:val="22"/>
        </w:rPr>
        <w:t>：严禁使用 vi/vim 命令直接打开日志文件、脚本中间文件进行查询操作，避免因误操作（如编辑后保存）破坏文件完整性。</w:t>
      </w:r>
    </w:p>
    <w:p w14:paraId="3A46AEC1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文件后缀禁令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：服务器日志、脚本日志、脚本中间文件不得使用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.log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作为文件后缀，杜绝因后缀混淆导致的误操作风险。</w:t>
      </w:r>
    </w:p>
    <w:p w14:paraId="5767E0B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二、权限与审批管理</w:t>
      </w:r>
      <w:bookmarkEnd w:id="1"/>
    </w:p>
    <w:p w14:paraId="7E600A82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rm命令审批要求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：所有涉及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rm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命令的操作（含删除非日志类文件/目录、脚本中间文件），均须通过4A系统提交金库审批，提交时需携带对应工单号，明确删除对象、删除原因、删除时间、责任人、日志备份情况及删除场景（脚本类/审批工单类），经审批通过后方可执行；遇紧急情况无法通过系统及时审批的，须先电话联系业务接口人完成口头审批，事后24小时内补全系统审批流程及口头审批记录；审批记录需留存备查，留存期限不低于审计要求的最低年限。</w:t>
      </w:r>
    </w:p>
    <w:p w14:paraId="5D3E957D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金库高危命令审批权限</w:t>
      </w:r>
      <w:r>
        <w:rPr>
          <w:rFonts w:hint="eastAsia" w:asciiTheme="minorEastAsia" w:hAnsiTheme="minorEastAsia" w:eastAsiaTheme="minorEastAsia" w:cstheme="minorEastAsia"/>
          <w:sz w:val="22"/>
        </w:rPr>
        <w:t>：4A金库高危命令审批仅允许个人账号触发，程序账号禁止触发高危命令审批流程，杜绝程序自动执行高危删除操作的风险。</w:t>
      </w:r>
    </w:p>
    <w:p w14:paraId="104B241E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日志操作权限管控</w:t>
      </w:r>
      <w:r>
        <w:rPr>
          <w:rFonts w:hint="eastAsia" w:asciiTheme="minorEastAsia" w:hAnsiTheme="minorEastAsia" w:eastAsiaTheme="minorEastAsia" w:cstheme="minorEastAsia"/>
          <w:sz w:val="22"/>
        </w:rPr>
        <w:t>：日志文件、服务器日志、脚本日志、脚本中间文件默认仅开放“读”权限给运维人员，严禁授予“写”“执行”“删除”权限；特殊场景需临时提升权限的，须通过4A系统申请，注明权限提升范围、时长及用途，经业务负责人及安全负责人双重审批通过后执行，权限到期后自动回收。</w:t>
      </w:r>
    </w:p>
    <w:p w14:paraId="1170AFF7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4A账号管理要求</w:t>
      </w:r>
      <w:r>
        <w:rPr>
          <w:rFonts w:hint="eastAsia" w:asciiTheme="minorEastAsia" w:hAnsiTheme="minorEastAsia" w:eastAsiaTheme="minorEastAsia" w:cstheme="minorEastAsia"/>
          <w:sz w:val="22"/>
        </w:rPr>
        <w:t>：运维人员须使用个人4A账号登录系统执行日志运维及工单处理操作，严禁共用账号、借用他人账号或泄露个人账号信息；严格避免使用高权限账号开展日常运维工作，高危操作须通过个人账号走审批流程执行，禁止通过脚本直接处理高危操作；操作完成后须及时退出系统，防止账号被冒用。</w:t>
      </w:r>
    </w:p>
    <w:p w14:paraId="77996C7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三、日志查询与分析规范</w:t>
      </w:r>
      <w:bookmarkEnd w:id="2"/>
    </w:p>
    <w:p w14:paraId="52E5B4EB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推荐查询工具</w:t>
      </w:r>
      <w:r>
        <w:rPr>
          <w:rFonts w:hint="eastAsia" w:asciiTheme="minorEastAsia" w:hAnsiTheme="minorEastAsia" w:eastAsiaTheme="minorEastAsia" w:cstheme="minorEastAsia"/>
          <w:sz w:val="22"/>
        </w:rPr>
        <w:t>：查询日志文件、服务器日志、脚本日志、脚本中间文件须使用 cat、more、less、grep、tail、head 等只读类命令，如需进行筛选、分析，可将内容导出至临时目录（临时目录需设置权限，防止数据泄露）后操作，导出后须及时清理临时文件。</w:t>
      </w:r>
    </w:p>
    <w:p w14:paraId="31BF8F59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查询操作规范</w:t>
      </w:r>
      <w:r>
        <w:rPr>
          <w:rFonts w:hint="eastAsia" w:asciiTheme="minorEastAsia" w:hAnsiTheme="minorEastAsia" w:eastAsiaTheme="minorEastAsia" w:cstheme="minorEastAsia"/>
          <w:sz w:val="22"/>
        </w:rPr>
        <w:t>：执行查询操作时，需精准定位文件路径及名称，避免因路径错误导致误操作；查询过程中若发现文件异常（如缺失、损坏、内容篡改等），须立即停止操作，留存现场证据，并上报业务负责人及安全部门。</w:t>
      </w:r>
    </w:p>
    <w:p w14:paraId="65BB8691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文件命名规范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：日志文件、服务器日志、脚本日志、脚本中间文件及相关运维文件，不得使用纯日期格式（如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20260107.txt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）或含日期的简化命名，需采用“业务模块-文件类型-标识”的规范命名（如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payment-script-temp-001</w:t>
      </w:r>
      <w:r>
        <w:rPr>
          <w:rFonts w:hint="eastAsia" w:asciiTheme="minorEastAsia" w:hAnsiTheme="minorEastAsia" w:eastAsiaTheme="minorEastAsia" w:cstheme="minorEastAsia"/>
          <w:sz w:val="22"/>
        </w:rPr>
        <w:t>），确保文件可精准识别与追溯。</w:t>
      </w:r>
    </w:p>
    <w:p w14:paraId="1231A24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四、日志留存与备份要求</w:t>
      </w:r>
      <w:bookmarkEnd w:id="3"/>
    </w:p>
    <w:p w14:paraId="74263391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留存期限</w:t>
      </w:r>
      <w:r>
        <w:rPr>
          <w:rFonts w:hint="eastAsia" w:asciiTheme="minorEastAsia" w:hAnsiTheme="minorEastAsia" w:eastAsiaTheme="minorEastAsia" w:cstheme="minorEastAsia"/>
          <w:sz w:val="22"/>
        </w:rPr>
        <w:t>：系统日志、安全日志留存期限不低于6个月，业务日志、服务器日志、脚本日志留存期限根据业务需求及审计要求确定，最低不低于3个月；脚本中间文件需随对应数据工单/事件单全程留存，不得擅自删除。</w:t>
      </w:r>
    </w:p>
    <w:p w14:paraId="7F973F7A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备份规范</w:t>
      </w:r>
      <w:r>
        <w:rPr>
          <w:rFonts w:hint="eastAsia" w:asciiTheme="minorEastAsia" w:hAnsiTheme="minorEastAsia" w:eastAsiaTheme="minorEastAsia" w:cstheme="minorEastAsia"/>
          <w:sz w:val="22"/>
        </w:rPr>
        <w:t>：运维人员需配合安全部门及运维管理团队完成日志备份工作，定期核查备份的完整性及可用性；需删除的日志文件、服务器日志、脚本日志，必须在删除前完成加密备份，备份介质需单独标记“待删除原文件对应备份”；数据工单目录、事件单目录下的中间文件，需在工单闭环后按要求备份至指定备用服务器，备份文件的访问、恢复需遵循审批流程，防止备份数据泄露或被篡改。</w:t>
      </w:r>
    </w:p>
    <w:p w14:paraId="5640B86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五、应急处理与上报机制</w:t>
      </w:r>
      <w:bookmarkEnd w:id="4"/>
    </w:p>
    <w:p w14:paraId="1CA10C39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异常情况处理</w:t>
      </w:r>
      <w:r>
        <w:rPr>
          <w:rFonts w:hint="eastAsia" w:asciiTheme="minorEastAsia" w:hAnsiTheme="minorEastAsia" w:eastAsiaTheme="minorEastAsia" w:cstheme="minorEastAsia"/>
          <w:sz w:val="22"/>
        </w:rPr>
        <w:t>：若发生日志、服务器日志、脚本日志、脚本中间文件误删除、文件损坏、权限滥用等违规或异常情况，运维人员须立即停止相关操作，采取应急措施防止风险扩大（如禁止覆盖数据、留存操作日志、核查备份文件完整性等），并在1小时内上报业务负责人及安全部门。</w:t>
      </w:r>
    </w:p>
    <w:p w14:paraId="020E2248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上报内容要求</w:t>
      </w:r>
      <w:r>
        <w:rPr>
          <w:rFonts w:hint="eastAsia" w:asciiTheme="minorEastAsia" w:hAnsiTheme="minorEastAsia" w:eastAsiaTheme="minorEastAsia" w:cstheme="minorEastAsia"/>
          <w:sz w:val="22"/>
        </w:rPr>
        <w:t>：上报时需详细说明事件发生时间、操作人、操作内容、异常现象、已采取的应急措施及可能造成的影响，涉及日志删除的需额外说明备份情况，涉及工单相关操作的需注明工单号，配合相关部门开展事件调查及后续处理工作。</w:t>
      </w:r>
    </w:p>
    <w:p w14:paraId="4A401B0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六、审计与追责</w:t>
      </w:r>
      <w:bookmarkEnd w:id="5"/>
    </w:p>
    <w:p w14:paraId="0D738799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定期审计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：审计团队将定期对日志运维操作进行审计，重点核查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rm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命令审批记录（含工单号、场景区分、紧急审批记录）、文件命名合规性、权限变更记录、日志及中间文件留存与备份情况、账号使用合规性等，对发现的违规行为进行通报。</w:t>
      </w:r>
    </w:p>
    <w:p w14:paraId="5BA244CB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责任追究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  <w:bookmarkStart w:id="7" w:name="_GoBack"/>
      <w:bookmarkEnd w:id="7"/>
      <w:r>
        <w:rPr>
          <w:rFonts w:hint="eastAsia" w:asciiTheme="minorEastAsia" w:hAnsiTheme="minorEastAsia" w:eastAsiaTheme="minorEastAsia" w:cstheme="minorEastAsia"/>
          <w:sz w:val="22"/>
        </w:rPr>
        <w:t xml:space="preserve">对违反本规范规定的运维人员，根据违规情节轻重给予警告、通报批评、考核扣分等处理；若因违规使用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rm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命令、未备份删除文件、高权限账号滥用、脚本处理高危操作等违规行为，导致数据丢失、泄露、系统故障或引发审计问题，将依法依规追究相关人员的责任，构成犯罪的，移交司法机关处理。</w:t>
      </w:r>
    </w:p>
    <w:p w14:paraId="664F9C3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七、附则</w:t>
      </w:r>
      <w:bookmarkEnd w:id="6"/>
    </w:p>
    <w:p w14:paraId="5C1D73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本规范由安全部门及运维管理团队负责解释与修订，自发布之日起施行。各业务线运维人员需认真学习本规范，严格遵照执行，确保日志运维操作合规可控，杜绝审计风险。</w:t>
      </w:r>
    </w:p>
    <w:p w14:paraId="6562E219">
      <w:pPr>
        <w:spacing w:before="120" w:after="120" w:line="288" w:lineRule="auto"/>
        <w:ind w:left="0" w:firstLine="3300" w:firstLineChars="15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上报联系人：戚康彬  联系电话：13922207590</w:t>
      </w:r>
    </w:p>
    <w:p w14:paraId="1147D11A">
      <w:pPr>
        <w:spacing w:before="120" w:after="120" w:line="288" w:lineRule="auto"/>
        <w:ind w:firstLine="3300" w:firstLineChars="15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发布部门：渠道运营中心</w:t>
      </w:r>
    </w:p>
    <w:p w14:paraId="14C922C7">
      <w:pPr>
        <w:spacing w:before="120" w:after="120" w:line="288" w:lineRule="auto"/>
        <w:ind w:left="0" w:firstLine="3300" w:firstLineChars="1500"/>
        <w:jc w:val="left"/>
      </w:pPr>
      <w:r>
        <w:rPr>
          <w:rFonts w:hint="eastAsia" w:asciiTheme="minorEastAsia" w:hAnsiTheme="minorEastAsia" w:eastAsiaTheme="minorEastAsia" w:cstheme="minorEastAsia"/>
          <w:sz w:val="22"/>
        </w:rPr>
        <w:t>发布日期：2025年12月11日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23A7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EC7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8"/>
  </w:num>
  <w:num w:numId="5">
    <w:abstractNumId w:val="16"/>
  </w:num>
  <w:num w:numId="6">
    <w:abstractNumId w:val="4"/>
  </w:num>
  <w:num w:numId="7">
    <w:abstractNumId w:val="2"/>
  </w:num>
  <w:num w:numId="8">
    <w:abstractNumId w:val="3"/>
  </w:num>
  <w:num w:numId="9">
    <w:abstractNumId w:val="12"/>
  </w:num>
  <w:num w:numId="10">
    <w:abstractNumId w:val="0"/>
  </w:num>
  <w:num w:numId="11">
    <w:abstractNumId w:val="7"/>
  </w:num>
  <w:num w:numId="12">
    <w:abstractNumId w:val="1"/>
  </w:num>
  <w:num w:numId="13">
    <w:abstractNumId w:val="13"/>
  </w:num>
  <w:num w:numId="14">
    <w:abstractNumId w:val="15"/>
  </w:num>
  <w:num w:numId="15">
    <w:abstractNumId w:val="10"/>
  </w:num>
  <w:num w:numId="16">
    <w:abstractNumId w:val="9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71B42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Office_12.8.2.18913_F1E327BC-269C-435d-A152-05C5408002CA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2026-01-11T07:47:00Z</dcterms:created>
  <dc:creator>Apache POI</dc:creator>
  <cp:lastModifiedBy>       </cp:lastModifiedBy>
  <dcterms:modified xsi:type="dcterms:W3CDTF">2026-01-11T07:51:24Z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E41352D1004843C5B11BBFD83B69BACC_12</vt:lpwstr>
  </property>
</Properties>
</file>