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AI 智能体协作治理网关 (AI Agent Governance Gateway) 项目方案</w:t>
      </w:r>
    </w:p>
    <w:p w14:paraId="0000000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1. 项目愿景与目标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愿景：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构建一个安全、透明、可控的智能体协作生态。在不扼杀创新的前提下，实现对企业内所有 AI 智能体之间交互的“无感监管”与“智能审计”，确保智能体协作在预设的安全与合规框架内高效运行。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核心目标：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交互可视化：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清晰展现智能体间的调用关系、通信频率和数据流向。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行为可审计：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为每一次交互提供不可抵赖的、标准化的日志记录，满足合规与追溯要求。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风险可预警：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智能识别异常行为模式（如数据泄露、权限滥用、恶意攻击），并及时预警或阻断。</w:t>
      </w:r>
    </w:p>
    <w:p w14:paraId="000000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策略可配置：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允许治理人员通过灵活的策略配置，定义交互的安全边界。</w:t>
      </w:r>
    </w:p>
    <w:p w14:paraId="0000000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2. 核心设计原则</w:t>
      </w:r>
    </w:p>
    <w:p w14:paraId="0000000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治理与业务分离：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网关只负责治理与安全，不参与具体的业务逻辑处理。</w:t>
      </w:r>
    </w:p>
    <w:p w14:paraId="000000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对开发者友好：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智能体的开发者应能以最小的改动接入治理体系，遵循标准协议（如 A2A/MCP）即可。</w:t>
      </w:r>
    </w:p>
    <w:p w14:paraId="0000000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性能无损优先：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网关的设计应最大限度减少对正常通信的性能影响，避免成为瓶颈。</w:t>
      </w:r>
    </w:p>
    <w:p w14:paraId="0000000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默认安全：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所有未经明确策略允许的高风险操作，应默认被禁止。</w:t>
      </w:r>
    </w:p>
    <w:p w14:paraId="0000000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 功能模块规划</w:t>
      </w:r>
    </w:p>
    <w:p w14:paraId="0000000F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3.1. 智能体注册与身份中心 (Agent Registry &amp; Identity Center)</w:t>
      </w:r>
    </w:p>
    <w:p w14:paraId="0000001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所有智能体的“户籍管理处”。</w:t>
      </w:r>
    </w:p>
    <w:p w14:paraId="0000001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为每个智能体分配唯一的、可信的数字身份（Agent ID）。</w:t>
      </w:r>
    </w:p>
    <w:p w14:paraId="0000001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记录智能体的元数据：负责人、所属部门、能力范围（Scope）、版本号等。</w:t>
      </w:r>
    </w:p>
    <w:p w14:paraId="00000013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管理智能体的认证凭证（如 API Key, OAuth Client），用于在网关进行身份验证。</w:t>
      </w:r>
    </w:p>
    <w:p w14:paraId="0000001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确保所有参与协作的智能体身份明确、来源可靠。</w:t>
      </w:r>
    </w:p>
    <w:p w14:paraId="00000015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3.2. 安全通信代理 (Secure Communication Proxy)</w:t>
      </w:r>
    </w:p>
    <w:p w14:paraId="00000016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智能体之间通信的“透明代理”。</w:t>
      </w:r>
    </w:p>
    <w:p w14:paraId="00000017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作为所有（或指定的）智能体间通信的必经通道。</w:t>
      </w:r>
    </w:p>
    <w:p w14:paraId="00000018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负责 TLS/SSL 加密卸载与加载，确保传输层安全。</w:t>
      </w:r>
    </w:p>
    <w:p w14:paraId="00000019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解析通信内容（如 HTTP 请求/响应头、消息队列的 payload），将其递交给策略引擎和行为分析模块。</w:t>
      </w:r>
    </w:p>
    <w:p w14:paraId="0000001A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成为实施监管与审计的唯一入口点 (Choke Point)。</w:t>
      </w:r>
    </w:p>
    <w:p w14:paraId="0000001B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3.3. 动态策略引擎 (Dynamic Policy Engine)</w:t>
      </w:r>
    </w:p>
    <w:p w14:paraId="0000001C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定义交互规则的“中央法规库”。</w:t>
      </w:r>
    </w:p>
    <w:p w14:paraId="0000001D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允许管理员配置基于角色的访问控制（RBAC）策略。例如：“财务类智能体”可以调用“人力资源类智能体”的“查询员工基本信息”能力，但不能调用“修改员工薪资”能力。</w:t>
      </w:r>
    </w:p>
    <w:p w14:paraId="0000001E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支持基于属性的访问控制（ABAC）策略。例如：仅允许在“工作日 9:00-18:00”期间进行批量数据同步。</w:t>
      </w:r>
    </w:p>
    <w:p w14:paraId="0000001F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支持数据防泄露（DLP）策略。例如：禁止在响应体中包含明文的“身份证号”或“银行卡号”。</w:t>
      </w:r>
    </w:p>
    <w:p w14:paraId="00000020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将治理规则代码化、自动化，是实现精细化“管控”的核心。</w:t>
      </w:r>
    </w:p>
    <w:p w14:paraId="00000021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3.4. 行为分析 AI 模块 (Behavioral Analytics AI Module)</w:t>
      </w:r>
    </w:p>
    <w:p w14:paraId="00000022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持续学习与分析的“异常行为侦探”。</w:t>
      </w:r>
    </w:p>
    <w:p w14:paraId="00000023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基线学习 (Baseline Learning):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学习每个智能体正常的交互模式，包括通信频率、数据包大小、请求API的类型、工作时间等，形成行为基线。</w:t>
      </w:r>
    </w:p>
    <w:p w14:paraId="00000024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异常检测 (Anomaly Detection):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实时对比当前行为与历史基线。一旦发现显著偏离（如一个报表智能体突然开始尝试调用系统管理 API），则判定为异常。</w:t>
      </w:r>
    </w:p>
    <w:p w14:paraId="00000025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风险评分 (Risk Scoring):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结合异常的严重程度和策略配置，为每一次交互动态生成风险评分。</w:t>
      </w:r>
    </w:p>
    <w:p w14:paraId="0000002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从“基于规则”的静态防御，升级到“基于模型”的动态智能防御。</w:t>
      </w:r>
    </w:p>
    <w:p w14:paraId="00000027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3.5. 统一审计与日志中心 (Unified Audit &amp; Logging Center)</w:t>
      </w:r>
    </w:p>
    <w:p w14:paraId="00000028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所有交互行为的“黑匣子”。</w:t>
      </w:r>
    </w:p>
    <w:p w14:paraId="00000029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以标准化的格式，记录每一次通过网关的交互详情：源 Agent ID、目标 Agent ID、时间戳、请求/响应摘要、策略评估结果、风险评分等。</w:t>
      </w:r>
    </w:p>
    <w:p w14:paraId="0000002A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提供高速的日志检索接口。</w:t>
      </w:r>
    </w:p>
    <w:p w14:paraId="0000002B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确保日志的完整性和不可篡改性（可通过链式哈希或写入不可变存储实现）。</w:t>
      </w:r>
    </w:p>
    <w:p w14:paraId="0000002C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提供事后追溯、故障排查和合规审计的黄金数据源。</w:t>
      </w:r>
    </w:p>
    <w:p w14:paraId="0000002D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3.6. 治理仪表盘 (Governance Dashboard)</w:t>
      </w:r>
    </w:p>
    <w:p w14:paraId="0000002E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功能：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面向治理人员的“驾驶舱”。</w:t>
      </w:r>
    </w:p>
    <w:p w14:paraId="0000002F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全局拓扑：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实时可视化展示智能体间的调用关系图谱。</w:t>
      </w:r>
    </w:p>
    <w:p w14:paraId="00000030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监控告警：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展示高风险事件、策略违反告警。</w:t>
      </w:r>
    </w:p>
    <w:p w14:paraId="00000031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日志查询：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提供友好的界面查询审计日志。</w:t>
      </w:r>
    </w:p>
    <w:p w14:paraId="00000032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策略管理：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提供 UI 界面来配置和管理策略。</w:t>
      </w:r>
    </w:p>
    <w:p w14:paraId="00000033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价值：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将复杂的治理数据以直观的方式呈现给决策者。</w:t>
      </w:r>
    </w:p>
    <w:p w14:paraId="0000003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4. 系统架构设计</w:t>
      </w:r>
    </w:p>
    <w:p w14:paraId="00000035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4.1. 逻辑架构图</w:t>
      </w:r>
    </w:p>
    <w:p w14:paraId="32FD404E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Google Sans Text" w:hAnsi="Google Sans Text" w:eastAsia="宋体" w:cs="Google Sans Text"/>
          <w:b/>
          <w:i w:val="0"/>
          <w:color w:val="1B1C1D"/>
          <w:sz w:val="24"/>
          <w:szCs w:val="24"/>
          <w:rtl w:val="0"/>
          <w:lang w:eastAsia="zh-CN"/>
        </w:rPr>
      </w:pPr>
      <w:r>
        <w:rPr>
          <w:rFonts w:hint="eastAsia" w:ascii="Google Sans Text" w:hAnsi="Google Sans Text" w:eastAsia="宋体" w:cs="Google Sans Text"/>
          <w:b/>
          <w:i w:val="0"/>
          <w:color w:val="1B1C1D"/>
          <w:sz w:val="24"/>
          <w:szCs w:val="24"/>
          <w:rtl w:val="0"/>
          <w:lang w:eastAsia="zh-CN"/>
        </w:rPr>
        <w:drawing>
          <wp:inline distT="0" distB="0" distL="114300" distR="114300">
            <wp:extent cx="5939790" cy="6644640"/>
            <wp:effectExtent l="0" t="0" r="3810" b="10160"/>
            <wp:docPr id="1" name="图片 1" descr="mermaid-diagram-2025-06-14-173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rmaid-diagram-2025-06-14-1734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4.2. 数据流（一次交互的生命周期）</w:t>
      </w:r>
    </w:p>
    <w:p w14:paraId="0000003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发起：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智能体 A 意图调用智能体 B，它将请求发往治理网关的代理地址。</w:t>
      </w:r>
    </w:p>
    <w:p w14:paraId="00000039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身份验证：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通信代理拦截请求，调用身份中</w:t>
      </w:r>
      <w:bookmarkStart w:id="0" w:name="_GoBack"/>
      <w:bookmarkEnd w:id="0"/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心验证 A 的凭证。</w:t>
      </w:r>
    </w:p>
    <w:p w14:paraId="0000003A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信息提取：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代理从请求中提取元数据（源、目标、路径、方法等）。</w:t>
      </w:r>
    </w:p>
    <w:p w14:paraId="0000003B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双重评估：</w:t>
      </w:r>
    </w:p>
    <w:p w14:paraId="0000003C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策略评估：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元数据被送往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动态策略引擎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，引擎根据预设规则判断“允许/拒绝”。</w:t>
      </w:r>
    </w:p>
    <w:p w14:paraId="0000003D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行为评估：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元数据同时被送往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行为分析 AI 模块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，模块根据历史基线计算出“风险评分”。</w:t>
      </w:r>
    </w:p>
    <w:p w14:paraId="0000003E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最终决策：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结合策略评估结果和风险评分，网关做出最终决策：</w:t>
      </w:r>
    </w:p>
    <w:p w14:paraId="0000003F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放行 (Allow):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请求被代理转发给智能体 B。</w:t>
      </w:r>
    </w:p>
    <w:p w14:paraId="00000040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阻断 (Deny):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请求被拒绝，并向 A 返回错误信息。</w:t>
      </w:r>
    </w:p>
    <w:p w14:paraId="00000041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告警 (Alert):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放行但记录高风险告警。</w:t>
      </w:r>
    </w:p>
    <w:p w14:paraId="00000042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响应代理：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B 的响应同样经过代理，代理可能会根据DLP策略进行数据脱敏。</w:t>
      </w:r>
    </w:p>
    <w:p w14:paraId="00000043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全程记录：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从请求到响应的每一步、每一次评估结果，都被发送到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统一审计与日志中心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存档。</w:t>
      </w:r>
    </w:p>
    <w:p w14:paraId="00000044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可视化呈现：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治理仪表盘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从日志中心和 AI 模块拉取数据，实时更新拓扑图和告警信息。</w:t>
      </w:r>
    </w:p>
    <w:p w14:paraId="0000004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5. 实施路线图 (建议)</w:t>
      </w:r>
    </w:p>
    <w:p w14:paraId="00000046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第一阶段 (基础建设 - MVP):</w:t>
      </w:r>
    </w:p>
    <w:p w14:paraId="00000047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目标：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实现核心的代理与审计功能。</w:t>
      </w:r>
    </w:p>
    <w:p w14:paraId="00000048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内容：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搭建智能体注册中心、安全通信代理、统一审计日志中心。</w:t>
      </w:r>
    </w:p>
    <w:p w14:paraId="00000049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产出：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智能体可以接入网关，所有交互都被记录，但无复杂的策略和 AI 分析。</w:t>
      </w:r>
    </w:p>
    <w:p w14:paraId="0000004A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第二阶段 (智能治理):</w:t>
      </w:r>
    </w:p>
    <w:p w14:paraId="0000004B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目标：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引入自动化决策能力。</w:t>
      </w:r>
    </w:p>
    <w:p w14:paraId="0000004C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内容：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开发并集成动态策略引擎和行为分析 AI 模块的初版。</w:t>
      </w:r>
    </w:p>
    <w:p w14:paraId="0000004D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产出：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可以配置基本的访问控制策略，并开始对异常行为进行初步识别。</w:t>
      </w:r>
    </w:p>
    <w:p w14:paraId="0000004E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第三阶段 (生态完善):</w:t>
      </w:r>
    </w:p>
    <w:p w14:paraId="0000004F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目标：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提升易用性和扩展性。</w:t>
      </w:r>
    </w:p>
    <w:p w14:paraId="00000050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内容：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开发功能完善的治理仪表盘，提供丰富的可视化和策略管理工具。优化 AI 模型。</w:t>
      </w:r>
    </w:p>
    <w:p w14:paraId="00000051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产出：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一个功能完备、易于管理的智能体治理平台。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20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29C022D6"/>
    <w:rsid w:val="43167ADF"/>
    <w:rsid w:val="7BDC3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2066</Words>
  <Characters>2419</Characters>
  <TotalTime>62</TotalTime>
  <ScaleCrop>false</ScaleCrop>
  <LinksUpToDate>false</LinksUpToDate>
  <CharactersWithSpaces>2569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2025-06-14T08:31:00Z</dcterms:created>
  <dc:creator>bingz</dc:creator>
  <cp:lastModifiedBy>Damon</cp:lastModifiedBy>
  <dcterms:modified xsi:type="dcterms:W3CDTF">2025-06-14T09:35:15Z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eyJoZGlkIjoiNGMyMTc2MTYwNTJhZmQ0ZTgyNTBlYjZhOGFlMzFiOGUiLCJ1c2VySWQiOiIzODcyOTc5ODUifQ==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3F6E1F7F1A12405BBFAAB22C6077D9B8_12</vt:lpwstr>
  </property>
</Properties>
</file>