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b/>
          <w:bCs/>
          <w:sz w:val="36"/>
          <w:szCs w:val="36"/>
        </w:rPr>
      </w:pPr>
      <w:r>
        <w:rPr>
          <w:rFonts w:hint="eastAsia" w:ascii="宋体" w:hAnsi="宋体" w:eastAsia="宋体" w:cs="宋体"/>
          <w:b/>
          <w:bCs/>
          <w:sz w:val="36"/>
          <w:szCs w:val="36"/>
        </w:rPr>
        <w:t>人类</w:t>
      </w:r>
      <w:r>
        <w:rPr>
          <w:rFonts w:hint="eastAsia" w:ascii="宋体" w:hAnsi="宋体" w:eastAsia="宋体" w:cs="宋体"/>
          <w:b/>
          <w:bCs/>
          <w:sz w:val="36"/>
          <w:szCs w:val="36"/>
          <w:lang w:eastAsia="zh-CN"/>
        </w:rPr>
        <w:t>信使</w:t>
      </w:r>
      <w:r>
        <w:rPr>
          <w:rFonts w:hint="eastAsia" w:ascii="宋体" w:hAnsi="宋体" w:eastAsia="宋体" w:cs="宋体"/>
          <w:b/>
          <w:bCs/>
          <w:sz w:val="36"/>
          <w:szCs w:val="36"/>
        </w:rPr>
        <w:t>RNA和</w:t>
      </w:r>
      <w:r>
        <w:rPr>
          <w:rFonts w:hint="eastAsia" w:ascii="宋体" w:hAnsi="宋体" w:eastAsia="宋体" w:cs="宋体"/>
          <w:b/>
          <w:bCs/>
          <w:sz w:val="36"/>
          <w:szCs w:val="36"/>
          <w:lang w:eastAsia="zh-CN"/>
        </w:rPr>
        <w:t>长链非编码</w:t>
      </w:r>
      <w:r>
        <w:rPr>
          <w:rFonts w:hint="eastAsia" w:ascii="宋体" w:hAnsi="宋体" w:eastAsia="宋体" w:cs="宋体"/>
          <w:b/>
          <w:bCs/>
          <w:sz w:val="36"/>
          <w:szCs w:val="36"/>
        </w:rPr>
        <w:t>RNA</w:t>
      </w:r>
      <w:r>
        <w:rPr>
          <w:rFonts w:hint="eastAsia" w:ascii="宋体" w:hAnsi="宋体" w:eastAsia="宋体" w:cs="宋体"/>
          <w:b/>
          <w:bCs/>
          <w:sz w:val="36"/>
          <w:szCs w:val="36"/>
          <w:lang w:eastAsia="zh-CN"/>
        </w:rPr>
        <w:t>基本属性</w:t>
      </w:r>
      <w:r>
        <w:rPr>
          <w:rFonts w:hint="eastAsia" w:ascii="宋体" w:hAnsi="宋体" w:eastAsia="宋体" w:cs="宋体"/>
          <w:b/>
          <w:bCs/>
          <w:sz w:val="36"/>
          <w:szCs w:val="36"/>
        </w:rPr>
        <w:t>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b/>
          <w:bCs/>
          <w:sz w:val="32"/>
          <w:szCs w:val="32"/>
        </w:rPr>
      </w:pPr>
      <w:r>
        <w:rPr>
          <w:rFonts w:hint="eastAsia" w:ascii="宋体" w:hAnsi="宋体" w:eastAsia="宋体" w:cs="宋体"/>
          <w:b/>
          <w:bCs/>
          <w:sz w:val="32"/>
          <w:szCs w:val="32"/>
        </w:rPr>
        <w:t>Comparison of human mRNA and lncRNA basic properties</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szCs w:val="21"/>
        </w:rPr>
      </w:pPr>
      <w:r>
        <w:rPr>
          <w:rFonts w:hint="eastAsia" w:ascii="宋体" w:hAnsi="宋体" w:eastAsia="宋体" w:cs="宋体"/>
          <w:szCs w:val="21"/>
          <w:lang w:eastAsia="zh-CN"/>
        </w:rPr>
        <w:t>马旭营</w:t>
      </w:r>
      <w:r>
        <w:rPr>
          <w:rFonts w:hint="eastAsia" w:ascii="宋体" w:hAnsi="宋体" w:eastAsia="宋体" w:cs="宋体"/>
          <w:szCs w:val="21"/>
        </w:rPr>
        <w:t xml:space="preserve">   </w:t>
      </w:r>
      <w:r>
        <w:rPr>
          <w:rFonts w:hint="eastAsia" w:ascii="宋体" w:hAnsi="宋体" w:eastAsia="宋体" w:cs="宋体"/>
          <w:szCs w:val="21"/>
          <w:lang w:eastAsia="zh-CN"/>
        </w:rPr>
        <w:t>伊现富</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
          <w:sz w:val="24"/>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
          <w:sz w:val="24"/>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
          <w:sz w:val="24"/>
        </w:rPr>
        <w:t>摘 要:</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rPr>
      </w:pPr>
      <w:r>
        <w:rPr>
          <w:rFonts w:hint="eastAsia" w:ascii="宋体" w:hAnsi="宋体" w:eastAsia="宋体" w:cs="宋体"/>
          <w:bCs/>
          <w:sz w:val="24"/>
        </w:rPr>
        <w:t xml:space="preserve">    </w:t>
      </w:r>
      <w:r>
        <w:rPr>
          <w:rFonts w:hint="eastAsia" w:ascii="宋体" w:hAnsi="宋体" w:eastAsia="宋体" w:cs="宋体"/>
          <w:lang w:eastAsia="zh-CN"/>
        </w:rPr>
        <w:t>长链非编码</w:t>
      </w:r>
      <w:r>
        <w:rPr>
          <w:rFonts w:hint="eastAsia" w:ascii="宋体" w:hAnsi="宋体" w:eastAsia="宋体" w:cs="宋体"/>
          <w:lang w:val="en-US" w:eastAsia="zh-CN"/>
        </w:rPr>
        <w:t>RNA</w:t>
      </w:r>
      <w:r>
        <w:rPr>
          <w:rFonts w:hint="eastAsia" w:ascii="宋体" w:hAnsi="宋体" w:cs="宋体"/>
          <w:lang w:val="en-US" w:eastAsia="zh-CN"/>
        </w:rPr>
        <w:t>(</w:t>
      </w:r>
      <w:r>
        <w:rPr>
          <w:rFonts w:hint="eastAsia" w:ascii="宋体" w:hAnsi="宋体" w:eastAsia="宋体" w:cs="宋体"/>
          <w:lang w:val="en-US" w:eastAsia="zh-CN"/>
        </w:rPr>
        <w:t>long non-coding RNA，lncRNA</w:t>
      </w:r>
      <w:r>
        <w:rPr>
          <w:rFonts w:hint="eastAsia" w:ascii="宋体" w:hAnsi="宋体" w:cs="宋体"/>
          <w:lang w:val="en-US" w:eastAsia="zh-CN"/>
        </w:rPr>
        <w:t>)</w:t>
      </w:r>
      <w:r>
        <w:rPr>
          <w:rFonts w:hint="eastAsia" w:ascii="宋体" w:hAnsi="宋体" w:eastAsia="宋体" w:cs="宋体"/>
          <w:lang w:val="en-US" w:eastAsia="zh-CN"/>
        </w:rPr>
        <w:t>是指一类长度大于200nt，几乎不具有蛋白编码功能的RNA。近年来大量的研究证明lncRNA在生物体中广泛地参与各种生理及病理过程，具有促进细胞凋亡、病毒入侵、多能干细胞去分化等多种功能，与生物体的生活息息相关。本文主要比较了lncRNA与mRNA的一些基本属性，重点比较了两者的编码潜能，探究lncRNA的功能，为进一步深入研究lncRNA提供参考。</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default" w:ascii="Times New Roman" w:hAnsi="Times New Roman" w:eastAsia="宋体" w:cs="Times New Roman"/>
          <w:b/>
          <w:bCs/>
        </w:rPr>
      </w:pPr>
      <w:r>
        <w:rPr>
          <w:rFonts w:hint="default" w:ascii="Times New Roman" w:hAnsi="Times New Roman" w:eastAsia="宋体" w:cs="Times New Roman"/>
          <w:b/>
          <w:bCs/>
        </w:rPr>
        <w:t>Abstract:</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default" w:ascii="Times New Roman" w:hAnsi="Times New Roman" w:eastAsia="宋体" w:cs="Times New Roman"/>
          <w:b/>
          <w:bCs/>
        </w:rPr>
      </w:pPr>
      <w:r>
        <w:rPr>
          <w:rFonts w:hint="default" w:ascii="Times New Roman" w:hAnsi="Times New Roman" w:eastAsia="宋体" w:cs="Times New Roman"/>
          <w:b/>
          <w:bCs/>
        </w:rPr>
        <w:t xml:space="preserve">     </w:t>
      </w:r>
      <w:r>
        <w:rPr>
          <w:rFonts w:hint="default" w:ascii="Times New Roman" w:hAnsi="Times New Roman" w:eastAsia="宋体" w:cs="Times New Roman"/>
        </w:rPr>
        <w:t>Long non-coding RNA (lncRNA) refers to a class of RNA with a length greater than 200 nt and almost no protein coding function. In recent years, a large number of studies have shown that lncRNA is widely involved in various physiological and pathological processes in the organism. It has many functions, such as promoting apoptosis, virus invasion and pluripotent stem cell dedifferentiation, and is closely related to the life of the organism. In this paper, we compared some basic properties of lncRNA and mRNA, focusing on the coding potential of both, exploring the function of lncRNA, and providing a reference for further study of lncRNA.</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关键词：</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rPr>
      </w:pPr>
      <w:r>
        <w:rPr>
          <w:rFonts w:hint="eastAsia" w:ascii="宋体" w:hAnsi="宋体" w:eastAsia="宋体" w:cs="宋体"/>
          <w:bCs/>
          <w:sz w:val="24"/>
        </w:rPr>
        <w:t xml:space="preserve">     </w:t>
      </w:r>
      <w:r>
        <w:rPr>
          <w:rFonts w:hint="eastAsia" w:ascii="宋体" w:hAnsi="宋体" w:eastAsia="宋体" w:cs="宋体"/>
          <w:lang w:eastAsia="zh-CN"/>
        </w:rPr>
        <w:t>长链非编码</w:t>
      </w:r>
      <w:r>
        <w:rPr>
          <w:rFonts w:hint="eastAsia" w:ascii="宋体" w:hAnsi="宋体" w:eastAsia="宋体" w:cs="宋体"/>
          <w:lang w:val="en-US" w:eastAsia="zh-CN"/>
        </w:rPr>
        <w:t>RNA；mRNA；编码潜能</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 xml:space="preserve">    </w:t>
      </w:r>
    </w:p>
    <w:p>
      <w:pPr>
        <w:keepNext w:val="0"/>
        <w:keepLines w:val="0"/>
        <w:pageBreakBefore w:val="0"/>
        <w:numPr>
          <w:ilvl w:val="0"/>
          <w:numId w:val="1"/>
        </w:numPr>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前言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textAlignment w:val="auto"/>
        <w:outlineLvl w:val="9"/>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1.1 lncRNA的概念</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长链非编码RNA(long non－coding RNA 或long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noncoding RNA，lncRNA) 亦称长非编码RNA，是一类不</w:t>
      </w:r>
      <w:r>
        <w:rPr>
          <w:rFonts w:hint="eastAsia" w:ascii="宋体" w:hAnsi="宋体" w:eastAsia="宋体" w:cs="宋体"/>
          <w:sz w:val="21"/>
          <w:szCs w:val="21"/>
          <w:lang w:eastAsia="zh-CN"/>
        </w:rPr>
        <w:t>有相同的转录机制，即需要</w:t>
      </w:r>
      <w:r>
        <w:rPr>
          <w:rFonts w:hint="eastAsia" w:ascii="宋体" w:hAnsi="宋体" w:eastAsia="宋体" w:cs="宋体"/>
          <w:sz w:val="21"/>
          <w:szCs w:val="21"/>
          <w:lang w:val="en-US" w:eastAsia="zh-CN"/>
        </w:rPr>
        <w:t>RNA</w:t>
      </w:r>
      <w:r>
        <w:rPr>
          <w:rFonts w:hint="eastAsia" w:ascii="宋体" w:hAnsi="宋体" w:eastAsia="宋体" w:cs="宋体"/>
          <w:sz w:val="21"/>
          <w:szCs w:val="21"/>
          <w:lang w:eastAsia="zh-CN"/>
        </w:rPr>
        <w:t>聚合酶Ⅱ的参与以及与转录起始和延伸相关的组蛋白的修饰。这些</w:t>
      </w:r>
      <w:r>
        <w:rPr>
          <w:rFonts w:hint="eastAsia" w:ascii="宋体" w:hAnsi="宋体" w:eastAsia="宋体" w:cs="宋体"/>
          <w:sz w:val="21"/>
          <w:szCs w:val="21"/>
          <w:lang w:val="en-US" w:eastAsia="zh-CN"/>
        </w:rPr>
        <w:t>lncRNA</w:t>
      </w:r>
      <w:r>
        <w:rPr>
          <w:rFonts w:hint="eastAsia" w:ascii="宋体" w:hAnsi="宋体" w:eastAsia="宋体" w:cs="宋体"/>
          <w:sz w:val="21"/>
          <w:szCs w:val="21"/>
          <w:lang w:eastAsia="zh-CN"/>
        </w:rPr>
        <w:t>具有５’端的甲基鸟苷帽子，相当一部分</w:t>
      </w:r>
      <w:r>
        <w:rPr>
          <w:rFonts w:hint="eastAsia" w:ascii="宋体" w:hAnsi="宋体" w:eastAsia="宋体" w:cs="宋体"/>
          <w:sz w:val="21"/>
          <w:szCs w:val="21"/>
          <w:lang w:val="en-US" w:eastAsia="zh-CN"/>
        </w:rPr>
        <w:t>lncRNA</w:t>
      </w:r>
      <w:r>
        <w:rPr>
          <w:rFonts w:hint="eastAsia" w:ascii="宋体" w:hAnsi="宋体" w:eastAsia="宋体" w:cs="宋体"/>
          <w:sz w:val="21"/>
          <w:szCs w:val="21"/>
          <w:lang w:eastAsia="zh-CN"/>
        </w:rPr>
        <w:t>的３’端具有多聚腺苷尾。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rPr>
        <w:t>最初研究认为，这些由不编码蛋白质的DNA 转录出的产物没有生物学作用，仅仅是“转录噪声”。近期研究发现，lncRNA虽然不能被翻译成蛋白质，但它参与许多生命活动在基因转录调控、翻译后修饰和表观遗传学调控等方面有十分重要的作用，并且和疾病的发生</w:t>
      </w:r>
      <w:r>
        <w:rPr>
          <w:rFonts w:hint="eastAsia" w:ascii="宋体" w:hAnsi="宋体" w:eastAsia="宋体" w:cs="宋体"/>
          <w:sz w:val="21"/>
          <w:szCs w:val="21"/>
          <w:lang w:eastAsia="zh-CN"/>
        </w:rPr>
        <w:t>、</w:t>
      </w:r>
      <w:r>
        <w:rPr>
          <w:rFonts w:hint="eastAsia" w:ascii="宋体" w:hAnsi="宋体" w:eastAsia="宋体" w:cs="宋体"/>
          <w:sz w:val="21"/>
          <w:szCs w:val="21"/>
        </w:rPr>
        <w:t>发展、诊断及治疗有密切的关系</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 lncRNA的分类</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eastAsia="zh-CN"/>
        </w:rPr>
        <w:t>对</w:t>
      </w:r>
      <w:r>
        <w:rPr>
          <w:rFonts w:hint="eastAsia" w:ascii="宋体" w:hAnsi="宋体" w:eastAsia="宋体" w:cs="宋体"/>
          <w:sz w:val="21"/>
          <w:szCs w:val="21"/>
          <w:lang w:val="en-US" w:eastAsia="zh-CN"/>
        </w:rPr>
        <w:t>lncRNA</w:t>
      </w:r>
      <w:r>
        <w:rPr>
          <w:rFonts w:hint="eastAsia" w:ascii="宋体" w:hAnsi="宋体" w:eastAsia="宋体" w:cs="宋体"/>
          <w:sz w:val="21"/>
          <w:szCs w:val="21"/>
          <w:lang w:eastAsia="zh-CN"/>
        </w:rPr>
        <w:t>进行科学的分类是有效地研究</w:t>
      </w:r>
      <w:r>
        <w:rPr>
          <w:rFonts w:hint="eastAsia" w:ascii="宋体" w:hAnsi="宋体" w:eastAsia="宋体" w:cs="宋体"/>
          <w:sz w:val="21"/>
          <w:szCs w:val="21"/>
          <w:lang w:val="en-US" w:eastAsia="zh-CN"/>
        </w:rPr>
        <w:t>lncRNA</w:t>
      </w:r>
      <w:r>
        <w:rPr>
          <w:rFonts w:hint="eastAsia" w:ascii="宋体" w:hAnsi="宋体" w:eastAsia="宋体" w:cs="宋体"/>
          <w:sz w:val="21"/>
          <w:szCs w:val="21"/>
          <w:lang w:eastAsia="zh-CN"/>
        </w:rPr>
        <w:t>的前提，目前比较公认的是根据其来源于基因组的不同位置分为五类：①正义的</w:t>
      </w:r>
      <w:r>
        <w:rPr>
          <w:rFonts w:hint="eastAsia" w:ascii="宋体" w:hAnsi="宋体" w:cs="宋体"/>
          <w:sz w:val="21"/>
          <w:szCs w:val="21"/>
          <w:lang w:eastAsia="zh-CN"/>
        </w:rPr>
        <w:t>(</w:t>
      </w:r>
      <w:r>
        <w:rPr>
          <w:rFonts w:hint="eastAsia" w:ascii="宋体" w:hAnsi="宋体" w:eastAsia="宋体" w:cs="宋体"/>
          <w:sz w:val="21"/>
          <w:szCs w:val="21"/>
          <w:lang w:val="en-US" w:eastAsia="zh-CN"/>
        </w:rPr>
        <w:t>sense</w:t>
      </w:r>
      <w:r>
        <w:rPr>
          <w:rFonts w:hint="eastAsia" w:ascii="宋体" w:hAnsi="宋体" w:cs="宋体"/>
          <w:sz w:val="21"/>
          <w:szCs w:val="21"/>
          <w:lang w:eastAsia="zh-CN"/>
        </w:rPr>
        <w:t>)</w:t>
      </w:r>
      <w:r>
        <w:rPr>
          <w:rFonts w:hint="eastAsia" w:ascii="宋体" w:hAnsi="宋体" w:eastAsia="宋体" w:cs="宋体"/>
          <w:sz w:val="21"/>
          <w:szCs w:val="21"/>
          <w:lang w:eastAsia="zh-CN"/>
        </w:rPr>
        <w:t>，蛋白编码基因转录产物经过剪接产生的无编码功能的转录本；②反义的</w:t>
      </w:r>
      <w:r>
        <w:rPr>
          <w:rFonts w:hint="eastAsia" w:ascii="宋体" w:hAnsi="宋体" w:cs="宋体"/>
          <w:sz w:val="21"/>
          <w:szCs w:val="21"/>
          <w:lang w:eastAsia="zh-CN"/>
        </w:rPr>
        <w:t>(</w:t>
      </w:r>
      <w:r>
        <w:rPr>
          <w:rFonts w:hint="eastAsia" w:ascii="宋体" w:hAnsi="宋体" w:eastAsia="宋体" w:cs="宋体"/>
          <w:sz w:val="21"/>
          <w:szCs w:val="21"/>
          <w:lang w:val="en-US" w:eastAsia="zh-CN"/>
        </w:rPr>
        <w:t>antisense</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AS</w:t>
      </w:r>
      <w:r>
        <w:rPr>
          <w:rFonts w:hint="eastAsia" w:ascii="宋体" w:hAnsi="宋体" w:cs="宋体"/>
          <w:sz w:val="21"/>
          <w:szCs w:val="21"/>
          <w:lang w:eastAsia="zh-CN"/>
        </w:rPr>
        <w:t>)</w:t>
      </w:r>
      <w:r>
        <w:rPr>
          <w:rFonts w:hint="eastAsia" w:ascii="宋体" w:hAnsi="宋体" w:eastAsia="宋体" w:cs="宋体"/>
          <w:sz w:val="21"/>
          <w:szCs w:val="21"/>
          <w:lang w:eastAsia="zh-CN"/>
        </w:rPr>
        <w:t>，由与蛋白编码基因互补的</w:t>
      </w:r>
      <w:r>
        <w:rPr>
          <w:rFonts w:hint="eastAsia" w:ascii="宋体" w:hAnsi="宋体" w:eastAsia="宋体" w:cs="宋体"/>
          <w:sz w:val="21"/>
          <w:szCs w:val="21"/>
          <w:lang w:val="en-US" w:eastAsia="zh-CN"/>
        </w:rPr>
        <w:t>DNA</w:t>
      </w:r>
      <w:r>
        <w:rPr>
          <w:rFonts w:hint="eastAsia" w:ascii="宋体" w:hAnsi="宋体" w:eastAsia="宋体" w:cs="宋体"/>
          <w:sz w:val="21"/>
          <w:szCs w:val="21"/>
          <w:lang w:eastAsia="zh-CN"/>
        </w:rPr>
        <w:t>链转录产生，且和该基因有一个或数个外显子的重叠；③双向的</w:t>
      </w:r>
      <w:r>
        <w:rPr>
          <w:rFonts w:hint="eastAsia" w:ascii="宋体" w:hAnsi="宋体" w:cs="宋体"/>
          <w:sz w:val="21"/>
          <w:szCs w:val="21"/>
          <w:lang w:eastAsia="zh-CN"/>
        </w:rPr>
        <w:t>(</w:t>
      </w:r>
      <w:r>
        <w:rPr>
          <w:rFonts w:hint="eastAsia" w:ascii="宋体" w:hAnsi="宋体" w:eastAsia="宋体" w:cs="宋体"/>
          <w:sz w:val="21"/>
          <w:szCs w:val="21"/>
          <w:lang w:val="en-US" w:eastAsia="zh-CN"/>
        </w:rPr>
        <w:t>bidirectional</w:t>
      </w:r>
      <w:r>
        <w:rPr>
          <w:rFonts w:hint="eastAsia" w:ascii="宋体" w:hAnsi="宋体" w:cs="宋体"/>
          <w:sz w:val="21"/>
          <w:szCs w:val="21"/>
          <w:lang w:eastAsia="zh-CN"/>
        </w:rPr>
        <w:t>)</w:t>
      </w:r>
      <w:r>
        <w:rPr>
          <w:rFonts w:hint="eastAsia" w:ascii="宋体" w:hAnsi="宋体" w:eastAsia="宋体" w:cs="宋体"/>
          <w:sz w:val="21"/>
          <w:szCs w:val="21"/>
          <w:lang w:eastAsia="zh-CN"/>
        </w:rPr>
        <w:t>，基因组邻近区域互补的两条链上的基因同时表达的转录本；④内含子的</w:t>
      </w:r>
      <w:r>
        <w:rPr>
          <w:rFonts w:hint="eastAsia" w:ascii="宋体" w:hAnsi="宋体" w:cs="宋体"/>
          <w:sz w:val="21"/>
          <w:szCs w:val="21"/>
          <w:lang w:eastAsia="zh-CN"/>
        </w:rPr>
        <w:t>(</w:t>
      </w:r>
      <w:r>
        <w:rPr>
          <w:rFonts w:hint="eastAsia" w:ascii="宋体" w:hAnsi="宋体" w:eastAsia="宋体" w:cs="宋体"/>
          <w:sz w:val="21"/>
          <w:szCs w:val="21"/>
          <w:lang w:val="en-US" w:eastAsia="zh-CN"/>
        </w:rPr>
        <w:t>intronic</w:t>
      </w:r>
      <w:r>
        <w:rPr>
          <w:rFonts w:hint="eastAsia" w:ascii="宋体" w:hAnsi="宋体" w:cs="宋体"/>
          <w:sz w:val="21"/>
          <w:szCs w:val="21"/>
          <w:lang w:eastAsia="zh-CN"/>
        </w:rPr>
        <w:t>)</w:t>
      </w:r>
      <w:r>
        <w:rPr>
          <w:rFonts w:hint="eastAsia" w:ascii="宋体" w:hAnsi="宋体" w:eastAsia="宋体" w:cs="宋体"/>
          <w:sz w:val="21"/>
          <w:szCs w:val="21"/>
          <w:lang w:eastAsia="zh-CN"/>
        </w:rPr>
        <w:t>，即完全来源于基因的内 含子；⑤基因间的</w:t>
      </w:r>
      <w:r>
        <w:rPr>
          <w:rFonts w:hint="eastAsia" w:ascii="宋体" w:hAnsi="宋体" w:cs="宋体"/>
          <w:sz w:val="21"/>
          <w:szCs w:val="21"/>
          <w:lang w:eastAsia="zh-CN"/>
        </w:rPr>
        <w:t>(</w:t>
      </w:r>
      <w:r>
        <w:rPr>
          <w:rFonts w:hint="eastAsia" w:ascii="宋体" w:hAnsi="宋体" w:eastAsia="宋体" w:cs="宋体"/>
          <w:sz w:val="21"/>
          <w:szCs w:val="21"/>
          <w:lang w:val="en-US" w:eastAsia="zh-CN"/>
        </w:rPr>
        <w:t>intergenic</w:t>
      </w:r>
      <w:r>
        <w:rPr>
          <w:rFonts w:hint="eastAsia" w:ascii="宋体" w:hAnsi="宋体" w:cs="宋体"/>
          <w:sz w:val="21"/>
          <w:szCs w:val="21"/>
          <w:lang w:eastAsia="zh-CN"/>
        </w:rPr>
        <w:t>)</w:t>
      </w:r>
      <w:r>
        <w:rPr>
          <w:rFonts w:hint="eastAsia" w:ascii="宋体" w:hAnsi="宋体" w:eastAsia="宋体" w:cs="宋体"/>
          <w:sz w:val="21"/>
          <w:szCs w:val="21"/>
          <w:lang w:eastAsia="zh-CN"/>
        </w:rPr>
        <w:t>，位于两个基因间的区域</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 lncRNA的分子结构</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ncRNA的一级结构即为lncRNA的核苷酸排列顺序。lncRNA调节基因功能的途径多种多样，其中最为重要的一种方式便是通过碱基互补配对方式与靶基因结合来直接调节靶基因的转录翻译或间接调节靶基因上游或下游基因的转录翻译，碱基配对的基础便是其一级结构。研究报道lncRNA Gas5可直接与糖皮质激素上的DNA结合域( DNAbinding domain)结合，进而与含有糖皮质激素反应元件(glucocorticoid response elements)目的基因竞争并调节其表达，而与靶标碱基互补配对的基础便是lncRNA的一级结构。</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lncRNA二级结构及三级结构(空间结构) 是lncRNA发挥其功能的中枢。2012年，Novikova 等报道了人类 SRAlncRNA(steroid receptor RNA activator lncRNA )二级结构信息。SRA能够激活数种性激素受体，并与乳腺癌的发病密切相关。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目前，还没有更多关于lncRNA空间结构(三级结构及四级结构)的研究报道，现有的关于lncRNA高级结构的认识仅来源于NEAT1。NEAT1的两个亚基拥有相同的启动子及相似表达量(人NEAT1亚基为: NEAT_V1∶3.7kB，NEAT_V2∶22.7 kB )，二者均参与特异性核腔隙(specific nuclear compartments) -paraspeckles的形成</w:t>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 lncRNA的作用机制</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研究表明,lncRNA发挥生物学功能的主要机制有基因印记(Genetic imprinting)、染色质重塑、细胞周期调控、剪接调控、mRNA降解和翻译调控等</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表1</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表1  部分 lncRNA 的生物学功能</w:t>
      </w:r>
    </w:p>
    <w:tbl>
      <w:tblPr>
        <w:tblStyle w:val="11"/>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lncRNA名称</w:t>
            </w:r>
          </w:p>
        </w:tc>
        <w:tc>
          <w:tcPr>
            <w:tcW w:w="4261"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生物学功能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H19</w:t>
            </w:r>
          </w:p>
        </w:tc>
        <w:tc>
          <w:tcPr>
            <w:tcW w:w="4261"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基因印记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Xist</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X 染色体失活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Tsix</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阻断Xist积累,维持X染色体的活性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HOTAIR</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组蛋白修饰复合体的骨架分子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ANRIL</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抑制转录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Gas5</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糖皮质激素受体的诱饵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lincRNA-p21</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通过结合转录因子抑制基因表达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PANDA</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转录因子的诱饵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hsrω-n</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调控mRNA前体的剪接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sat III</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调控mRNA前体的剪接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MALAT1</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调控丝氨酸/精氨酸剪接因子磷酸化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1/2-sbsRNA</w:t>
            </w:r>
          </w:p>
        </w:tc>
        <w:tc>
          <w:tcPr>
            <w:tcW w:w="4261" w:type="dxa"/>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介导mRNA降解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261"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BACE1-AS</w:t>
            </w:r>
          </w:p>
        </w:tc>
        <w:tc>
          <w:tcPr>
            <w:tcW w:w="4261"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增加mRNA的稳定性</w:t>
            </w:r>
          </w:p>
        </w:tc>
      </w:tr>
    </w:tbl>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1.5 lncRNA研究中存在的问题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当前, lncRNA研究正处于起步阶段, 因此面临着许多亟待解决的问题：(1)lncRNA的定义仍存在争议。一般认为, lncRNA是长度大于200个核苷酸的非编码RNA。但是, Spizzo等认为, 以200个核苷酸作为界定lncRNA过于武断, 因为小于200个核苷酸的非编码RNA中还存在很多非编码RNA, 它们既不属于小RNA(Small RNA)也不属于结构RNA (Structural RNA)。(2)lncRNA生物学功能的阐明并非易事。一方面, 如何区分功能性和非功能性非编码转录物依然存在困难, 另一方面, 由于lncRNA种类和功能的多样性, 致使不同的lncRNA 研究结果之间的借鉴意义并不高。(3)尚无统一的命名原则。目前lncRNA还没有一个规范的命名方法, 只是研究者根据其功能、结构特点、作用方式等进行命名, 有时很难从名称中了解其真正含义和功能。 (4)lncRNA数据库不够全。相对于其他非编码RNA数据库, lncRNA 相关数据库的内容还不够全, 对lncRNA的注释远远不够丰富。(5)lncRNA功能预测的工具不多。针对lncRNA的生物信息学工具仍然极少, 例如, 目前难以对lncRNA二级结构和靶标等进行有效地预测。(6)研究领域有待拓展。目前, 有关lncRNA的研究主要集中于肿瘤、神经、发育、植物等领域, 在其他领域和对其他疾病的研究依然欠缺。(7)用于lncRNA研究的新技术并不多。因此, 需要建立更多、更有效的研究方法用于系统地研究lncRNA的结构和功能</w:t>
      </w:r>
      <w:r>
        <w:rPr>
          <w:rFonts w:hint="eastAsia" w:ascii="宋体" w:hAnsi="宋体" w:eastAsia="宋体" w:cs="宋体"/>
          <w:sz w:val="21"/>
          <w:szCs w:val="21"/>
          <w:vertAlign w:val="superscript"/>
          <w:lang w:val="en-US" w:eastAsia="zh-CN"/>
        </w:rPr>
        <w:t>[4]</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本次研究希望通过对mRNA与lncRNA的基本属性进行对比，从而加深对lncRNA的了解，为以后对lncRNA的深入探索打下基础。</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2. 原理和方法</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本次实验使用的数据是人类的部分mRNA和全部lncRNA，基因组版本为hg19</w:t>
      </w:r>
      <w:r>
        <w:rPr>
          <w:rFonts w:hint="eastAsia" w:ascii="宋体" w:hAnsi="宋体" w:cs="宋体"/>
          <w:szCs w:val="21"/>
          <w:lang w:val="en-US" w:eastAsia="zh-CN"/>
        </w:rPr>
        <w:t>(</w:t>
      </w:r>
      <w:r>
        <w:rPr>
          <w:rFonts w:hint="eastAsia" w:ascii="宋体" w:hAnsi="宋体" w:eastAsia="宋体" w:cs="宋体"/>
          <w:szCs w:val="21"/>
          <w:lang w:val="en-US" w:eastAsia="zh-CN"/>
        </w:rPr>
        <w:t>GRCh37</w:t>
      </w:r>
      <w:r>
        <w:rPr>
          <w:rFonts w:hint="eastAsia" w:ascii="宋体" w:hAnsi="宋体" w:cs="宋体"/>
          <w:szCs w:val="21"/>
          <w:lang w:val="en-US" w:eastAsia="zh-CN"/>
        </w:rPr>
        <w:t>)</w:t>
      </w:r>
      <w:r>
        <w:rPr>
          <w:rFonts w:hint="eastAsia" w:ascii="宋体" w:hAnsi="宋体" w:eastAsia="宋体" w:cs="宋体"/>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2.1人类mRNA与lncRNA编码潜能的比较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szCs w:val="21"/>
          <w:lang w:val="en-US" w:eastAsia="zh-CN"/>
        </w:rPr>
        <w:t>首先从NONCODE</w:t>
      </w:r>
      <w:r>
        <w:rPr>
          <w:rFonts w:hint="eastAsia" w:ascii="宋体" w:hAnsi="宋体" w:cs="宋体"/>
          <w:szCs w:val="21"/>
          <w:lang w:val="en-US" w:eastAsia="zh-CN"/>
        </w:rPr>
        <w:t>(</w:t>
      </w:r>
      <w:r>
        <w:rPr>
          <w:rFonts w:hint="eastAsia" w:ascii="宋体" w:hAnsi="宋体" w:eastAsia="宋体" w:cs="宋体"/>
          <w:szCs w:val="21"/>
          <w:lang w:val="en-US" w:eastAsia="zh-CN"/>
        </w:rPr>
        <w:t>http://www.noncode.org/</w:t>
      </w:r>
      <w:r>
        <w:rPr>
          <w:rFonts w:hint="eastAsia" w:ascii="宋体" w:hAnsi="宋体" w:cs="宋体"/>
          <w:szCs w:val="21"/>
          <w:lang w:val="en-US" w:eastAsia="zh-CN"/>
        </w:rPr>
        <w:t>)</w:t>
      </w:r>
      <w:r>
        <w:rPr>
          <w:rFonts w:hint="eastAsia" w:ascii="宋体" w:hAnsi="宋体" w:eastAsia="宋体" w:cs="宋体"/>
          <w:szCs w:val="21"/>
          <w:lang w:val="en-US" w:eastAsia="zh-CN"/>
        </w:rPr>
        <w:t>中下载人类全部lncRNA的“bed”格式文件，然后打开CPAT</w:t>
      </w:r>
      <w:r>
        <w:rPr>
          <w:rFonts w:hint="eastAsia" w:ascii="宋体" w:hAnsi="宋体" w:cs="宋体"/>
          <w:szCs w:val="21"/>
          <w:lang w:val="en-US" w:eastAsia="zh-CN"/>
        </w:rPr>
        <w:t>(</w:t>
      </w:r>
      <w:r>
        <w:rPr>
          <w:rFonts w:hint="eastAsia" w:ascii="宋体" w:hAnsi="宋体" w:eastAsia="宋体" w:cs="宋体"/>
          <w:szCs w:val="21"/>
          <w:lang w:val="en-US" w:eastAsia="zh-CN"/>
        </w:rPr>
        <w:t>http://lilab.research.bcm.edu/cpat/</w:t>
      </w:r>
      <w:r>
        <w:rPr>
          <w:rFonts w:hint="eastAsia" w:ascii="宋体" w:hAnsi="宋体" w:cs="宋体"/>
          <w:szCs w:val="21"/>
          <w:lang w:val="en-US" w:eastAsia="zh-CN"/>
        </w:rPr>
        <w:t>)</w:t>
      </w:r>
      <w:r>
        <w:rPr>
          <w:rFonts w:hint="eastAsia" w:ascii="宋体" w:hAnsi="宋体" w:eastAsia="宋体" w:cs="宋体"/>
          <w:szCs w:val="21"/>
          <w:lang w:val="en-US" w:eastAsia="zh-CN"/>
        </w:rPr>
        <w:t>上传数据。CPAT是一款预测RNA编码潜能的在线工具，与其他的预测编码潜能工具不同，CPAT不是基于比对来搜索蛋白质证据或多重比对来计算系统发育保守性评分，而是使用了一种以4种序列特征：开放阅读框大小，开放阅读框覆盖，Fickett TESTCODE统计和六联体使用偏倚构建的逻辑回归模型来预测编码潜能。这种逻辑回归模型使得CPAT具有很高的准确性，同时也使得</w:t>
      </w:r>
      <w:r>
        <w:rPr>
          <w:rFonts w:hint="eastAsia" w:ascii="宋体" w:hAnsi="宋体" w:eastAsia="宋体" w:cs="宋体"/>
          <w:b w:val="0"/>
          <w:i w:val="0"/>
          <w:caps w:val="0"/>
          <w:color w:val="000000"/>
          <w:spacing w:val="0"/>
          <w:sz w:val="21"/>
          <w:szCs w:val="21"/>
          <w:shd w:val="clear" w:fill="FFFFFF"/>
        </w:rPr>
        <w:t>CPAT</w:t>
      </w:r>
      <w:r>
        <w:rPr>
          <w:rFonts w:hint="eastAsia" w:ascii="宋体" w:hAnsi="宋体" w:eastAsia="宋体" w:cs="宋体"/>
          <w:b w:val="0"/>
          <w:i w:val="0"/>
          <w:caps w:val="0"/>
          <w:color w:val="000000"/>
          <w:spacing w:val="0"/>
          <w:sz w:val="21"/>
          <w:szCs w:val="21"/>
          <w:shd w:val="clear" w:fill="FFFFFF"/>
          <w:lang w:val="en-US" w:eastAsia="zh-CN"/>
        </w:rPr>
        <w:t>比</w:t>
      </w:r>
      <w:r>
        <w:rPr>
          <w:rFonts w:hint="eastAsia" w:ascii="宋体" w:hAnsi="宋体" w:eastAsia="宋体" w:cs="宋体"/>
          <w:b w:val="0"/>
          <w:i w:val="0"/>
          <w:caps w:val="0"/>
          <w:color w:val="000000"/>
          <w:spacing w:val="0"/>
          <w:sz w:val="21"/>
          <w:szCs w:val="21"/>
          <w:shd w:val="clear" w:fill="FFFFFF"/>
        </w:rPr>
        <w:t>Coding-Potential Calculator和Phylo Codon Substitution Frequencies快约4个数量级，使得用户能够在数秒钟内处理数以千计的转录本。</w:t>
      </w:r>
      <w:r>
        <w:rPr>
          <w:rFonts w:hint="eastAsia" w:ascii="宋体" w:hAnsi="宋体" w:eastAsia="宋体" w:cs="宋体"/>
          <w:b w:val="0"/>
          <w:i w:val="0"/>
          <w:caps w:val="0"/>
          <w:color w:val="000000"/>
          <w:spacing w:val="0"/>
          <w:sz w:val="21"/>
          <w:szCs w:val="21"/>
          <w:shd w:val="clear" w:fill="FFFFFF"/>
          <w:lang w:val="en-US" w:eastAsia="zh-CN"/>
        </w:rPr>
        <w:t>CPAT允许用户上传“bed”格式或“fasta”格式的数据，也可以直接粘贴数据或数据所在网址，支持的人类基因组版本为hg19</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GRCh37</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。但CPAT也有一个小缺陷，那就是能够承载的数据量较小，仅能接受10M以内的数据。由于lncRNA的数据文件大于10M，所以不能直接上传，分三次将其手动粘贴至接受数据区域，选择物种基因组版本为</w:t>
      </w:r>
      <w:r>
        <w:rPr>
          <w:rFonts w:hint="eastAsia" w:ascii="宋体" w:hAnsi="宋体" w:eastAsia="宋体" w:cs="宋体"/>
          <w:b w:val="0"/>
          <w:i w:val="0"/>
          <w:caps w:val="0"/>
          <w:color w:val="000000"/>
          <w:spacing w:val="0"/>
          <w:sz w:val="21"/>
          <w:szCs w:val="21"/>
          <w:shd w:val="clear" w:fill="FFFFFF"/>
        </w:rPr>
        <w:t>Human (hg19, GRCh37)</w:t>
      </w:r>
      <w:r>
        <w:rPr>
          <w:rFonts w:hint="eastAsia" w:ascii="宋体" w:hAnsi="宋体" w:eastAsia="宋体" w:cs="宋体"/>
          <w:b w:val="0"/>
          <w:i w:val="0"/>
          <w:caps w:val="0"/>
          <w:color w:val="000000"/>
          <w:spacing w:val="0"/>
          <w:sz w:val="21"/>
          <w:szCs w:val="21"/>
          <w:shd w:val="clear" w:fill="FFFFFF"/>
          <w:lang w:eastAsia="zh-CN"/>
        </w:rPr>
        <w:t>，</w:t>
      </w:r>
      <w:r>
        <w:rPr>
          <w:rFonts w:hint="eastAsia" w:ascii="宋体" w:hAnsi="宋体" w:eastAsia="宋体" w:cs="宋体"/>
          <w:b w:val="0"/>
          <w:i w:val="0"/>
          <w:caps w:val="0"/>
          <w:color w:val="000000"/>
          <w:spacing w:val="0"/>
          <w:sz w:val="21"/>
          <w:szCs w:val="21"/>
          <w:shd w:val="clear" w:fill="FFFFFF"/>
          <w:lang w:val="en-US" w:eastAsia="zh-CN"/>
        </w:rPr>
        <w:t>然后提交即可。将跳转页面的预测结果全部粘贴至Excel，使用函数“COUNTIF”统计其中可以编码的lncRNA数目，计算其所占比例，再将原始数据上传至Galaxy</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https://usegalaxy.org/</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，使用Text Manipulation工具集中的“Text reformatting with awk ”工具将每条染色体上的lncRNA分离出来再进行每条染色体上lncRNA的编码潜能预测。由于人类全部基因组的mRNA数据量实在太大，本次实验在每条染色体上随机选取了2000条mRNA进行预测，然后在Excel中进行统计，再将两者进行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2.2人类mRNA与lncRNA的SNP比较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首先将从NONCODE中下载的lncRNA数据上传至Galaxy，使用“Text reformatting with awk ”提取出每条染色体上的lncRNA。然后从Galaxy的数据库中搜索人类基因组中每条染色体的SNP，基因组版本选择hg19</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GRCh37</w:t>
      </w:r>
      <w:r>
        <w:rPr>
          <w:rFonts w:hint="eastAsia" w:ascii="宋体" w:hAnsi="宋体" w:cs="宋体"/>
          <w:b w:val="0"/>
          <w:i w:val="0"/>
          <w:caps w:val="0"/>
          <w:color w:val="000000"/>
          <w:spacing w:val="0"/>
          <w:sz w:val="21"/>
          <w:szCs w:val="21"/>
          <w:shd w:val="clear" w:fill="FFFFFF"/>
          <w:lang w:val="en-US" w:eastAsia="zh-CN"/>
        </w:rPr>
        <w:t>)</w:t>
      </w:r>
      <w:r>
        <w:rPr>
          <w:rFonts w:hint="eastAsia" w:ascii="宋体" w:hAnsi="宋体" w:eastAsia="宋体" w:cs="宋体"/>
          <w:b w:val="0"/>
          <w:i w:val="0"/>
          <w:caps w:val="0"/>
          <w:color w:val="000000"/>
          <w:spacing w:val="0"/>
          <w:sz w:val="21"/>
          <w:szCs w:val="21"/>
          <w:shd w:val="clear" w:fill="FFFFFF"/>
          <w:lang w:val="en-US" w:eastAsia="zh-CN"/>
        </w:rPr>
        <w:t>。使用Operate on Genomic Intervals工具集中的“Join”工具，以lncRNA数据为第一套数据集，以SNP数据为第二套数据集，其他选项默认，通过坐标比较提取含有SNP的lncRNA。再使用Join, Subtract and Group中的“Group”工具，以提取过SNP的lncRNA为数据集，对lncRNA的ID进行计数，“Group by column”中选择“column4”，点击“Insert Operation”，“Type”中选择“Count”，“On column”选择“1”，其余参数默认，得到的结果中第一列为lncRNA的ID，第二列为每条lncRNA上的SNP数目。然后使用Filter and Sort工具集中的“Sort”工具，对第二列SNP数目采用降序排列，所有参数默认即可。将所得出的结果文件下载复制到Excel中，统计每条lncRNA上SNP的数目，再计算平均数目。</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对mRNA的操作与上述步骤相同，在此不再赘述。最后将两者进行比较。由于mRNA的数据量过大，Galaxy运行时间过长，而时间又有些紧迫，所以本实验只选取了Y染色体作为例子，以后如有机会，在进行其他染色体的操作。</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color w:val="FF0000"/>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3. 结果</w:t>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3.1人类</w:t>
      </w:r>
      <w:r>
        <w:rPr>
          <w:rFonts w:hint="eastAsia" w:ascii="宋体" w:hAnsi="宋体" w:cs="宋体"/>
          <w:color w:val="000000" w:themeColor="text1"/>
          <w:lang w:val="en-US" w:eastAsia="zh-CN"/>
          <w14:textFill>
            <w14:solidFill>
              <w14:schemeClr w14:val="tx1"/>
            </w14:solidFill>
          </w14:textFill>
        </w:rPr>
        <w:t>的</w:t>
      </w:r>
      <w:r>
        <w:rPr>
          <w:rFonts w:hint="eastAsia" w:ascii="宋体" w:hAnsi="宋体" w:eastAsia="宋体" w:cs="宋体"/>
          <w:color w:val="000000" w:themeColor="text1"/>
          <w:lang w:val="en-US" w:eastAsia="zh-CN"/>
          <w14:textFill>
            <w14:solidFill>
              <w14:schemeClr w14:val="tx1"/>
            </w14:solidFill>
          </w14:textFill>
        </w:rPr>
        <w:t>mRNA与lncRNA编码潜能比较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根据CPAT工具的预测</w:t>
      </w:r>
      <w:r>
        <w:rPr>
          <w:rFonts w:hint="eastAsia" w:ascii="宋体" w:hAnsi="宋体" w:cs="宋体"/>
          <w:color w:val="000000" w:themeColor="text1"/>
          <w:lang w:val="en-US" w:eastAsia="zh-CN"/>
          <w14:textFill>
            <w14:solidFill>
              <w14:schemeClr w14:val="tx1"/>
            </w14:solidFill>
          </w14:textFill>
        </w:rPr>
        <w:t>以及Excel分析的结果</w:t>
      </w:r>
      <w:r>
        <w:rPr>
          <w:rFonts w:hint="eastAsia" w:ascii="宋体" w:hAnsi="宋体" w:eastAsia="宋体" w:cs="宋体"/>
          <w:color w:val="000000" w:themeColor="text1"/>
          <w:lang w:val="en-US" w:eastAsia="zh-CN"/>
          <w14:textFill>
            <w14:solidFill>
              <w14:schemeClr w14:val="tx1"/>
            </w14:solidFill>
          </w14:textFill>
        </w:rPr>
        <w:t>，mRNA的平均编码潜能约为3.48%，也就是说，在</w:t>
      </w:r>
      <w:r>
        <w:rPr>
          <w:rFonts w:hint="eastAsia" w:ascii="宋体" w:hAnsi="宋体" w:cs="宋体"/>
          <w:color w:val="000000" w:themeColor="text1"/>
          <w:lang w:val="en-US" w:eastAsia="zh-CN"/>
          <w14:textFill>
            <w14:solidFill>
              <w14:schemeClr w14:val="tx1"/>
            </w14:solidFill>
          </w14:textFill>
        </w:rPr>
        <w:t>本次实验所选择进行</w:t>
      </w:r>
      <w:r>
        <w:rPr>
          <w:rFonts w:hint="eastAsia" w:ascii="宋体" w:hAnsi="宋体" w:eastAsia="宋体" w:cs="宋体"/>
          <w:color w:val="000000" w:themeColor="text1"/>
          <w:lang w:val="en-US" w:eastAsia="zh-CN"/>
          <w14:textFill>
            <w14:solidFill>
              <w14:schemeClr w14:val="tx1"/>
            </w14:solidFill>
          </w14:textFill>
        </w:rPr>
        <w:t>统计的48000条mRNA中，约有1670条mRNA可以用于编码蛋白质</w:t>
      </w:r>
      <w:r>
        <w:rPr>
          <w:rFonts w:hint="eastAsia" w:ascii="宋体" w:hAnsi="宋体" w:cs="宋体"/>
          <w:color w:val="000000" w:themeColor="text1"/>
          <w:lang w:val="en-US" w:eastAsia="zh-CN"/>
          <w14:textFill>
            <w14:solidFill>
              <w14:schemeClr w14:val="tx1"/>
            </w14:solidFill>
          </w14:textFill>
        </w:rPr>
        <w:t>，具有编码潜能</w:t>
      </w:r>
      <w:r>
        <w:rPr>
          <w:rFonts w:hint="eastAsia" w:ascii="宋体" w:hAnsi="宋体" w:eastAsia="宋体" w:cs="宋体"/>
          <w:color w:val="000000" w:themeColor="text1"/>
          <w:lang w:val="en-US" w:eastAsia="zh-CN"/>
          <w14:textFill>
            <w14:solidFill>
              <w14:schemeClr w14:val="tx1"/>
            </w14:solidFill>
          </w14:textFill>
        </w:rPr>
        <w:t>；而lncRNA的平均编码潜能为2.85%，换句话说，在所有的227332条lncRNA中，约有6479条lncRNA可以用于编码蛋白质</w:t>
      </w:r>
      <w:r>
        <w:rPr>
          <w:rFonts w:hint="eastAsia" w:ascii="宋体" w:hAnsi="宋体" w:cs="宋体"/>
          <w:color w:val="000000" w:themeColor="text1"/>
          <w:lang w:val="en-US" w:eastAsia="zh-CN"/>
          <w14:textFill>
            <w14:solidFill>
              <w14:schemeClr w14:val="tx1"/>
            </w14:solidFill>
          </w14:textFill>
        </w:rPr>
        <w:t>，具有编码潜能(</w:t>
      </w:r>
      <w:r>
        <w:rPr>
          <w:rFonts w:hint="eastAsia" w:ascii="宋体" w:hAnsi="宋体" w:eastAsia="宋体" w:cs="宋体"/>
          <w:color w:val="000000" w:themeColor="text1"/>
          <w:lang w:val="en-US" w:eastAsia="zh-CN"/>
          <w14:textFill>
            <w14:solidFill>
              <w14:schemeClr w14:val="tx1"/>
            </w14:solidFill>
          </w14:textFill>
        </w:rPr>
        <w:t>图1</w:t>
      </w:r>
      <w:r>
        <w:rPr>
          <w:rFonts w:hint="eastAsia" w:ascii="宋体" w:hAnsi="宋体" w:cs="宋体"/>
          <w:color w:val="000000" w:themeColor="text1"/>
          <w:lang w:val="en-US"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。由此可以看出mRNA的编码潜能略高于lncRNA，但是差异并不显著</w:t>
      </w:r>
      <w:r>
        <w:rPr>
          <w:rFonts w:hint="eastAsia" w:ascii="宋体" w:hAnsi="宋体" w:cs="宋体"/>
          <w:color w:val="000000" w:themeColor="text1"/>
          <w:lang w:val="en-US" w:eastAsia="zh-CN"/>
          <w14:textFill>
            <w14:solidFill>
              <w14:schemeClr w14:val="tx1"/>
            </w14:solidFill>
          </w14:textFill>
        </w:rPr>
        <w:t>，仅为0.63%</w:t>
      </w:r>
      <w:r>
        <w:rPr>
          <w:rFonts w:hint="eastAsia" w:ascii="宋体" w:hAnsi="宋体" w:eastAsia="宋体" w:cs="宋体"/>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color w:val="000000" w:themeColor="text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lang w:val="en-US" w:eastAsia="zh-CN"/>
        </w:rPr>
        <w:t>图1  人类mRNA与lncRNA平均编码潜能比较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rPr>
      </w:pPr>
      <w:r>
        <w:rPr>
          <w:rFonts w:hint="eastAsia" w:ascii="宋体" w:hAnsi="宋体" w:eastAsia="宋体" w:cs="宋体"/>
        </w:rPr>
        <w:drawing>
          <wp:inline distT="0" distB="0" distL="114300" distR="114300">
            <wp:extent cx="3996055" cy="2465070"/>
            <wp:effectExtent l="4445" t="4445" r="19050" b="69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kinsoku/>
        <w:wordWrap/>
        <w:overflowPunct/>
        <w:topLinePunct w:val="0"/>
        <w:autoSpaceDE/>
        <w:autoSpaceDN/>
        <w:bidi w:val="0"/>
        <w:adjustRightInd/>
        <w:snapToGrid/>
        <w:spacing w:line="300" w:lineRule="auto"/>
        <w:ind w:left="0" w:leftChars="0" w:right="0" w:rightChars="0"/>
        <w:jc w:val="left"/>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关于每条染色体上mRNA与lncRNA编码潜能的差异，在1-6、10-15、17、20、Y染色体上较为显著，即mRNA的编码潜能高于lncRNA</w:t>
      </w:r>
      <w:r>
        <w:rPr>
          <w:rFonts w:hint="eastAsia" w:ascii="宋体" w:hAnsi="宋体" w:cs="宋体"/>
          <w:lang w:val="en-US" w:eastAsia="zh-CN"/>
        </w:rPr>
        <w:t>，但是差异并不显著，分别为1.97%、 1.76%、 0.24%、0.86%、5.45%、3.10%、1.91%、1.19%、0.14%、1.81%、2.35%、0.19%、1.05%、0.15%、0.77%</w:t>
      </w:r>
      <w:r>
        <w:rPr>
          <w:rFonts w:hint="eastAsia" w:ascii="宋体" w:hAnsi="宋体" w:eastAsia="宋体" w:cs="宋体"/>
          <w:lang w:val="en-US" w:eastAsia="zh-CN"/>
        </w:rPr>
        <w:t>；在7-9、16、18、19、21、22、X染色体上，lncRNA的编码潜能与mRNA相比较高一些</w:t>
      </w:r>
      <w:r>
        <w:rPr>
          <w:rFonts w:hint="eastAsia" w:ascii="宋体" w:hAnsi="宋体" w:cs="宋体"/>
          <w:lang w:val="en-US" w:eastAsia="zh-CN"/>
        </w:rPr>
        <w:t>，然而差异也不显著，分别为2.07%、0.37%、0.74%、1.10%、3.15%、0.20%、0.33%、0.05%、0.02%(</w:t>
      </w:r>
      <w:r>
        <w:rPr>
          <w:rFonts w:hint="eastAsia" w:ascii="宋体" w:hAnsi="宋体" w:eastAsia="宋体" w:cs="宋体"/>
          <w:lang w:val="en-US" w:eastAsia="zh-CN"/>
        </w:rPr>
        <w:t>表</w:t>
      </w:r>
      <w:r>
        <w:rPr>
          <w:rFonts w:hint="eastAsia" w:ascii="宋体" w:hAnsi="宋体" w:cs="宋体"/>
          <w:lang w:val="en-US" w:eastAsia="zh-CN"/>
        </w:rPr>
        <w:t>2</w:t>
      </w:r>
      <w:r>
        <w:rPr>
          <w:rFonts w:hint="eastAsia" w:ascii="宋体" w:hAnsi="宋体" w:eastAsia="宋体" w:cs="宋体"/>
          <w:lang w:val="en-US" w:eastAsia="zh-CN"/>
        </w:rPr>
        <w:t>，图2</w:t>
      </w:r>
      <w:r>
        <w:rPr>
          <w:rFonts w:hint="eastAsia" w:ascii="宋体" w:hAnsi="宋体" w:cs="宋体"/>
          <w:lang w:val="en-US" w:eastAsia="zh-CN"/>
        </w:rPr>
        <w:t>)</w:t>
      </w:r>
      <w:r>
        <w:rPr>
          <w:rFonts w:hint="eastAsia" w:ascii="宋体" w:hAnsi="宋体" w:eastAsia="宋体" w:cs="宋体"/>
          <w:lang w:val="en-US" w:eastAsia="zh-CN"/>
        </w:rPr>
        <w:t>。</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表</w:t>
      </w:r>
      <w:r>
        <w:rPr>
          <w:rFonts w:hint="eastAsia" w:ascii="宋体" w:hAnsi="宋体" w:cs="宋体"/>
          <w:lang w:val="en-US" w:eastAsia="zh-CN"/>
        </w:rPr>
        <w:t xml:space="preserve">2 </w:t>
      </w:r>
      <w:r>
        <w:rPr>
          <w:rFonts w:hint="eastAsia" w:ascii="宋体" w:hAnsi="宋体" w:eastAsia="宋体" w:cs="宋体"/>
          <w:lang w:val="en-US" w:eastAsia="zh-CN"/>
        </w:rPr>
        <w:t xml:space="preserve"> 每条染色体上人类mRNA和lncRNA编码潜能比较</w:t>
      </w:r>
    </w:p>
    <w:tbl>
      <w:tblPr>
        <w:tblStyle w:val="10"/>
        <w:tblW w:w="7464" w:type="dxa"/>
        <w:jc w:val="center"/>
        <w:tblInd w:w="146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3"/>
        <w:gridCol w:w="1147"/>
        <w:gridCol w:w="1223"/>
        <w:gridCol w:w="1348"/>
        <w:gridCol w:w="1223"/>
        <w:gridCol w:w="663"/>
        <w:gridCol w:w="84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染色体号</w:t>
            </w:r>
          </w:p>
        </w:tc>
        <w:tc>
          <w:tcPr>
            <w:tcW w:w="1147"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基因总数目</w:t>
            </w:r>
          </w:p>
        </w:tc>
        <w:tc>
          <w:tcPr>
            <w:tcW w:w="122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可编码数目</w:t>
            </w:r>
          </w:p>
        </w:tc>
        <w:tc>
          <w:tcPr>
            <w:tcW w:w="1348"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基因总数目</w:t>
            </w:r>
          </w:p>
        </w:tc>
        <w:tc>
          <w:tcPr>
            <w:tcW w:w="122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可编码数目</w:t>
            </w:r>
          </w:p>
        </w:tc>
        <w:tc>
          <w:tcPr>
            <w:tcW w:w="1510" w:type="dxa"/>
            <w:gridSpan w:val="2"/>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编码潜能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p>
        </w:tc>
        <w:tc>
          <w:tcPr>
            <w:tcW w:w="2370" w:type="dxa"/>
            <w:gridSpan w:val="2"/>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mRNA</w:t>
            </w:r>
          </w:p>
        </w:tc>
        <w:tc>
          <w:tcPr>
            <w:tcW w:w="2571" w:type="dxa"/>
            <w:gridSpan w:val="2"/>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lncRNA</w:t>
            </w:r>
          </w:p>
        </w:tc>
        <w:tc>
          <w:tcPr>
            <w:tcW w:w="663"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mRNA</w:t>
            </w:r>
          </w:p>
        </w:tc>
        <w:tc>
          <w:tcPr>
            <w:tcW w:w="847"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lncRNA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47"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w:t>
            </w:r>
          </w:p>
        </w:tc>
        <w:tc>
          <w:tcPr>
            <w:tcW w:w="1348" w:type="dxa"/>
            <w:tcBorders>
              <w:top w:val="single" w:color="auto" w:sz="4" w:space="0"/>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19407</w:t>
            </w:r>
          </w:p>
        </w:tc>
        <w:tc>
          <w:tcPr>
            <w:tcW w:w="122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472</w:t>
            </w:r>
          </w:p>
        </w:tc>
        <w:tc>
          <w:tcPr>
            <w:tcW w:w="663"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4.40%</w:t>
            </w:r>
          </w:p>
        </w:tc>
        <w:tc>
          <w:tcPr>
            <w:tcW w:w="847"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19662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372</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13209</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11340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231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157</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13241</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318</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14176</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312</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11405</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362</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10852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263</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9642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274</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10527</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215</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9939</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344</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10921</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263</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7584</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90</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7503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161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7150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151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7713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359</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8952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345</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5643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271</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6781</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414</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6196</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186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3720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4383</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218</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6232</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176</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w:t>
            </w:r>
          </w:p>
        </w:tc>
        <w:tc>
          <w:tcPr>
            <w:tcW w:w="11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1348" w:type="dxa"/>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1154</w:t>
            </w:r>
          </w:p>
        </w:tc>
        <w:tc>
          <w:tcPr>
            <w:tcW w:w="122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130</w:t>
            </w:r>
          </w:p>
        </w:tc>
        <w:tc>
          <w:tcPr>
            <w:tcW w:w="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1.90%</w:t>
            </w:r>
          </w:p>
        </w:tc>
        <w:tc>
          <w:tcPr>
            <w:tcW w:w="84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right="0" w:rightChars="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1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总计</w:t>
            </w:r>
          </w:p>
        </w:tc>
        <w:tc>
          <w:tcPr>
            <w:tcW w:w="1147"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48000</w:t>
            </w:r>
          </w:p>
        </w:tc>
        <w:tc>
          <w:tcPr>
            <w:tcW w:w="122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1668</w:t>
            </w:r>
          </w:p>
        </w:tc>
        <w:tc>
          <w:tcPr>
            <w:tcW w:w="1348"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rPr>
            </w:pPr>
            <w:r>
              <w:rPr>
                <w:rFonts w:hint="eastAsia" w:ascii="宋体" w:hAnsi="宋体" w:eastAsia="宋体" w:cs="宋体"/>
                <w:color w:val="000000" w:themeColor="text1"/>
                <w:lang w:val="en-US" w:eastAsia="zh-CN"/>
                <w14:textFill>
                  <w14:solidFill>
                    <w14:schemeClr w14:val="tx1"/>
                  </w14:solidFill>
                </w14:textFill>
              </w:rPr>
              <w:t>227332</w:t>
            </w:r>
          </w:p>
        </w:tc>
        <w:tc>
          <w:tcPr>
            <w:tcW w:w="122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rPr>
            </w:pPr>
            <w:r>
              <w:rPr>
                <w:rFonts w:hint="eastAsia" w:ascii="宋体" w:hAnsi="宋体" w:eastAsia="宋体" w:cs="宋体"/>
                <w:color w:val="000000" w:themeColor="text1"/>
                <w:lang w:val="en-US" w:eastAsia="zh-CN"/>
                <w14:textFill>
                  <w14:solidFill>
                    <w14:schemeClr w14:val="tx1"/>
                  </w14:solidFill>
                </w14:textFill>
              </w:rPr>
              <w:t>6479</w:t>
            </w:r>
          </w:p>
        </w:tc>
        <w:tc>
          <w:tcPr>
            <w:tcW w:w="663"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3.48%</w:t>
            </w:r>
          </w:p>
        </w:tc>
        <w:tc>
          <w:tcPr>
            <w:tcW w:w="847" w:type="dxa"/>
            <w:shd w:val="clear" w:color="auto" w:fill="auto"/>
            <w:vAlign w:val="center"/>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2.85%</w:t>
            </w:r>
          </w:p>
        </w:tc>
      </w:tr>
    </w:tbl>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rPr>
      </w:pPr>
      <w:r>
        <w:rPr>
          <w:rFonts w:hint="eastAsia" w:ascii="宋体" w:hAnsi="宋体" w:eastAsia="宋体" w:cs="宋体"/>
        </w:rPr>
        <w:drawing>
          <wp:inline distT="0" distB="0" distL="114300" distR="114300">
            <wp:extent cx="5772785" cy="3390900"/>
            <wp:effectExtent l="4445" t="4445" r="13970"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图2  每条染色体上人类mRNA和lncRNA编码潜能比较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left"/>
        <w:rPr>
          <w:rFonts w:hint="eastAsia" w:ascii="宋体" w:hAnsi="宋体" w:eastAsia="宋体" w:cs="宋体"/>
          <w:lang w:val="en-US" w:eastAsia="zh-CN"/>
        </w:rPr>
      </w:pPr>
      <w:r>
        <w:rPr>
          <w:rFonts w:hint="eastAsia" w:ascii="宋体" w:hAnsi="宋体" w:eastAsia="宋体" w:cs="宋体"/>
          <w:lang w:val="en-US" w:eastAsia="zh-CN"/>
        </w:rPr>
        <w:t>3.2 人类mRNA和lncRNA上SNP数目比较</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根据Galaxy运行出的结果</w:t>
      </w:r>
      <w:r>
        <w:rPr>
          <w:rFonts w:hint="eastAsia" w:ascii="宋体" w:hAnsi="宋体" w:cs="宋体"/>
          <w:lang w:val="en-US" w:eastAsia="zh-CN"/>
        </w:rPr>
        <w:t>以及Excel分析出的结果</w:t>
      </w:r>
      <w:r>
        <w:rPr>
          <w:rFonts w:hint="eastAsia" w:ascii="宋体" w:hAnsi="宋体" w:eastAsia="宋体" w:cs="宋体"/>
          <w:lang w:val="en-US" w:eastAsia="zh-CN"/>
        </w:rPr>
        <w:t>，</w:t>
      </w:r>
      <w:r>
        <w:rPr>
          <w:rFonts w:hint="eastAsia" w:ascii="宋体" w:hAnsi="宋体" w:cs="宋体"/>
          <w:lang w:val="en-US" w:eastAsia="zh-CN"/>
        </w:rPr>
        <w:t>从</w:t>
      </w:r>
      <w:r>
        <w:rPr>
          <w:rFonts w:hint="eastAsia" w:ascii="宋体" w:hAnsi="宋体" w:eastAsia="宋体" w:cs="宋体"/>
          <w:lang w:val="en-US" w:eastAsia="zh-CN"/>
        </w:rPr>
        <w:t>人类Y染色体上lncRNA</w:t>
      </w:r>
      <w:r>
        <w:rPr>
          <w:rFonts w:hint="eastAsia" w:ascii="宋体" w:hAnsi="宋体" w:cs="宋体"/>
          <w:lang w:val="en-US" w:eastAsia="zh-CN"/>
        </w:rPr>
        <w:t>中提取出</w:t>
      </w:r>
      <w:r>
        <w:rPr>
          <w:rFonts w:hint="eastAsia" w:ascii="宋体" w:hAnsi="宋体" w:eastAsia="宋体" w:cs="宋体"/>
          <w:lang w:val="en-US" w:eastAsia="zh-CN"/>
        </w:rPr>
        <w:t>的SNP数目为12060个，Y染色体上的lncRNA条数为1157条，平均每条lncRNA上的SNP数目为10.45个；</w:t>
      </w:r>
      <w:r>
        <w:rPr>
          <w:rFonts w:hint="eastAsia" w:ascii="宋体" w:hAnsi="宋体" w:cs="宋体"/>
          <w:lang w:val="en-US" w:eastAsia="zh-CN"/>
        </w:rPr>
        <w:t>从</w:t>
      </w:r>
      <w:r>
        <w:rPr>
          <w:rFonts w:hint="eastAsia" w:ascii="宋体" w:hAnsi="宋体" w:eastAsia="宋体" w:cs="宋体"/>
          <w:lang w:val="en-US" w:eastAsia="zh-CN"/>
        </w:rPr>
        <w:t>人类Y染色体上mRNA</w:t>
      </w:r>
      <w:r>
        <w:rPr>
          <w:rFonts w:hint="eastAsia" w:ascii="宋体" w:hAnsi="宋体" w:cs="宋体"/>
          <w:lang w:val="en-US" w:eastAsia="zh-CN"/>
        </w:rPr>
        <w:t>中提取出</w:t>
      </w:r>
      <w:r>
        <w:rPr>
          <w:rFonts w:hint="eastAsia" w:ascii="宋体" w:hAnsi="宋体" w:eastAsia="宋体" w:cs="宋体"/>
          <w:lang w:val="en-US" w:eastAsia="zh-CN"/>
        </w:rPr>
        <w:t>的SNP数目为174429个，Y染色体上的mRNA条数为60583</w:t>
      </w:r>
      <w:r>
        <w:rPr>
          <w:rFonts w:hint="eastAsia" w:ascii="宋体" w:hAnsi="宋体" w:cs="宋体"/>
          <w:lang w:val="en-US" w:eastAsia="zh-CN"/>
        </w:rPr>
        <w:t>条</w:t>
      </w:r>
      <w:r>
        <w:rPr>
          <w:rFonts w:hint="eastAsia" w:ascii="宋体" w:hAnsi="宋体" w:eastAsia="宋体" w:cs="宋体"/>
          <w:lang w:val="en-US" w:eastAsia="zh-CN"/>
        </w:rPr>
        <w:t>，平均每条mRNA上的SNP数目为2.88个</w:t>
      </w:r>
      <w:r>
        <w:rPr>
          <w:rFonts w:hint="eastAsia" w:ascii="宋体" w:hAnsi="宋体" w:cs="宋体"/>
          <w:lang w:val="en-US" w:eastAsia="zh-CN"/>
        </w:rPr>
        <w:t>(</w:t>
      </w:r>
      <w:r>
        <w:rPr>
          <w:rFonts w:hint="eastAsia" w:ascii="宋体" w:hAnsi="宋体" w:eastAsia="宋体" w:cs="宋体"/>
          <w:lang w:val="en-US" w:eastAsia="zh-CN"/>
        </w:rPr>
        <w:t>表</w:t>
      </w:r>
      <w:r>
        <w:rPr>
          <w:rFonts w:hint="eastAsia" w:ascii="宋体" w:hAnsi="宋体" w:cs="宋体"/>
          <w:lang w:val="en-US" w:eastAsia="zh-CN"/>
        </w:rPr>
        <w:t>3</w:t>
      </w:r>
      <w:r>
        <w:rPr>
          <w:rFonts w:hint="eastAsia" w:ascii="宋体" w:hAnsi="宋体" w:eastAsia="宋体" w:cs="宋体"/>
          <w:lang w:val="en-US" w:eastAsia="zh-CN"/>
        </w:rPr>
        <w:t>，图3</w:t>
      </w:r>
      <w:r>
        <w:rPr>
          <w:rFonts w:hint="eastAsia" w:ascii="宋体" w:hAnsi="宋体" w:cs="宋体"/>
          <w:lang w:val="en-US" w:eastAsia="zh-CN"/>
        </w:rPr>
        <w:t>)</w:t>
      </w:r>
      <w:r>
        <w:rPr>
          <w:rFonts w:hint="eastAsia" w:ascii="宋体" w:hAnsi="宋体" w:eastAsia="宋体" w:cs="宋体"/>
          <w:lang w:val="en-US" w:eastAsia="zh-CN"/>
        </w:rPr>
        <w:t>。</w:t>
      </w:r>
      <w:r>
        <w:rPr>
          <w:rFonts w:hint="eastAsia" w:ascii="宋体" w:hAnsi="宋体" w:cs="宋体"/>
          <w:lang w:val="en-US" w:eastAsia="zh-CN"/>
        </w:rPr>
        <w:t>由此可以看出在人类Y染色体上lncRNA的平均SNP数目要显著高于mRNA的平均SNP数目，且差距并不算小，为7.57，接近mRNA平均SNP数目的三倍。</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表</w:t>
      </w:r>
      <w:r>
        <w:rPr>
          <w:rFonts w:hint="eastAsia" w:ascii="宋体" w:hAnsi="宋体" w:cs="宋体"/>
          <w:lang w:val="en-US" w:eastAsia="zh-CN"/>
        </w:rPr>
        <w:t>3</w:t>
      </w:r>
      <w:r>
        <w:rPr>
          <w:rFonts w:hint="eastAsia" w:ascii="宋体" w:hAnsi="宋体" w:eastAsia="宋体" w:cs="宋体"/>
          <w:lang w:val="en-US" w:eastAsia="zh-CN"/>
        </w:rPr>
        <w:t xml:space="preserve">  人类Y染色体上mRNA与lncRNA的平均SNP数目比较</w:t>
      </w:r>
    </w:p>
    <w:tbl>
      <w:tblPr>
        <w:tblStyle w:val="11"/>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RNA种类</w:t>
            </w:r>
          </w:p>
        </w:tc>
        <w:tc>
          <w:tcPr>
            <w:tcW w:w="2130"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RNA数目</w:t>
            </w:r>
          </w:p>
        </w:tc>
        <w:tc>
          <w:tcPr>
            <w:tcW w:w="2131"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SNP数目</w:t>
            </w:r>
          </w:p>
        </w:tc>
        <w:tc>
          <w:tcPr>
            <w:tcW w:w="2131" w:type="dxa"/>
            <w:tcBorders>
              <w:bottom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平均SNP数目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mRNA</w:t>
            </w:r>
          </w:p>
        </w:tc>
        <w:tc>
          <w:tcPr>
            <w:tcW w:w="2130"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60583</w:t>
            </w:r>
          </w:p>
        </w:tc>
        <w:tc>
          <w:tcPr>
            <w:tcW w:w="2131"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174429</w:t>
            </w:r>
          </w:p>
        </w:tc>
        <w:tc>
          <w:tcPr>
            <w:tcW w:w="2131" w:type="dxa"/>
            <w:tcBorders>
              <w:top w:val="single" w:color="auto" w:sz="4" w:space="0"/>
            </w:tcBorders>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2.88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lncRNA</w:t>
            </w:r>
          </w:p>
        </w:tc>
        <w:tc>
          <w:tcPr>
            <w:tcW w:w="2130"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1157</w:t>
            </w:r>
          </w:p>
        </w:tc>
        <w:tc>
          <w:tcPr>
            <w:tcW w:w="2131"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12060</w:t>
            </w:r>
          </w:p>
        </w:tc>
        <w:tc>
          <w:tcPr>
            <w:tcW w:w="2131" w:type="dxa"/>
          </w:tcPr>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10.45</w:t>
            </w:r>
          </w:p>
        </w:tc>
      </w:tr>
    </w:tbl>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lang w:val="en-US" w:eastAsia="zh-CN"/>
        </w:rPr>
      </w:pPr>
      <w:r>
        <w:rPr>
          <w:rFonts w:hint="eastAsia" w:ascii="宋体" w:hAnsi="宋体" w:eastAsia="宋体" w:cs="宋体"/>
          <w:lang w:val="en-US" w:eastAsia="zh-CN"/>
        </w:rPr>
        <w:t>图3  人类Y染色体上mRNA与lncRNA的平均SNP数目比较</w:t>
      </w:r>
    </w:p>
    <w:p>
      <w:pPr>
        <w:keepNext w:val="0"/>
        <w:keepLines w:val="0"/>
        <w:pageBreakBefore w:val="0"/>
        <w:kinsoku/>
        <w:wordWrap/>
        <w:overflowPunct/>
        <w:topLinePunct w:val="0"/>
        <w:autoSpaceDE/>
        <w:autoSpaceDN/>
        <w:bidi w:val="0"/>
        <w:adjustRightInd/>
        <w:snapToGrid/>
        <w:spacing w:line="300" w:lineRule="auto"/>
        <w:ind w:left="0" w:leftChars="0" w:right="0" w:rightChars="0"/>
        <w:jc w:val="center"/>
        <w:rPr>
          <w:rFonts w:hint="eastAsia" w:ascii="宋体" w:hAnsi="宋体" w:eastAsia="宋体" w:cs="宋体"/>
        </w:rPr>
      </w:pPr>
      <w:r>
        <w:rPr>
          <w:rFonts w:hint="eastAsia" w:ascii="宋体" w:hAnsi="宋体" w:eastAsia="宋体" w:cs="宋体"/>
        </w:rPr>
        <w:drawing>
          <wp:inline distT="0" distB="0" distL="114300" distR="114300">
            <wp:extent cx="4014470" cy="2324100"/>
            <wp:effectExtent l="4445" t="4445" r="1968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color w:val="FF0000"/>
          <w:szCs w:val="21"/>
          <w:lang w:val="en-US" w:eastAsia="zh-CN"/>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4. 结论</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根据上述结果进行分析，大致可以得到如下结论：</w:t>
      </w:r>
    </w:p>
    <w:p>
      <w:pPr>
        <w:keepNext w:val="0"/>
        <w:keepLines w:val="0"/>
        <w:pageBreakBefore w:val="0"/>
        <w:widowControl w:val="0"/>
        <w:numPr>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 xml:space="preserve">    (1)</w:t>
      </w:r>
      <w:r>
        <w:rPr>
          <w:rFonts w:hint="eastAsia" w:ascii="宋体" w:hAnsi="宋体" w:eastAsia="宋体" w:cs="宋体"/>
          <w:szCs w:val="21"/>
          <w:lang w:val="en-US" w:eastAsia="zh-CN"/>
        </w:rPr>
        <w:t>人类的mRNA编码潜能要略大于lncRNA，因为mRNA要编码蛋白质，而lncRNA并不编码蛋白质，故而lncRNA的编码潜能要比mRNA的编码潜能小一些，这</w:t>
      </w:r>
      <w:r>
        <w:rPr>
          <w:rFonts w:hint="eastAsia" w:ascii="宋体" w:hAnsi="宋体" w:cs="宋体"/>
          <w:szCs w:val="21"/>
          <w:lang w:val="en-US" w:eastAsia="zh-CN"/>
        </w:rPr>
        <w:t>一点</w:t>
      </w:r>
      <w:r>
        <w:rPr>
          <w:rFonts w:hint="eastAsia" w:ascii="宋体" w:hAnsi="宋体" w:eastAsia="宋体" w:cs="宋体"/>
          <w:szCs w:val="21"/>
          <w:lang w:val="en-US" w:eastAsia="zh-CN"/>
        </w:rPr>
        <w:t>与已知的研究进展是一致的。</w:t>
      </w:r>
    </w:p>
    <w:p>
      <w:pPr>
        <w:keepNext w:val="0"/>
        <w:keepLines w:val="0"/>
        <w:pageBreakBefore w:val="0"/>
        <w:widowControl w:val="0"/>
        <w:numPr>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 xml:space="preserve">    </w:t>
      </w:r>
      <w:bookmarkStart w:id="0" w:name="_GoBack"/>
      <w:bookmarkEnd w:id="0"/>
      <w:r>
        <w:rPr>
          <w:rFonts w:hint="eastAsia" w:ascii="宋体" w:hAnsi="宋体" w:cs="宋体"/>
          <w:szCs w:val="21"/>
          <w:lang w:val="en-US" w:eastAsia="zh-CN"/>
        </w:rPr>
        <w:t>(2)</w:t>
      </w:r>
      <w:r>
        <w:rPr>
          <w:rFonts w:hint="eastAsia" w:ascii="宋体" w:hAnsi="宋体" w:eastAsia="宋体" w:cs="宋体"/>
          <w:szCs w:val="21"/>
          <w:lang w:val="en-US" w:eastAsia="zh-CN"/>
        </w:rPr>
        <w:t>人类的Y染色体上mRNA的SNP数目要小于lncRNA的SNP数目，这说明mRNA的保守性要大于lncRNA，因为mRNA要编码蛋白质，而lncRNA一般不编码蛋白质，所以lncRNA的变异位点多一些对生物体的表型影响并不算大，这</w:t>
      </w:r>
      <w:r>
        <w:rPr>
          <w:rFonts w:hint="eastAsia" w:ascii="宋体" w:hAnsi="宋体" w:cs="宋体"/>
          <w:szCs w:val="21"/>
          <w:lang w:val="en-US" w:eastAsia="zh-CN"/>
        </w:rPr>
        <w:t>一点</w:t>
      </w:r>
      <w:r>
        <w:rPr>
          <w:rFonts w:hint="eastAsia" w:ascii="宋体" w:hAnsi="宋体" w:eastAsia="宋体" w:cs="宋体"/>
          <w:szCs w:val="21"/>
          <w:lang w:val="en-US" w:eastAsia="zh-CN"/>
        </w:rPr>
        <w:t>也与研究进展及实验之前的推论是相同的。</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color w:val="FF0000"/>
          <w:szCs w:val="21"/>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5. 讨论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由于一些客观上的因素以及主观上的阻力，本次实验尚存在以下问题：</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 xml:space="preserve">    (</w:t>
      </w:r>
      <w:r>
        <w:rPr>
          <w:rFonts w:hint="eastAsia" w:ascii="宋体" w:hAnsi="宋体" w:eastAsia="宋体" w:cs="宋体"/>
          <w:szCs w:val="21"/>
          <w:lang w:val="en-US" w:eastAsia="zh-CN"/>
        </w:rPr>
        <w:t>1</w:t>
      </w:r>
      <w:r>
        <w:rPr>
          <w:rFonts w:hint="eastAsia" w:ascii="宋体" w:hAnsi="宋体" w:cs="宋体"/>
          <w:szCs w:val="21"/>
          <w:lang w:val="en-US" w:eastAsia="zh-CN"/>
        </w:rPr>
        <w:t>)</w:t>
      </w:r>
      <w:r>
        <w:rPr>
          <w:rFonts w:hint="eastAsia" w:ascii="宋体" w:hAnsi="宋体" w:eastAsia="宋体" w:cs="宋体"/>
          <w:szCs w:val="21"/>
          <w:lang w:val="en-US" w:eastAsia="zh-CN"/>
        </w:rPr>
        <w:t>由于人类的全部基因组mRNA数据量过于庞大，CPAT这个工具无法承载如此巨大的数据量，故而在每条染色体上挑选了2000条mRNA，由于样本数目较小，导致mRNA编码潜能与lncRNA编码潜能的差距并不显著，如果样本数据量大一些，或使用整个基因组mRNA，差异可能会更大一些。</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w:t>
      </w:r>
      <w:r>
        <w:rPr>
          <w:rFonts w:hint="eastAsia" w:ascii="宋体" w:hAnsi="宋体" w:eastAsia="宋体" w:cs="宋体"/>
          <w:szCs w:val="21"/>
          <w:lang w:val="en-US" w:eastAsia="zh-CN"/>
        </w:rPr>
        <w:t>2</w:t>
      </w:r>
      <w:r>
        <w:rPr>
          <w:rFonts w:hint="eastAsia" w:ascii="宋体" w:hAnsi="宋体" w:cs="宋体"/>
          <w:szCs w:val="21"/>
          <w:lang w:val="en-US" w:eastAsia="zh-CN"/>
        </w:rPr>
        <w:t>)</w:t>
      </w:r>
      <w:r>
        <w:rPr>
          <w:rFonts w:hint="eastAsia" w:ascii="宋体" w:hAnsi="宋体" w:eastAsia="宋体" w:cs="宋体"/>
          <w:szCs w:val="21"/>
          <w:lang w:val="en-US" w:eastAsia="zh-CN"/>
        </w:rPr>
        <w:t>由于实验者的能力有限，未能利用现有知识随机挑选样本，所以挑选mRNA的过程有些随意，不够专业。</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Cs w:val="21"/>
          <w:lang w:val="en-US" w:eastAsia="zh-CN"/>
        </w:rPr>
      </w:pPr>
      <w:r>
        <w:rPr>
          <w:rFonts w:hint="eastAsia" w:ascii="宋体" w:hAnsi="宋体" w:cs="宋体"/>
          <w:szCs w:val="21"/>
          <w:lang w:val="en-US" w:eastAsia="zh-CN"/>
        </w:rPr>
        <w:t>(</w:t>
      </w:r>
      <w:r>
        <w:rPr>
          <w:rFonts w:hint="eastAsia" w:ascii="宋体" w:hAnsi="宋体" w:eastAsia="宋体" w:cs="宋体"/>
          <w:szCs w:val="21"/>
          <w:lang w:val="en-US" w:eastAsia="zh-CN"/>
        </w:rPr>
        <w:t>3</w:t>
      </w:r>
      <w:r>
        <w:rPr>
          <w:rFonts w:hint="eastAsia" w:ascii="宋体" w:hAnsi="宋体" w:cs="宋体"/>
          <w:szCs w:val="21"/>
          <w:lang w:val="en-US" w:eastAsia="zh-CN"/>
        </w:rPr>
        <w:t>)</w:t>
      </w:r>
      <w:r>
        <w:rPr>
          <w:rFonts w:hint="eastAsia" w:ascii="宋体" w:hAnsi="宋体" w:eastAsia="宋体" w:cs="宋体"/>
          <w:szCs w:val="21"/>
          <w:lang w:val="en-US" w:eastAsia="zh-CN"/>
        </w:rPr>
        <w:t xml:space="preserve">由于Galaxy的运行时间过长，而实验时间有限，所以SNP的比较只选取了人类Y染色体作为例子，以后要如有时间，应使用所有的染色体进行分析。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color w:val="FF0000"/>
        </w:rPr>
      </w:pPr>
    </w:p>
    <w:p>
      <w:pPr>
        <w:keepNext w:val="0"/>
        <w:keepLines w:val="0"/>
        <w:pageBreakBefore w:val="0"/>
        <w:kinsoku/>
        <w:wordWrap/>
        <w:overflowPunct/>
        <w:topLinePunct w:val="0"/>
        <w:autoSpaceDE/>
        <w:autoSpaceDN/>
        <w:bidi w:val="0"/>
        <w:adjustRightInd/>
        <w:snapToGrid/>
        <w:spacing w:line="300" w:lineRule="auto"/>
        <w:ind w:left="0" w:leftChars="0" w:right="0" w:rightChars="0"/>
        <w:rPr>
          <w:rFonts w:hint="eastAsia" w:ascii="宋体" w:hAnsi="宋体" w:eastAsia="宋体" w:cs="宋体"/>
          <w:bCs/>
          <w:sz w:val="24"/>
        </w:rPr>
      </w:pPr>
      <w:r>
        <w:rPr>
          <w:rFonts w:hint="eastAsia" w:ascii="宋体" w:hAnsi="宋体" w:eastAsia="宋体" w:cs="宋体"/>
          <w:bCs/>
          <w:sz w:val="24"/>
        </w:rPr>
        <w:t>6. 参考文献</w:t>
      </w:r>
    </w:p>
    <w:p>
      <w:pPr>
        <w:keepNext w:val="0"/>
        <w:keepLines w:val="0"/>
        <w:pageBreakBefore w:val="0"/>
        <w:kinsoku/>
        <w:wordWrap/>
        <w:overflowPunct/>
        <w:topLinePunct w:val="0"/>
        <w:autoSpaceDE/>
        <w:autoSpaceDN/>
        <w:bidi w:val="0"/>
        <w:adjustRightInd/>
        <w:snapToGrid/>
        <w:spacing w:line="300" w:lineRule="auto"/>
        <w:ind w:left="0" w:leftChars="0" w:right="0" w:rightChars="0" w:firstLine="210"/>
        <w:rPr>
          <w:rFonts w:hint="eastAsia" w:ascii="宋体" w:hAnsi="宋体" w:eastAsia="宋体" w:cs="宋体"/>
          <w:sz w:val="21"/>
          <w:lang w:val="en-US" w:eastAsia="zh-CN"/>
        </w:rPr>
      </w:pPr>
      <w:r>
        <w:rPr>
          <w:rFonts w:hint="eastAsia" w:ascii="宋体" w:hAnsi="宋体" w:eastAsia="宋体" w:cs="宋体"/>
          <w:szCs w:val="21"/>
          <w:lang w:val="en-US" w:eastAsia="zh-CN"/>
        </w:rPr>
        <w:t>[1]</w:t>
      </w:r>
      <w:r>
        <w:rPr>
          <w:rFonts w:hint="eastAsia" w:ascii="宋体" w:hAnsi="宋体" w:eastAsia="宋体" w:cs="宋体"/>
          <w:sz w:val="21"/>
        </w:rPr>
        <w:t>井深，张惠荣</w:t>
      </w:r>
      <w:r>
        <w:rPr>
          <w:rFonts w:hint="eastAsia" w:ascii="宋体" w:hAnsi="宋体" w:cs="宋体"/>
          <w:sz w:val="21"/>
          <w:lang w:val="en-US" w:eastAsia="zh-CN"/>
        </w:rPr>
        <w:t>.</w:t>
      </w:r>
      <w:r>
        <w:rPr>
          <w:rFonts w:hint="eastAsia" w:ascii="宋体" w:hAnsi="宋体" w:eastAsia="宋体" w:cs="宋体"/>
          <w:sz w:val="21"/>
          <w:lang w:eastAsia="zh-CN"/>
        </w:rPr>
        <w:t>长链非编码RNA 研究现状与趋势的文献计量分析</w:t>
      </w:r>
      <w:r>
        <w:rPr>
          <w:rFonts w:hint="eastAsia" w:ascii="宋体" w:hAnsi="宋体" w:cs="宋体"/>
          <w:sz w:val="21"/>
          <w:lang w:val="en-US" w:eastAsia="zh-CN"/>
        </w:rPr>
        <w:t>.</w:t>
      </w:r>
      <w:r>
        <w:rPr>
          <w:rFonts w:hint="eastAsia" w:ascii="宋体" w:hAnsi="宋体" w:eastAsia="宋体" w:cs="宋体"/>
          <w:sz w:val="21"/>
          <w:lang w:eastAsia="zh-CN"/>
        </w:rPr>
        <w:t>中华医学图书情报杂志</w:t>
      </w:r>
      <w:r>
        <w:rPr>
          <w:rFonts w:hint="eastAsia" w:ascii="宋体" w:hAnsi="宋体" w:cs="宋体"/>
          <w:sz w:val="21"/>
          <w:lang w:val="en-US" w:eastAsia="zh-CN"/>
        </w:rPr>
        <w:t>,</w:t>
      </w:r>
      <w:r>
        <w:rPr>
          <w:rFonts w:hint="eastAsia" w:ascii="宋体" w:hAnsi="宋体" w:eastAsia="宋体" w:cs="宋体"/>
          <w:sz w:val="21"/>
          <w:lang w:eastAsia="zh-CN"/>
        </w:rPr>
        <w:t>2012</w:t>
      </w:r>
      <w:r>
        <w:rPr>
          <w:rFonts w:hint="eastAsia" w:ascii="宋体" w:hAnsi="宋体" w:cs="宋体"/>
          <w:sz w:val="21"/>
          <w:lang w:val="en-US" w:eastAsia="zh-CN"/>
        </w:rPr>
        <w:t>,</w:t>
      </w:r>
      <w:r>
        <w:rPr>
          <w:rFonts w:hint="eastAsia" w:ascii="宋体" w:hAnsi="宋体" w:eastAsia="宋体" w:cs="宋体"/>
          <w:sz w:val="21"/>
          <w:lang w:eastAsia="zh-CN"/>
        </w:rPr>
        <w:t>21</w:t>
      </w:r>
      <w:r>
        <w:rPr>
          <w:rFonts w:hint="eastAsia" w:ascii="宋体" w:hAnsi="宋体" w:cs="宋体"/>
          <w:sz w:val="21"/>
          <w:lang w:val="en-US" w:eastAsia="zh-CN"/>
        </w:rPr>
        <w:t>(9)</w:t>
      </w:r>
      <w:r>
        <w:rPr>
          <w:rFonts w:hint="eastAsia" w:ascii="宋体" w:hAnsi="宋体" w:eastAsia="宋体" w:cs="宋体"/>
          <w:sz w:val="21"/>
          <w:lang w:eastAsia="zh-CN"/>
        </w:rPr>
        <w:t>：</w:t>
      </w:r>
      <w:r>
        <w:rPr>
          <w:rFonts w:hint="eastAsia" w:ascii="宋体" w:hAnsi="宋体" w:eastAsia="宋体" w:cs="宋体"/>
          <w:sz w:val="21"/>
          <w:lang w:val="en-US" w:eastAsia="zh-CN"/>
        </w:rPr>
        <w:t>54-56</w:t>
      </w:r>
    </w:p>
    <w:p>
      <w:pPr>
        <w:keepNext w:val="0"/>
        <w:keepLines w:val="0"/>
        <w:pageBreakBefore w:val="0"/>
        <w:kinsoku/>
        <w:wordWrap/>
        <w:overflowPunct/>
        <w:topLinePunct w:val="0"/>
        <w:autoSpaceDE/>
        <w:autoSpaceDN/>
        <w:bidi w:val="0"/>
        <w:adjustRightInd/>
        <w:snapToGrid/>
        <w:spacing w:line="300" w:lineRule="auto"/>
        <w:ind w:left="0" w:leftChars="0" w:right="0" w:rightChars="0" w:firstLine="210"/>
        <w:rPr>
          <w:rFonts w:hint="eastAsia" w:ascii="宋体" w:hAnsi="宋体" w:eastAsia="宋体" w:cs="宋体"/>
          <w:sz w:val="21"/>
          <w:lang w:val="en-US" w:eastAsia="zh-CN"/>
        </w:rPr>
      </w:pPr>
      <w:r>
        <w:rPr>
          <w:rFonts w:hint="eastAsia" w:ascii="宋体" w:hAnsi="宋体" w:eastAsia="宋体" w:cs="宋体"/>
          <w:sz w:val="21"/>
          <w:lang w:val="en-US" w:eastAsia="zh-CN"/>
        </w:rPr>
        <w:t>[2]王国强，卫宁，王禹等</w:t>
      </w:r>
      <w:r>
        <w:rPr>
          <w:rFonts w:hint="eastAsia" w:ascii="宋体" w:hAnsi="宋体" w:cs="宋体"/>
          <w:sz w:val="21"/>
          <w:lang w:val="en-US" w:eastAsia="zh-CN"/>
        </w:rPr>
        <w:t>.</w:t>
      </w:r>
      <w:r>
        <w:rPr>
          <w:rFonts w:hint="eastAsia" w:ascii="宋体" w:hAnsi="宋体" w:eastAsia="宋体" w:cs="宋体"/>
          <w:sz w:val="21"/>
          <w:lang w:val="en-US" w:eastAsia="zh-CN"/>
        </w:rPr>
        <w:t>长链非编码</w:t>
      </w:r>
      <w:r>
        <w:rPr>
          <w:rFonts w:hint="eastAsia" w:ascii="宋体" w:hAnsi="宋体" w:cs="宋体"/>
          <w:sz w:val="21"/>
          <w:lang w:val="en-US" w:eastAsia="zh-CN"/>
        </w:rPr>
        <w:t>RNA</w:t>
      </w:r>
      <w:r>
        <w:rPr>
          <w:rFonts w:hint="eastAsia" w:ascii="宋体" w:hAnsi="宋体" w:eastAsia="宋体" w:cs="宋体"/>
          <w:sz w:val="21"/>
          <w:lang w:val="en-US" w:eastAsia="zh-CN"/>
        </w:rPr>
        <w:t>的生物学功能研究进展</w:t>
      </w:r>
      <w:r>
        <w:rPr>
          <w:rFonts w:hint="eastAsia" w:ascii="宋体" w:hAnsi="宋体" w:cs="宋体"/>
          <w:sz w:val="21"/>
          <w:lang w:val="en-US" w:eastAsia="zh-CN"/>
        </w:rPr>
        <w:t>.</w:t>
      </w:r>
      <w:r>
        <w:rPr>
          <w:rFonts w:hint="eastAsia" w:ascii="宋体" w:hAnsi="宋体" w:eastAsia="宋体" w:cs="宋体"/>
          <w:sz w:val="21"/>
          <w:lang w:val="en-US" w:eastAsia="zh-CN"/>
        </w:rPr>
        <w:t>家畜生态学报</w:t>
      </w:r>
      <w:r>
        <w:rPr>
          <w:rFonts w:hint="eastAsia" w:ascii="宋体" w:hAnsi="宋体" w:cs="宋体"/>
          <w:sz w:val="21"/>
          <w:lang w:val="en-US" w:eastAsia="zh-CN"/>
        </w:rPr>
        <w:t>,</w:t>
      </w:r>
      <w:r>
        <w:rPr>
          <w:rFonts w:hint="eastAsia" w:ascii="宋体" w:hAnsi="宋体" w:eastAsia="宋体" w:cs="宋体"/>
          <w:sz w:val="21"/>
          <w:lang w:val="en-US" w:eastAsia="zh-CN"/>
        </w:rPr>
        <w:t>2014</w:t>
      </w:r>
      <w:r>
        <w:rPr>
          <w:rFonts w:hint="eastAsia" w:ascii="宋体" w:hAnsi="宋体" w:cs="宋体"/>
          <w:sz w:val="21"/>
          <w:lang w:val="en-US" w:eastAsia="zh-CN"/>
        </w:rPr>
        <w:t>,</w:t>
      </w:r>
      <w:r>
        <w:rPr>
          <w:rFonts w:hint="eastAsia" w:ascii="宋体" w:hAnsi="宋体" w:eastAsia="宋体" w:cs="宋体"/>
          <w:sz w:val="21"/>
          <w:lang w:val="en-US" w:eastAsia="zh-CN"/>
        </w:rPr>
        <w:t>35</w:t>
      </w:r>
      <w:r>
        <w:rPr>
          <w:rFonts w:hint="eastAsia" w:ascii="宋体" w:hAnsi="宋体" w:cs="宋体"/>
          <w:sz w:val="21"/>
          <w:lang w:val="en-US" w:eastAsia="zh-CN"/>
        </w:rPr>
        <w:t>(</w:t>
      </w:r>
      <w:r>
        <w:rPr>
          <w:rFonts w:hint="eastAsia" w:ascii="宋体" w:hAnsi="宋体" w:eastAsia="宋体" w:cs="宋体"/>
          <w:sz w:val="21"/>
          <w:lang w:val="en-US" w:eastAsia="zh-CN"/>
        </w:rPr>
        <w:t>3</w:t>
      </w:r>
      <w:r>
        <w:rPr>
          <w:rFonts w:hint="eastAsia" w:ascii="宋体" w:hAnsi="宋体" w:cs="宋体"/>
          <w:sz w:val="21"/>
          <w:lang w:val="en-US" w:eastAsia="zh-CN"/>
        </w:rPr>
        <w:t>)</w:t>
      </w:r>
      <w:r>
        <w:rPr>
          <w:rFonts w:hint="eastAsia" w:ascii="宋体" w:hAnsi="宋体" w:eastAsia="宋体" w:cs="宋体"/>
          <w:sz w:val="21"/>
          <w:lang w:val="en-US" w:eastAsia="zh-CN"/>
        </w:rPr>
        <w:t>：1-5</w:t>
      </w:r>
    </w:p>
    <w:p>
      <w:pPr>
        <w:keepNext w:val="0"/>
        <w:keepLines w:val="0"/>
        <w:pageBreakBefore w:val="0"/>
        <w:kinsoku/>
        <w:wordWrap/>
        <w:overflowPunct/>
        <w:topLinePunct w:val="0"/>
        <w:autoSpaceDE/>
        <w:autoSpaceDN/>
        <w:bidi w:val="0"/>
        <w:adjustRightInd/>
        <w:snapToGrid/>
        <w:spacing w:line="300" w:lineRule="auto"/>
        <w:ind w:left="0" w:leftChars="0" w:right="0" w:rightChars="0" w:firstLine="210"/>
        <w:rPr>
          <w:rFonts w:hint="eastAsia" w:ascii="宋体" w:hAnsi="宋体" w:eastAsia="宋体" w:cs="宋体"/>
          <w:sz w:val="21"/>
          <w:lang w:val="en-US" w:eastAsia="zh-CN"/>
        </w:rPr>
      </w:pPr>
      <w:r>
        <w:rPr>
          <w:rFonts w:hint="eastAsia" w:ascii="宋体" w:hAnsi="宋体" w:eastAsia="宋体" w:cs="宋体"/>
          <w:sz w:val="21"/>
          <w:lang w:val="en-US" w:eastAsia="zh-CN"/>
        </w:rPr>
        <w:t>[3]王婷梅，曲丽娜，李莹辉</w:t>
      </w:r>
      <w:r>
        <w:rPr>
          <w:rFonts w:hint="eastAsia" w:ascii="宋体" w:hAnsi="宋体" w:cs="宋体"/>
          <w:sz w:val="21"/>
          <w:lang w:val="en-US" w:eastAsia="zh-CN"/>
        </w:rPr>
        <w:t>.</w:t>
      </w:r>
      <w:r>
        <w:rPr>
          <w:rFonts w:hint="eastAsia" w:ascii="宋体" w:hAnsi="宋体" w:eastAsia="宋体" w:cs="宋体"/>
          <w:sz w:val="21"/>
          <w:lang w:val="en-US" w:eastAsia="zh-CN"/>
        </w:rPr>
        <w:t>lncRNA的结构、功能及其与疾病的关系</w:t>
      </w:r>
      <w:r>
        <w:rPr>
          <w:rFonts w:hint="eastAsia" w:ascii="宋体" w:hAnsi="宋体" w:cs="宋体"/>
          <w:sz w:val="21"/>
          <w:lang w:val="en-US" w:eastAsia="zh-CN"/>
        </w:rPr>
        <w:t>.</w:t>
      </w:r>
      <w:r>
        <w:rPr>
          <w:rFonts w:hint="eastAsia" w:ascii="宋体" w:hAnsi="宋体" w:eastAsia="宋体" w:cs="宋体"/>
          <w:sz w:val="21"/>
          <w:lang w:val="en-US" w:eastAsia="zh-CN"/>
        </w:rPr>
        <w:t>中国生物化学与分子生物学报</w:t>
      </w:r>
      <w:r>
        <w:rPr>
          <w:rFonts w:hint="eastAsia" w:ascii="宋体" w:hAnsi="宋体" w:cs="宋体"/>
          <w:sz w:val="21"/>
          <w:lang w:val="en-US" w:eastAsia="zh-CN"/>
        </w:rPr>
        <w:t>,</w:t>
      </w:r>
      <w:r>
        <w:rPr>
          <w:rFonts w:hint="eastAsia" w:ascii="宋体" w:hAnsi="宋体" w:eastAsia="宋体" w:cs="宋体"/>
          <w:sz w:val="21"/>
          <w:lang w:val="en-US" w:eastAsia="zh-CN"/>
        </w:rPr>
        <w:t>2015</w:t>
      </w:r>
      <w:r>
        <w:rPr>
          <w:rFonts w:hint="eastAsia" w:ascii="宋体" w:hAnsi="宋体" w:cs="宋体"/>
          <w:sz w:val="21"/>
          <w:lang w:val="en-US" w:eastAsia="zh-CN"/>
        </w:rPr>
        <w:t>,</w:t>
      </w:r>
      <w:r>
        <w:rPr>
          <w:rFonts w:hint="eastAsia" w:ascii="宋体" w:hAnsi="宋体" w:eastAsia="宋体" w:cs="宋体"/>
          <w:sz w:val="21"/>
          <w:lang w:val="en-US" w:eastAsia="zh-CN"/>
        </w:rPr>
        <w:t>31(7):659-666</w:t>
      </w:r>
    </w:p>
    <w:p>
      <w:pPr>
        <w:keepNext w:val="0"/>
        <w:keepLines w:val="0"/>
        <w:pageBreakBefore w:val="0"/>
        <w:kinsoku/>
        <w:wordWrap/>
        <w:overflowPunct/>
        <w:topLinePunct w:val="0"/>
        <w:autoSpaceDE/>
        <w:autoSpaceDN/>
        <w:bidi w:val="0"/>
        <w:adjustRightInd/>
        <w:snapToGrid/>
        <w:spacing w:line="300" w:lineRule="auto"/>
        <w:ind w:left="0" w:leftChars="0" w:right="0" w:rightChars="0" w:firstLine="210"/>
        <w:rPr>
          <w:rFonts w:hint="eastAsia" w:ascii="宋体" w:hAnsi="宋体" w:eastAsia="宋体" w:cs="宋体"/>
          <w:sz w:val="21"/>
          <w:lang w:val="en-US" w:eastAsia="zh-CN"/>
        </w:rPr>
      </w:pPr>
      <w:r>
        <w:rPr>
          <w:rFonts w:hint="eastAsia" w:ascii="宋体" w:hAnsi="宋体" w:eastAsia="宋体" w:cs="宋体"/>
          <w:sz w:val="21"/>
          <w:lang w:val="en-US" w:eastAsia="zh-CN"/>
        </w:rPr>
        <w:t>[4]夏天,肖丙秀,郭俊明</w:t>
      </w:r>
      <w:r>
        <w:rPr>
          <w:rFonts w:hint="eastAsia" w:ascii="宋体" w:hAnsi="宋体" w:cs="宋体"/>
          <w:sz w:val="21"/>
          <w:lang w:val="en-US" w:eastAsia="zh-CN"/>
        </w:rPr>
        <w:t>.</w:t>
      </w:r>
      <w:r>
        <w:rPr>
          <w:rFonts w:hint="eastAsia" w:ascii="宋体" w:hAnsi="宋体" w:eastAsia="宋体" w:cs="宋体"/>
          <w:sz w:val="21"/>
          <w:lang w:val="en-US" w:eastAsia="zh-CN"/>
        </w:rPr>
        <w:t>长链非编码RNA的作用机制及其研究方法</w:t>
      </w:r>
      <w:r>
        <w:rPr>
          <w:rFonts w:hint="eastAsia" w:ascii="宋体" w:hAnsi="宋体" w:cs="宋体"/>
          <w:sz w:val="21"/>
          <w:lang w:val="en-US" w:eastAsia="zh-CN"/>
        </w:rPr>
        <w:t>.</w:t>
      </w:r>
      <w:r>
        <w:rPr>
          <w:rFonts w:hint="eastAsia" w:ascii="宋体" w:hAnsi="宋体" w:eastAsia="宋体" w:cs="宋体"/>
          <w:sz w:val="21"/>
          <w:lang w:val="en-US" w:eastAsia="zh-CN"/>
        </w:rPr>
        <w:t>HEREDITAS (Beijing)</w:t>
      </w:r>
      <w:r>
        <w:rPr>
          <w:rFonts w:hint="eastAsia" w:ascii="宋体" w:hAnsi="宋体" w:cs="宋体"/>
          <w:sz w:val="21"/>
          <w:lang w:val="en-US" w:eastAsia="zh-CN"/>
        </w:rPr>
        <w:t>,</w:t>
      </w:r>
      <w:r>
        <w:rPr>
          <w:rFonts w:hint="eastAsia" w:ascii="宋体" w:hAnsi="宋体" w:eastAsia="宋体" w:cs="宋体"/>
          <w:sz w:val="21"/>
          <w:lang w:val="en-US" w:eastAsia="zh-CN"/>
        </w:rPr>
        <w:t xml:space="preserve">2013,35(3):269―280 </w:t>
      </w:r>
    </w:p>
    <w:p>
      <w:pPr>
        <w:keepNext w:val="0"/>
        <w:keepLines w:val="0"/>
        <w:pageBreakBefore w:val="0"/>
        <w:kinsoku/>
        <w:wordWrap/>
        <w:overflowPunct/>
        <w:topLinePunct w:val="0"/>
        <w:autoSpaceDE/>
        <w:autoSpaceDN/>
        <w:bidi w:val="0"/>
        <w:adjustRightInd/>
        <w:snapToGrid/>
        <w:spacing w:line="300" w:lineRule="auto"/>
        <w:ind w:left="0" w:leftChars="0" w:right="0" w:rightChars="0" w:firstLine="210"/>
        <w:rPr>
          <w:rFonts w:hint="eastAsia" w:ascii="宋体" w:hAnsi="宋体" w:eastAsia="宋体" w:cs="宋体"/>
          <w:color w:val="FF0000"/>
          <w:szCs w:val="21"/>
        </w:rPr>
      </w:pPr>
    </w:p>
    <w:sectPr>
      <w:headerReference r:id="rId3" w:type="default"/>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PMingLiU">
    <w:altName w:val="PMingLiU-ExtB"/>
    <w:panose1 w:val="02020300000000000000"/>
    <w:charset w:val="88"/>
    <w:family w:val="auto"/>
    <w:pitch w:val="default"/>
    <w:sig w:usb0="00000000" w:usb1="00000000" w:usb2="00000016" w:usb3="00000000" w:csb0="00100001" w:csb1="00000000"/>
  </w:font>
  <w:font w:name="MS UI Gothic">
    <w:altName w:val="Yu Gothic UI"/>
    <w:panose1 w:val="020B0600070205080204"/>
    <w:charset w:val="80"/>
    <w:family w:val="auto"/>
    <w:pitch w:val="default"/>
    <w:sig w:usb0="00000000" w:usb1="00000000" w:usb2="00000010" w:usb3="00000000" w:csb0="4002009F" w:csb1="DFD70000"/>
  </w:font>
  <w:font w:name="MS PGothic">
    <w:altName w:val="Yu Gothic UI"/>
    <w:panose1 w:val="020B0600070205080204"/>
    <w:charset w:val="80"/>
    <w:family w:val="auto"/>
    <w:pitch w:val="default"/>
    <w:sig w:usb0="00000000" w:usb1="00000000" w:usb2="00000010" w:usb3="00000000" w:csb0="4002009F" w:csb1="DFD70000"/>
  </w:font>
  <w:font w:name="MS Mincho">
    <w:panose1 w:val="02020609040205080304"/>
    <w:charset w:val="80"/>
    <w:family w:val="auto"/>
    <w:pitch w:val="default"/>
    <w:sig w:usb0="A00002BF" w:usb1="68C7FCFB" w:usb2="00000010" w:usb3="00000000" w:csb0="4002009F" w:csb1="DFD70000"/>
  </w:font>
  <w:font w:name="MS Gothic">
    <w:altName w:val="Yu Gothic UI"/>
    <w:panose1 w:val="020B0609070205080204"/>
    <w:charset w:val="80"/>
    <w:family w:val="auto"/>
    <w:pitch w:val="default"/>
    <w:sig w:usb0="00000000" w:usb1="00000000" w:usb2="00000010" w:usb3="00000000" w:csb0="4002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Outlook">
    <w:panose1 w:val="05010100010000000000"/>
    <w:charset w:val="00"/>
    <w:family w:val="auto"/>
    <w:pitch w:val="default"/>
    <w:sig w:usb0="00000000" w:usb1="00000000" w:usb2="00000000" w:usb3="00000000" w:csb0="80000000" w:csb1="00000000"/>
  </w:font>
  <w:font w:name="Monotype Corsiva">
    <w:panose1 w:val="03010101010201010101"/>
    <w:charset w:val="00"/>
    <w:family w:val="auto"/>
    <w:pitch w:val="default"/>
    <w:sig w:usb0="00000287" w:usb1="00000000" w:usb2="00000000" w:usb3="00000000" w:csb0="2000009F" w:csb1="DFD70000"/>
  </w:font>
  <w:font w:name="Modern No. 20">
    <w:panose1 w:val="02070704070505020303"/>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Latha">
    <w:altName w:val="Segoe UI Semilight"/>
    <w:panose1 w:val="02000400000000000000"/>
    <w:charset w:val="00"/>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b/>
        <w:bCs/>
      </w:rPr>
    </w:pPr>
    <w:r>
      <w:rPr>
        <w:rFonts w:hint="eastAsia"/>
        <w:b/>
        <w:bCs/>
      </w:rPr>
      <w:t>生物信息学课程设计论文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DE30F"/>
    <w:multiLevelType w:val="singleLevel"/>
    <w:tmpl w:val="58EDE3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38AF"/>
    <w:rsid w:val="000626A1"/>
    <w:rsid w:val="00105D9C"/>
    <w:rsid w:val="00301153"/>
    <w:rsid w:val="005A046D"/>
    <w:rsid w:val="005D53BA"/>
    <w:rsid w:val="007D703D"/>
    <w:rsid w:val="008067EA"/>
    <w:rsid w:val="00877ED5"/>
    <w:rsid w:val="00A67427"/>
    <w:rsid w:val="00C0773E"/>
    <w:rsid w:val="00C678A1"/>
    <w:rsid w:val="00C86678"/>
    <w:rsid w:val="00C96E8A"/>
    <w:rsid w:val="00CD3D78"/>
    <w:rsid w:val="00D57EF2"/>
    <w:rsid w:val="00DF5DA6"/>
    <w:rsid w:val="00F37D69"/>
    <w:rsid w:val="03EC7CED"/>
    <w:rsid w:val="0B201B76"/>
    <w:rsid w:val="0E40208E"/>
    <w:rsid w:val="0F700895"/>
    <w:rsid w:val="1BAC67F9"/>
    <w:rsid w:val="21FD19FF"/>
    <w:rsid w:val="23C92F4B"/>
    <w:rsid w:val="27C512CB"/>
    <w:rsid w:val="28ED550A"/>
    <w:rsid w:val="2A2A2773"/>
    <w:rsid w:val="2C137EF0"/>
    <w:rsid w:val="2D960F0C"/>
    <w:rsid w:val="37CD1AFB"/>
    <w:rsid w:val="3A7534FF"/>
    <w:rsid w:val="4514365C"/>
    <w:rsid w:val="48D44DFB"/>
    <w:rsid w:val="4CF84BE6"/>
    <w:rsid w:val="5911726D"/>
    <w:rsid w:val="65251493"/>
    <w:rsid w:val="67FC27A0"/>
    <w:rsid w:val="685C6141"/>
    <w:rsid w:val="7048187D"/>
    <w:rsid w:val="717A1017"/>
    <w:rsid w:val="724D3343"/>
    <w:rsid w:val="78A630A7"/>
    <w:rsid w:val="7BB35A87"/>
    <w:rsid w:val="7D7A0D4F"/>
    <w:rsid w:val="7DFA60CD"/>
    <w:rsid w:val="7E8742E3"/>
    <w:rsid w:val="7F1549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annotation subject"/>
    <w:basedOn w:val="4"/>
    <w:next w:val="4"/>
    <w:semiHidden/>
    <w:qFormat/>
    <w:uiPriority w:val="0"/>
    <w:rPr>
      <w:b/>
      <w:bCs/>
    </w:rPr>
  </w:style>
  <w:style w:type="paragraph" w:styleId="4">
    <w:name w:val="annotation text"/>
    <w:basedOn w:val="1"/>
    <w:semiHidden/>
    <w:qFormat/>
    <w:uiPriority w:val="0"/>
    <w:pPr>
      <w:jc w:val="left"/>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Documents%20and%20Settings\Administrator\&#26700;&#38754;\&#26032;&#24314;%20Microsoft%20Excel%2097-2003%20&#24037;&#20316;&#34920;.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Documents%20and%20Settings\Administrator\&#26700;&#38754;\&#32534;&#30721;&#28508;&#3302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ll\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平均编码潜能</a:t>
            </a:r>
            <a:endParaRPr altLang="en-US"/>
          </a:p>
        </c:rich>
      </c:tx>
      <c:layout/>
      <c:overlay val="0"/>
      <c:spPr>
        <a:noFill/>
        <a:ln>
          <a:noFill/>
        </a:ln>
        <a:effectLst/>
      </c:spPr>
    </c:title>
    <c:autoTitleDeleted val="0"/>
    <c:plotArea>
      <c:layout/>
      <c:barChart>
        <c:barDir val="col"/>
        <c:grouping val="clustered"/>
        <c:varyColors val="0"/>
        <c:ser>
          <c:idx val="0"/>
          <c:order val="0"/>
          <c:spPr>
            <a:solidFill>
              <a:schemeClr val="accent2"/>
            </a:solidFill>
            <a:ln>
              <a:noFill/>
            </a:ln>
            <a:effectLst/>
          </c:spPr>
          <c:invertIfNegative val="0"/>
          <c:dPt>
            <c:idx val="1"/>
            <c:invertIfNegative val="0"/>
            <c:bubble3D val="0"/>
            <c:spPr>
              <a:solidFill>
                <a:schemeClr val="accent1"/>
              </a:solidFill>
              <a:ln>
                <a:no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'[新建 Microsoft Excel 97-2003 工作表.xls]Sheet1'!$A$2:$A$3</c:f>
              <c:strCache>
                <c:ptCount val="2"/>
                <c:pt idx="0">
                  <c:v>mRNA</c:v>
                </c:pt>
                <c:pt idx="1">
                  <c:v>lncRNA</c:v>
                </c:pt>
              </c:strCache>
            </c:strRef>
          </c:cat>
          <c:val>
            <c:numRef>
              <c:f>'[新建 Microsoft Excel 97-2003 工作表.xls]Sheet1'!$B$2:$B$3</c:f>
              <c:numCache>
                <c:formatCode>0.00%</c:formatCode>
                <c:ptCount val="2"/>
                <c:pt idx="0">
                  <c:v>0.0348</c:v>
                </c:pt>
                <c:pt idx="1">
                  <c:v>0.0285</c:v>
                </c:pt>
              </c:numCache>
            </c:numRef>
          </c:val>
        </c:ser>
        <c:dLbls>
          <c:showLegendKey val="0"/>
          <c:showVal val="0"/>
          <c:showCatName val="0"/>
          <c:showSerName val="0"/>
          <c:showPercent val="0"/>
          <c:showBubbleSize val="0"/>
        </c:dLbls>
        <c:gapWidth val="219"/>
        <c:overlap val="-27"/>
        <c:axId val="675652730"/>
        <c:axId val="545494573"/>
      </c:barChart>
      <c:catAx>
        <c:axId val="67565273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5494573"/>
        <c:crosses val="autoZero"/>
        <c:auto val="1"/>
        <c:lblAlgn val="ctr"/>
        <c:lblOffset val="100"/>
        <c:noMultiLvlLbl val="0"/>
      </c:catAx>
      <c:valAx>
        <c:axId val="545494573"/>
        <c:scaling>
          <c:orientation val="minMax"/>
        </c:scaling>
        <c:delete val="0"/>
        <c:axPos val="l"/>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5652730"/>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编码潜能</a:t>
            </a:r>
            <a:endParaRPr altLang="en-US"/>
          </a:p>
        </c:rich>
      </c:tx>
      <c:layout/>
      <c:overlay val="0"/>
      <c:spPr>
        <a:noFill/>
        <a:ln>
          <a:noFill/>
        </a:ln>
        <a:effectLst/>
      </c:spPr>
    </c:title>
    <c:autoTitleDeleted val="0"/>
    <c:plotArea>
      <c:layout/>
      <c:barChart>
        <c:barDir val="col"/>
        <c:grouping val="clustered"/>
        <c:varyColors val="0"/>
        <c:ser>
          <c:idx val="0"/>
          <c:order val="0"/>
          <c:tx>
            <c:strRef>
              <c:f>[编码潜能.xlsx]Sheet1!$D$1</c:f>
              <c:strCache>
                <c:ptCount val="1"/>
                <c:pt idx="0">
                  <c:v>mRNA</c:v>
                </c:pt>
              </c:strCache>
            </c:strRef>
          </c:tx>
          <c:spPr>
            <a:solidFill>
              <a:schemeClr val="accent1"/>
            </a:solidFill>
            <a:ln>
              <a:noFill/>
            </a:ln>
            <a:effectLst/>
          </c:spPr>
          <c:invertIfNegative val="0"/>
          <c:dLbls>
            <c:delete val="1"/>
          </c:dLbls>
          <c:cat>
            <c:strRef>
              <c:f>[编码潜能.xlsx]Sheet1!$A$2:$A$25</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X</c:v>
                </c:pt>
                <c:pt idx="23">
                  <c:v>Y</c:v>
                </c:pt>
              </c:strCache>
            </c:strRef>
          </c:cat>
          <c:val>
            <c:numRef>
              <c:f>[编码潜能.xlsx]Sheet1!$D$2:$D$25</c:f>
              <c:numCache>
                <c:formatCode>0.00%</c:formatCode>
                <c:ptCount val="24"/>
                <c:pt idx="0">
                  <c:v>0.044</c:v>
                </c:pt>
                <c:pt idx="1">
                  <c:v>0.0365</c:v>
                </c:pt>
                <c:pt idx="2">
                  <c:v>0.021</c:v>
                </c:pt>
                <c:pt idx="3">
                  <c:v>0.029</c:v>
                </c:pt>
                <c:pt idx="4">
                  <c:v>0.0785</c:v>
                </c:pt>
                <c:pt idx="5">
                  <c:v>0.053</c:v>
                </c:pt>
                <c:pt idx="6">
                  <c:v>0.011</c:v>
                </c:pt>
                <c:pt idx="7">
                  <c:v>0.0205</c:v>
                </c:pt>
                <c:pt idx="8">
                  <c:v>0.021</c:v>
                </c:pt>
                <c:pt idx="9">
                  <c:v>0.0395</c:v>
                </c:pt>
                <c:pt idx="10">
                  <c:v>0.0465</c:v>
                </c:pt>
                <c:pt idx="11">
                  <c:v>0.0255</c:v>
                </c:pt>
                <c:pt idx="12">
                  <c:v>0.03</c:v>
                </c:pt>
                <c:pt idx="13">
                  <c:v>0.045</c:v>
                </c:pt>
                <c:pt idx="14">
                  <c:v>0.023</c:v>
                </c:pt>
                <c:pt idx="15">
                  <c:v>0.0355</c:v>
                </c:pt>
                <c:pt idx="16">
                  <c:v>0.049</c:v>
                </c:pt>
                <c:pt idx="17">
                  <c:v>0.0165</c:v>
                </c:pt>
                <c:pt idx="18">
                  <c:v>0.059</c:v>
                </c:pt>
                <c:pt idx="19">
                  <c:v>0.0315</c:v>
                </c:pt>
                <c:pt idx="20">
                  <c:v>0.0225</c:v>
                </c:pt>
                <c:pt idx="21">
                  <c:v>0.049</c:v>
                </c:pt>
                <c:pt idx="22">
                  <c:v>0.028</c:v>
                </c:pt>
                <c:pt idx="23">
                  <c:v>0.019</c:v>
                </c:pt>
              </c:numCache>
            </c:numRef>
          </c:val>
        </c:ser>
        <c:ser>
          <c:idx val="1"/>
          <c:order val="1"/>
          <c:tx>
            <c:strRef>
              <c:f>[编码潜能.xlsx]Sheet1!$E$1</c:f>
              <c:strCache>
                <c:ptCount val="1"/>
                <c:pt idx="0">
                  <c:v>lncRNA</c:v>
                </c:pt>
              </c:strCache>
            </c:strRef>
          </c:tx>
          <c:spPr>
            <a:solidFill>
              <a:schemeClr val="accent2"/>
            </a:solidFill>
            <a:ln>
              <a:noFill/>
            </a:ln>
            <a:effectLst/>
          </c:spPr>
          <c:invertIfNegative val="0"/>
          <c:dLbls>
            <c:delete val="1"/>
          </c:dLbls>
          <c:cat>
            <c:strRef>
              <c:f>[编码潜能.xlsx]Sheet1!$A$2:$A$25</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X</c:v>
                </c:pt>
                <c:pt idx="23">
                  <c:v>Y</c:v>
                </c:pt>
              </c:strCache>
            </c:strRef>
          </c:cat>
          <c:val>
            <c:numRef>
              <c:f>[编码潜能.xlsx]Sheet1!$E$2:$E$25</c:f>
              <c:numCache>
                <c:formatCode>0.00%</c:formatCode>
                <c:ptCount val="24"/>
                <c:pt idx="0">
                  <c:v>0.0243</c:v>
                </c:pt>
                <c:pt idx="1">
                  <c:v>0.0189</c:v>
                </c:pt>
                <c:pt idx="2">
                  <c:v>0.0186</c:v>
                </c:pt>
                <c:pt idx="3">
                  <c:v>0.0204</c:v>
                </c:pt>
                <c:pt idx="4">
                  <c:v>0.024</c:v>
                </c:pt>
                <c:pt idx="5">
                  <c:v>0.022</c:v>
                </c:pt>
                <c:pt idx="6">
                  <c:v>0.0317</c:v>
                </c:pt>
                <c:pt idx="7">
                  <c:v>0.0242</c:v>
                </c:pt>
                <c:pt idx="8">
                  <c:v>0.0284</c:v>
                </c:pt>
                <c:pt idx="9">
                  <c:v>0.0204</c:v>
                </c:pt>
                <c:pt idx="10">
                  <c:v>0.0346</c:v>
                </c:pt>
                <c:pt idx="11">
                  <c:v>0.0241</c:v>
                </c:pt>
                <c:pt idx="12">
                  <c:v>0.0119</c:v>
                </c:pt>
                <c:pt idx="13">
                  <c:v>0.0215</c:v>
                </c:pt>
                <c:pt idx="14">
                  <c:v>0.0211</c:v>
                </c:pt>
                <c:pt idx="15">
                  <c:v>0.0465</c:v>
                </c:pt>
                <c:pt idx="16">
                  <c:v>0.0385</c:v>
                </c:pt>
                <c:pt idx="17">
                  <c:v>0.048</c:v>
                </c:pt>
                <c:pt idx="18">
                  <c:v>0.061</c:v>
                </c:pt>
                <c:pt idx="19">
                  <c:v>0.03</c:v>
                </c:pt>
                <c:pt idx="20">
                  <c:v>0.0258</c:v>
                </c:pt>
                <c:pt idx="21">
                  <c:v>0.0495</c:v>
                </c:pt>
                <c:pt idx="22">
                  <c:v>0.0282</c:v>
                </c:pt>
                <c:pt idx="23">
                  <c:v>0.0113</c:v>
                </c:pt>
              </c:numCache>
            </c:numRef>
          </c:val>
        </c:ser>
        <c:dLbls>
          <c:showLegendKey val="0"/>
          <c:showVal val="0"/>
          <c:showCatName val="0"/>
          <c:showSerName val="0"/>
          <c:showPercent val="0"/>
          <c:showBubbleSize val="0"/>
        </c:dLbls>
        <c:gapWidth val="219"/>
        <c:overlap val="-27"/>
        <c:axId val="688586905"/>
        <c:axId val="537252710"/>
      </c:barChart>
      <c:catAx>
        <c:axId val="68858690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7252710"/>
        <c:crosses val="autoZero"/>
        <c:auto val="1"/>
        <c:lblAlgn val="ctr"/>
        <c:lblOffset val="100"/>
        <c:noMultiLvlLbl val="0"/>
      </c:catAx>
      <c:valAx>
        <c:axId val="537252710"/>
        <c:scaling>
          <c:orientation val="minMax"/>
        </c:scaling>
        <c:delete val="0"/>
        <c:axPos val="l"/>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8586905"/>
        <c:crosses val="autoZero"/>
        <c:crossBetween val="between"/>
      </c:valAx>
      <c:spPr>
        <a:noFill/>
        <a:ln w="3175">
          <a:noFill/>
        </a:ln>
        <a:effectLst/>
      </c:spPr>
    </c:plotArea>
    <c:legend>
      <c:legendPos val="b"/>
      <c:layout>
        <c:manualLayout>
          <c:xMode val="edge"/>
          <c:yMode val="edge"/>
          <c:x val="0.43016393442623"/>
          <c:y val="0.913770180436847"/>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ysClr val="windowText" lastClr="000000">
                  <a:lumMod val="65000"/>
                  <a:lumOff val="35000"/>
                </a:sysClr>
              </a:solidFill>
              <a:latin typeface="Calibri" panose="020F0502020204030204" pitchFamily="2" charset="0"/>
              <a:ea typeface="宋体" panose="02010600030101010101" charset="-122"/>
              <a:cs typeface="+mn-ea"/>
            </a:defRPr>
          </a:pPr>
        </a:p>
      </c:txPr>
    </c:title>
    <c:autoTitleDeleted val="0"/>
    <c:plotArea>
      <c:layout>
        <c:manualLayout>
          <c:layoutTarget val="inner"/>
          <c:xMode val="edge"/>
          <c:yMode val="edge"/>
          <c:x val="0.0692186017083202"/>
          <c:y val="0.209016393442623"/>
          <c:w val="0.894400506168934"/>
          <c:h val="0.658852459016393"/>
        </c:manualLayout>
      </c:layout>
      <c:barChart>
        <c:barDir val="col"/>
        <c:grouping val="clustered"/>
        <c:varyColors val="0"/>
        <c:ser>
          <c:idx val="0"/>
          <c:order val="0"/>
          <c:tx>
            <c:strRef>
              <c:f>'[新建 Microsoft Excel 工作表.xlsx]Sheet3'!$B$1</c:f>
              <c:strCache>
                <c:ptCount val="1"/>
                <c:pt idx="0">
                  <c:v>平均SNP数目</c:v>
                </c:pt>
              </c:strCache>
            </c:strRef>
          </c:tx>
          <c:spPr>
            <a:solidFill>
              <a:schemeClr val="accent1"/>
            </a:solidFill>
            <a:ln>
              <a:noFill/>
            </a:ln>
            <a:effectLst/>
          </c:spPr>
          <c:invertIfNegative val="0"/>
          <c:dPt>
            <c:idx val="0"/>
            <c:invertIfNegative val="0"/>
            <c:bubble3D val="0"/>
            <c:spPr>
              <a:solidFill>
                <a:schemeClr val="accent2"/>
              </a:solidFill>
              <a:ln>
                <a:solidFill>
                  <a:schemeClr val="bg1"/>
                </a:solidFill>
              </a:ln>
              <a:effectLst/>
            </c:spPr>
          </c:dPt>
          <c:dPt>
            <c:idx val="1"/>
            <c:invertIfNegative val="0"/>
            <c:bubble3D val="0"/>
            <c:spPr>
              <a:solidFill>
                <a:schemeClr val="accent1"/>
              </a:solidFill>
              <a:ln>
                <a:no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Calibri" panose="020F0502020204030204" pitchFamily="2" charset="0"/>
                    <a:ea typeface="宋体" panose="02010600030101010101" charset="-122"/>
                    <a:cs typeface="+mn-ea"/>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strRef>
              <c:f>'[新建 Microsoft Excel 工作表.xlsx]Sheet3'!$A$2:$A$3</c:f>
              <c:strCache>
                <c:ptCount val="2"/>
                <c:pt idx="0">
                  <c:v>mRNA_Y</c:v>
                </c:pt>
                <c:pt idx="1">
                  <c:v>lncRNA_Y</c:v>
                </c:pt>
              </c:strCache>
            </c:strRef>
          </c:cat>
          <c:val>
            <c:numRef>
              <c:f>'[新建 Microsoft Excel 工作表.xlsx]Sheet3'!$B$2:$B$3</c:f>
              <c:numCache>
                <c:formatCode>General</c:formatCode>
                <c:ptCount val="2"/>
                <c:pt idx="0">
                  <c:v>2.88</c:v>
                </c:pt>
                <c:pt idx="1">
                  <c:v>10.45</c:v>
                </c:pt>
              </c:numCache>
            </c:numRef>
          </c:val>
        </c:ser>
        <c:dLbls>
          <c:showLegendKey val="0"/>
          <c:showVal val="1"/>
          <c:showCatName val="0"/>
          <c:showSerName val="0"/>
          <c:showPercent val="0"/>
          <c:showBubbleSize val="0"/>
        </c:dLbls>
        <c:gapWidth val="219"/>
        <c:overlap val="-27"/>
        <c:axId val="422023692"/>
        <c:axId val="260867556"/>
      </c:barChart>
      <c:catAx>
        <c:axId val="422023692"/>
        <c:scaling>
          <c:orientation val="minMax"/>
        </c:scaling>
        <c:delete val="0"/>
        <c:axPos val="b"/>
        <c:majorTickMark val="none"/>
        <c:minorTickMark val="none"/>
        <c:tickLblPos val="nextTo"/>
        <c:spPr>
          <a:solidFill>
            <a:schemeClr val="bg1"/>
          </a:solid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Calibri" panose="020F0502020204030204" pitchFamily="2" charset="0"/>
                <a:ea typeface="宋体" panose="02010600030101010101" charset="-122"/>
                <a:cs typeface="+mn-ea"/>
              </a:defRPr>
            </a:pPr>
          </a:p>
        </c:txPr>
        <c:crossAx val="260867556"/>
        <c:crosses val="autoZero"/>
        <c:auto val="1"/>
        <c:lblAlgn val="ctr"/>
        <c:lblOffset val="100"/>
        <c:noMultiLvlLbl val="0"/>
      </c:catAx>
      <c:valAx>
        <c:axId val="260867556"/>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Calibri" panose="020F0502020204030204" pitchFamily="2" charset="0"/>
                <a:ea typeface="宋体" panose="02010600030101010101" charset="-122"/>
                <a:cs typeface="+mn-ea"/>
              </a:defRPr>
            </a:pPr>
          </a:p>
        </c:txPr>
        <c:crossAx val="422023692"/>
        <c:crosses val="autoZero"/>
        <c:crossBetween val="between"/>
      </c:valAx>
      <c:spPr>
        <a:noFill/>
        <a:ln>
          <a:noFill/>
        </a:ln>
        <a:effectLst/>
      </c:spPr>
    </c:plotArea>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课程设计论文模板.dot</Template>
  <Pages>2</Pages>
  <Words>1040</Words>
  <Characters>1185</Characters>
  <Lines>13</Lines>
  <Paragraphs>3</Paragraphs>
  <ScaleCrop>false</ScaleCrop>
  <LinksUpToDate>false</LinksUpToDate>
  <CharactersWithSpaces>1259</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2017-04-07T02:58:00Z</dcterms:created>
  <dc:creator>Administrator</dc:creator>
  <cp:lastModifiedBy>dell</cp:lastModifiedBy>
  <dcterms:modified xsi:type="dcterms:W3CDTF">2017-04-17T14:43:37Z</dcterms:modified>
  <dc:title>[在此处键入论文中文题目]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