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65D"/>
          <w:sz w:val="58"/>
        </w:rPr>
        <w:t>AI Worker Platform</w:t>
      </w:r>
    </w:p>
    <w:p>
      <w:pPr>
        <w:jc w:val="center"/>
      </w:pPr>
      <w:r>
        <w:rPr>
          <w:rFonts w:ascii="Aptos Display" w:hAnsi="Aptos Display"/>
          <w:b/>
          <w:color w:val="0F6B78"/>
          <w:sz w:val="42"/>
        </w:rPr>
        <w:t>Technical Architecture and Business Logic Reference</w:t>
      </w:r>
    </w:p>
    <w:p>
      <w:pPr>
        <w:jc w:val="center"/>
      </w:pPr>
      <w:r>
        <w:rPr>
          <w:rFonts w:ascii="Aptos" w:hAnsi="Aptos"/>
          <w:i/>
          <w:color w:val="52616B"/>
          <w:sz w:val="26"/>
        </w:rPr>
        <w:t>Worker Skill Platform Pattern and RAN PR Worker Integration Baseline</w:t>
      </w:r>
    </w:p>
    <w:p/>
    <w:tbl>
      <w:tblPr>
        <w:tblStyle w:val="TableGrid"/>
        <w:tblW w:type="auto" w:w="0"/>
        <w:jc w:val="center"/>
        <w:tblLook w:firstColumn="1" w:firstRow="1" w:lastColumn="0" w:lastRow="0" w:noHBand="0" w:noVBand="1" w:val="04A0"/>
      </w:tblPr>
      <w:tblGrid>
        <w:gridCol w:w="5083"/>
        <w:gridCol w:w="5083"/>
      </w:tblGrid>
      <w:tr>
        <w:tc>
          <w:tcPr>
            <w:tcW w:type="dxa" w:w="5083"/>
            <w:shd w:fill="17365D"/>
            <w:tcMar>
              <w:top w:w="90" w:type="dxa"/>
              <w:start w:w="90" w:type="dxa"/>
              <w:bottom w:w="90" w:type="dxa"/>
              <w:end w:w="90" w:type="dxa"/>
            </w:tcMar>
          </w:tcPr>
          <w:p>
            <w:r>
              <w:rPr>
                <w:rFonts w:ascii="Aptos" w:hAnsi="Aptos"/>
                <w:b/>
                <w:color w:val="FFFFFF"/>
                <w:sz w:val="20"/>
              </w:rPr>
              <w:t>Document Version</w:t>
            </w:r>
          </w:p>
        </w:tc>
        <w:tc>
          <w:tcPr>
            <w:tcW w:type="dxa" w:w="5083"/>
            <w:tcMar>
              <w:top w:w="90" w:type="dxa"/>
              <w:start w:w="90" w:type="dxa"/>
              <w:bottom w:w="90" w:type="dxa"/>
              <w:end w:w="90" w:type="dxa"/>
            </w:tcMar>
          </w:tcPr>
          <w:p>
            <w:r>
              <w:rPr>
                <w:rFonts w:ascii="Aptos" w:hAnsi="Aptos"/>
                <w:sz w:val="20"/>
              </w:rPr>
              <w:t>v0.1 - Architecture Baseline</w:t>
            </w:r>
          </w:p>
        </w:tc>
      </w:tr>
      <w:tr>
        <w:tc>
          <w:tcPr>
            <w:tcW w:type="dxa" w:w="5083"/>
            <w:shd w:fill="17365D"/>
            <w:tcMar>
              <w:top w:w="90" w:type="dxa"/>
              <w:start w:w="90" w:type="dxa"/>
              <w:bottom w:w="90" w:type="dxa"/>
              <w:end w:w="90" w:type="dxa"/>
            </w:tcMar>
          </w:tcPr>
          <w:p>
            <w:r>
              <w:rPr>
                <w:rFonts w:ascii="Aptos" w:hAnsi="Aptos"/>
                <w:b/>
                <w:color w:val="FFFFFF"/>
                <w:sz w:val="20"/>
              </w:rPr>
              <w:t>Document Status</w:t>
            </w:r>
          </w:p>
        </w:tc>
        <w:tc>
          <w:tcPr>
            <w:tcW w:type="dxa" w:w="5083"/>
            <w:tcMar>
              <w:top w:w="90" w:type="dxa"/>
              <w:start w:w="90" w:type="dxa"/>
              <w:bottom w:w="90" w:type="dxa"/>
              <w:end w:w="90" w:type="dxa"/>
            </w:tcMar>
          </w:tcPr>
          <w:p>
            <w:r>
              <w:rPr>
                <w:rFonts w:ascii="Aptos" w:hAnsi="Aptos"/>
                <w:sz w:val="20"/>
              </w:rPr>
              <w:t>Approved design decisions; implementation pending</w:t>
            </w:r>
          </w:p>
        </w:tc>
      </w:tr>
      <w:tr>
        <w:tc>
          <w:tcPr>
            <w:tcW w:type="dxa" w:w="5083"/>
            <w:shd w:fill="17365D"/>
            <w:tcMar>
              <w:top w:w="90" w:type="dxa"/>
              <w:start w:w="90" w:type="dxa"/>
              <w:bottom w:w="90" w:type="dxa"/>
              <w:end w:w="90" w:type="dxa"/>
            </w:tcMar>
          </w:tcPr>
          <w:p>
            <w:r>
              <w:rPr>
                <w:rFonts w:ascii="Aptos" w:hAnsi="Aptos"/>
                <w:b/>
                <w:color w:val="FFFFFF"/>
                <w:sz w:val="20"/>
              </w:rPr>
              <w:t>Primary Scope</w:t>
            </w:r>
          </w:p>
        </w:tc>
        <w:tc>
          <w:tcPr>
            <w:tcW w:type="dxa" w:w="5083"/>
            <w:tcMar>
              <w:top w:w="90" w:type="dxa"/>
              <w:start w:w="90" w:type="dxa"/>
              <w:bottom w:w="90" w:type="dxa"/>
              <w:end w:w="90" w:type="dxa"/>
            </w:tcMar>
          </w:tcPr>
          <w:p>
            <w:r>
              <w:rPr>
                <w:rFonts w:ascii="Aptos" w:hAnsi="Aptos"/>
                <w:sz w:val="20"/>
              </w:rPr>
              <w:t>AI Worker Platform worker-skill model and RAN PR Worker v1</w:t>
            </w:r>
          </w:p>
        </w:tc>
      </w:tr>
      <w:tr>
        <w:tc>
          <w:tcPr>
            <w:tcW w:type="dxa" w:w="5083"/>
            <w:shd w:fill="17365D"/>
            <w:tcMar>
              <w:top w:w="90" w:type="dxa"/>
              <w:start w:w="90" w:type="dxa"/>
              <w:bottom w:w="90" w:type="dxa"/>
              <w:end w:w="90" w:type="dxa"/>
            </w:tcMar>
          </w:tcPr>
          <w:p>
            <w:r>
              <w:rPr>
                <w:rFonts w:ascii="Aptos" w:hAnsi="Aptos"/>
                <w:b/>
                <w:color w:val="FFFFFF"/>
                <w:sz w:val="20"/>
              </w:rPr>
              <w:t>Reference Date</w:t>
            </w:r>
          </w:p>
        </w:tc>
        <w:tc>
          <w:tcPr>
            <w:tcW w:type="dxa" w:w="5083"/>
            <w:tcMar>
              <w:top w:w="90" w:type="dxa"/>
              <w:start w:w="90" w:type="dxa"/>
              <w:bottom w:w="90" w:type="dxa"/>
              <w:end w:w="90" w:type="dxa"/>
            </w:tcMar>
          </w:tcPr>
          <w:p>
            <w:r>
              <w:rPr>
                <w:rFonts w:ascii="Aptos" w:hAnsi="Aptos"/>
                <w:sz w:val="20"/>
              </w:rPr>
              <w:t>25 June 2026</w:t>
            </w:r>
          </w:p>
        </w:tc>
      </w:tr>
    </w:tbl>
    <w:p/>
    <w:tbl>
      <w:tblPr>
        <w:tblW w:type="auto" w:w="0"/>
        <w:jc w:val="center"/>
        <w:tblLook w:firstColumn="1" w:firstRow="1" w:lastColumn="0" w:lastRow="0" w:noHBand="0" w:noVBand="1" w:val="04A0"/>
      </w:tblPr>
      <w:tblGrid>
        <w:gridCol w:w="10166"/>
      </w:tblGrid>
      <w:tr>
        <w:tc>
          <w:tcPr>
            <w:tcW w:type="dxa" w:w="10166"/>
            <w:shd w:fill="FFF7E6"/>
            <w:tcMar>
              <w:top w:w="130" w:type="dxa"/>
              <w:start w:w="160" w:type="dxa"/>
              <w:bottom w:w="130" w:type="dxa"/>
              <w:end w:w="160" w:type="dxa"/>
            </w:tcMar>
          </w:tcPr>
          <w:p>
            <w:pPr>
              <w:spacing w:after="40"/>
            </w:pPr>
            <w:r>
              <w:rPr>
                <w:rFonts w:ascii="Aptos" w:hAnsi="Aptos"/>
                <w:b/>
                <w:color w:val="B07D24"/>
                <w:sz w:val="20"/>
              </w:rPr>
              <w:t>Purpose</w:t>
            </w:r>
          </w:p>
          <w:p>
            <w:pPr>
              <w:spacing w:after="0"/>
            </w:pPr>
            <w:r>
              <w:rPr>
                <w:rFonts w:ascii="Aptos" w:hAnsi="Aptos"/>
                <w:sz w:val="19"/>
              </w:rPr>
              <w:t>This reference preserves the architecture, business rules, governance decisions, execution boundaries and acceptance model agreed before unattended development. It is deliberately explicit about which items are confirmed decisions, target design, or still require Phase 0 verification.</w:t>
            </w:r>
          </w:p>
        </w:tc>
      </w:tr>
    </w:tbl>
    <w:p>
      <w:pPr>
        <w:spacing w:after="40"/>
      </w:pPr>
    </w:p>
    <w:p>
      <w:pPr>
        <w:jc w:val="center"/>
      </w:pPr>
      <w:r>
        <w:rPr>
          <w:rFonts w:ascii="Aptos" w:hAnsi="Aptos"/>
          <w:i/>
          <w:color w:val="52616B"/>
          <w:sz w:val="19"/>
        </w:rPr>
        <w:t>Prepared for future worker onboarding, RAN engine upgrades, operational support and architecture review.</w:t>
      </w:r>
    </w:p>
    <w:p>
      <w:r>
        <w:rPr>
          <w:rFonts w:ascii="Aptos" w:hAnsi="Aptos"/>
          <w:sz w:val="21"/>
        </w:rPr>
        <w:br w:type="page"/>
      </w:r>
    </w:p>
    <w:p>
      <w:pPr>
        <w:pStyle w:val="Heading1"/>
        <w:spacing w:before="280" w:after="100"/>
      </w:pPr>
      <w:r>
        <w:rPr>
          <w:rFonts w:ascii="Aptos" w:hAnsi="Aptos"/>
          <w:b/>
          <w:color w:val="17365D"/>
          <w:sz w:val="30"/>
        </w:rPr>
        <w:t>1. Document Control and Reading Guide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90" w:type="dxa"/>
              <w:start w:w="90" w:type="dxa"/>
              <w:bottom w:w="90" w:type="dxa"/>
              <w:end w:w="90" w:type="dxa"/>
            </w:tcMar>
            <w:vAlign w:val="center"/>
          </w:tcPr>
          <w:p>
            <w:pPr>
              <w:jc w:val="left"/>
            </w:pPr>
            <w:r/>
            <w:r>
              <w:rPr>
                <w:rFonts w:ascii="Aptos" w:hAnsi="Aptos"/>
                <w:b/>
                <w:color w:val="FFFFFF"/>
                <w:sz w:val="18"/>
              </w:rPr>
              <w:t>Category</w:t>
            </w:r>
          </w:p>
        </w:tc>
        <w:tc>
          <w:tcPr>
            <w:tcW w:type="dxa" w:w="8136"/>
            <w:shd w:fill="17365D"/>
            <w:tcMar>
              <w:top w:w="90" w:type="dxa"/>
              <w:start w:w="90" w:type="dxa"/>
              <w:bottom w:w="90" w:type="dxa"/>
              <w:end w:w="90" w:type="dxa"/>
            </w:tcMar>
            <w:vAlign w:val="center"/>
          </w:tcPr>
          <w:p>
            <w:pPr>
              <w:jc w:val="left"/>
            </w:pPr>
            <w:r/>
            <w:r>
              <w:rPr>
                <w:rFonts w:ascii="Aptos" w:hAnsi="Aptos"/>
                <w:b/>
                <w:color w:val="FFFFFF"/>
                <w:sz w:val="18"/>
              </w:rPr>
              <w:t>Meaning</w:t>
            </w:r>
          </w:p>
        </w:tc>
      </w:tr>
      <w:tr>
        <w:tc>
          <w:tcPr>
            <w:tcW w:type="dxa" w:w="2232"/>
            <w:tcMar>
              <w:top w:w="90" w:type="dxa"/>
              <w:start w:w="90" w:type="dxa"/>
              <w:bottom w:w="90" w:type="dxa"/>
              <w:end w:w="90" w:type="dxa"/>
            </w:tcMar>
          </w:tcPr>
          <w:p>
            <w:pPr>
              <w:spacing w:after="20" w:line="240" w:lineRule="auto"/>
            </w:pPr>
            <w:r/>
            <w:r>
              <w:rPr>
                <w:rFonts w:ascii="Aptos" w:hAnsi="Aptos"/>
                <w:sz w:val="18"/>
              </w:rPr>
              <w:t>Confirmed decision</w:t>
            </w:r>
          </w:p>
        </w:tc>
        <w:tc>
          <w:tcPr>
            <w:tcW w:type="dxa" w:w="8136"/>
            <w:tcMar>
              <w:top w:w="90" w:type="dxa"/>
              <w:start w:w="90" w:type="dxa"/>
              <w:bottom w:w="90" w:type="dxa"/>
              <w:end w:w="90" w:type="dxa"/>
            </w:tcMar>
          </w:tcPr>
          <w:p>
            <w:pPr>
              <w:spacing w:after="20" w:line="240" w:lineRule="auto"/>
            </w:pPr>
            <w:r/>
            <w:r>
              <w:rPr>
                <w:rFonts w:ascii="Aptos" w:hAnsi="Aptos"/>
                <w:sz w:val="18"/>
              </w:rPr>
              <w:t>Agreed architecture or governance rule; implementation must follow it unless formally superseded.</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Target design</w:t>
            </w:r>
          </w:p>
        </w:tc>
        <w:tc>
          <w:tcPr>
            <w:tcW w:type="dxa" w:w="8136"/>
            <w:tcMar>
              <w:top w:w="90" w:type="dxa"/>
              <w:start w:w="90" w:type="dxa"/>
              <w:bottom w:w="90" w:type="dxa"/>
              <w:end w:w="90" w:type="dxa"/>
            </w:tcMar>
            <w:shd w:fill="F7FAFC"/>
          </w:tcPr>
          <w:p>
            <w:pPr>
              <w:spacing w:after="20" w:line="240" w:lineRule="auto"/>
            </w:pPr>
            <w:r/>
            <w:r>
              <w:rPr>
                <w:rFonts w:ascii="Aptos" w:hAnsi="Aptos"/>
                <w:sz w:val="18"/>
              </w:rPr>
              <w:t>Expected platform behavior after the RAN PR Worker integration is delivered.</w:t>
            </w:r>
          </w:p>
        </w:tc>
      </w:tr>
      <w:tr>
        <w:tc>
          <w:tcPr>
            <w:tcW w:type="dxa" w:w="2232"/>
            <w:tcMar>
              <w:top w:w="90" w:type="dxa"/>
              <w:start w:w="90" w:type="dxa"/>
              <w:bottom w:w="90" w:type="dxa"/>
              <w:end w:w="90" w:type="dxa"/>
            </w:tcMar>
          </w:tcPr>
          <w:p>
            <w:pPr>
              <w:spacing w:after="20" w:line="240" w:lineRule="auto"/>
            </w:pPr>
            <w:r/>
            <w:r>
              <w:rPr>
                <w:rFonts w:ascii="Aptos" w:hAnsi="Aptos"/>
                <w:sz w:val="18"/>
              </w:rPr>
              <w:t>Phase 0 verification</w:t>
            </w:r>
          </w:p>
        </w:tc>
        <w:tc>
          <w:tcPr>
            <w:tcW w:type="dxa" w:w="8136"/>
            <w:tcMar>
              <w:top w:w="90" w:type="dxa"/>
              <w:start w:w="90" w:type="dxa"/>
              <w:bottom w:w="90" w:type="dxa"/>
              <w:end w:w="90" w:type="dxa"/>
            </w:tcMar>
          </w:tcPr>
          <w:p>
            <w:pPr>
              <w:spacing w:after="20" w:line="240" w:lineRule="auto"/>
            </w:pPr>
            <w:r/>
            <w:r>
              <w:rPr>
                <w:rFonts w:ascii="Aptos" w:hAnsi="Aptos"/>
                <w:sz w:val="18"/>
              </w:rPr>
              <w:t>A fact that must be confirmed from the actual codebase before relying on it in implementation.</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Deferred scope</w:t>
            </w:r>
          </w:p>
        </w:tc>
        <w:tc>
          <w:tcPr>
            <w:tcW w:type="dxa" w:w="8136"/>
            <w:tcMar>
              <w:top w:w="90" w:type="dxa"/>
              <w:start w:w="90" w:type="dxa"/>
              <w:bottom w:w="90" w:type="dxa"/>
              <w:end w:w="90" w:type="dxa"/>
            </w:tcMar>
            <w:shd w:fill="F7FAFC"/>
          </w:tcPr>
          <w:p>
            <w:pPr>
              <w:spacing w:after="20" w:line="240" w:lineRule="auto"/>
            </w:pPr>
            <w:r/>
            <w:r>
              <w:rPr>
                <w:rFonts w:ascii="Aptos" w:hAnsi="Aptos"/>
                <w:sz w:val="18"/>
              </w:rPr>
              <w:t>Known capability intentionally excluded from RAN PR Worker v1.</w:t>
            </w:r>
          </w:p>
        </w:tc>
      </w:tr>
    </w:tbl>
    <w:p>
      <w:pPr>
        <w:spacing w:after="60"/>
      </w:pPr>
    </w:p>
    <w:p>
      <w:pPr>
        <w:spacing w:after="120" w:line="259" w:lineRule="auto"/>
      </w:pPr>
      <w:r>
        <w:rPr>
          <w:rFonts w:ascii="Aptos" w:hAnsi="Aptos"/>
          <w:sz w:val="21"/>
        </w:rPr>
        <w:t>This document is intentionally both a technical architecture reference and a business-logic contract. It should be read together with the final implementation ADR, worker manifest, upgrade runbook and verification evidence produced during the unattended development mission.</w:t>
      </w:r>
    </w:p>
    <w:p>
      <w:pPr>
        <w:pStyle w:val="Heading1"/>
        <w:spacing w:before="280" w:after="100"/>
      </w:pPr>
      <w:r>
        <w:rPr>
          <w:rFonts w:ascii="Aptos" w:hAnsi="Aptos"/>
          <w:b/>
          <w:color w:val="17365D"/>
          <w:sz w:val="30"/>
        </w:rPr>
        <w:t>2. Executive Summary</w:t>
      </w:r>
    </w:p>
    <w:p>
      <w:pPr>
        <w:spacing w:after="120" w:line="259" w:lineRule="auto"/>
      </w:pPr>
      <w:r>
        <w:rPr>
          <w:rFonts w:ascii="Aptos" w:hAnsi="Aptos"/>
          <w:sz w:val="21"/>
        </w:rPr>
        <w:t>AI Worker Platform is the long-term product and runtime layer for domain-specific digital workers. It provides the common user experience and operational controls: Vue user interfaces, Express APIs, job creation, queueing, persistence, history, job detail, progress reporting, download handling, ZIP packaging, audit visibility and safe failure diagnosis.</w:t>
      </w:r>
    </w:p>
    <w:p>
      <w:pPr>
        <w:spacing w:after="120" w:line="259" w:lineRule="auto"/>
      </w:pPr>
      <w:r>
        <w:rPr>
          <w:rFonts w:ascii="Aptos" w:hAnsi="Aptos"/>
          <w:sz w:val="21"/>
        </w:rPr>
        <w:t>The RAN repository create-pr-cd-ran remains the RAN team's source of truth for business rules, Python processing logic, configuration assets, templates and approved samples. The platform must not merge Git histories or duplicate the RAN repository. Instead, it integrates a pinned upstream version as a controlled engine dependency and wraps it with a platform-owned Worker Skill Adapter.</w:t>
      </w:r>
    </w:p>
    <w:tbl>
      <w:tblPr>
        <w:tblW w:type="auto" w:w="0"/>
        <w:jc w:val="center"/>
        <w:tblLook w:firstColumn="1" w:firstRow="1" w:lastColumn="0" w:lastRow="0" w:noHBand="0" w:noVBand="1" w:val="04A0"/>
      </w:tblPr>
      <w:tblGrid>
        <w:gridCol w:w="10166"/>
      </w:tblGrid>
      <w:tr>
        <w:tc>
          <w:tcPr>
            <w:tcW w:type="dxa" w:w="10166"/>
            <w:shd w:fill="EAF3F6"/>
            <w:tcMar>
              <w:top w:w="130" w:type="dxa"/>
              <w:start w:w="160" w:type="dxa"/>
              <w:bottom w:w="130" w:type="dxa"/>
              <w:end w:w="160" w:type="dxa"/>
            </w:tcMar>
          </w:tcPr>
          <w:p>
            <w:pPr>
              <w:spacing w:after="40"/>
            </w:pPr>
            <w:r>
              <w:rPr>
                <w:rFonts w:ascii="Aptos" w:hAnsi="Aptos"/>
                <w:b/>
                <w:color w:val="17365D"/>
                <w:sz w:val="20"/>
              </w:rPr>
              <w:t>Architecture decision</w:t>
            </w:r>
          </w:p>
          <w:p>
            <w:pPr>
              <w:spacing w:after="0"/>
            </w:pPr>
            <w:r>
              <w:rPr>
                <w:rFonts w:ascii="Aptos" w:hAnsi="Aptos"/>
                <w:sz w:val="19"/>
              </w:rPr>
              <w:t>The platform owns the runtime and product lifecycle. The upstream RAN engine owns RAN calculation rules. Python engines do not write Firebase or MongoDB directly; the platform backend owns persistence, authorization boundaries, job lifecycle and user-facing error behavior.</w:t>
            </w:r>
          </w:p>
        </w:tc>
      </w:tr>
    </w:tbl>
    <w:p>
      <w:pPr>
        <w:spacing w:after="40"/>
      </w:pPr>
    </w:p>
    <w:p>
      <w:pPr>
        <w:pStyle w:val="Heading1"/>
        <w:spacing w:before="280" w:after="100"/>
      </w:pPr>
      <w:r>
        <w:rPr>
          <w:rFonts w:ascii="Aptos" w:hAnsi="Aptos"/>
          <w:b/>
          <w:color w:val="17365D"/>
          <w:sz w:val="30"/>
        </w:rPr>
        <w:t>3. Scope and Non-Goals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68"/>
            <w:shd w:fill="17365D"/>
            <w:tcMar>
              <w:top w:w="90" w:type="dxa"/>
              <w:start w:w="90" w:type="dxa"/>
              <w:bottom w:w="90" w:type="dxa"/>
              <w:end w:w="90" w:type="dxa"/>
            </w:tcMar>
            <w:vAlign w:val="center"/>
          </w:tcPr>
          <w:p>
            <w:pPr>
              <w:jc w:val="left"/>
            </w:pPr>
            <w:r/>
            <w:r>
              <w:rPr>
                <w:rFonts w:ascii="Aptos" w:hAnsi="Aptos"/>
                <w:b/>
                <w:color w:val="FFFFFF"/>
                <w:sz w:val="18"/>
              </w:rPr>
              <w:t>In Scope</w:t>
            </w:r>
          </w:p>
        </w:tc>
        <w:tc>
          <w:tcPr>
            <w:tcW w:type="dxa" w:w="5400"/>
            <w:shd w:fill="17365D"/>
            <w:tcMar>
              <w:top w:w="90" w:type="dxa"/>
              <w:start w:w="90" w:type="dxa"/>
              <w:bottom w:w="90" w:type="dxa"/>
              <w:end w:w="90" w:type="dxa"/>
            </w:tcMar>
            <w:vAlign w:val="center"/>
          </w:tcPr>
          <w:p>
            <w:pPr>
              <w:jc w:val="left"/>
            </w:pPr>
            <w:r/>
            <w:r>
              <w:rPr>
                <w:rFonts w:ascii="Aptos" w:hAnsi="Aptos"/>
                <w:b/>
                <w:color w:val="FFFFFF"/>
                <w:sz w:val="18"/>
              </w:rPr>
              <w:t>Explicitly Out of Scope</w:t>
            </w:r>
          </w:p>
        </w:tc>
      </w:tr>
      <w:tr>
        <w:tc>
          <w:tcPr>
            <w:tcW w:type="dxa" w:w="4968"/>
            <w:tcMar>
              <w:top w:w="90" w:type="dxa"/>
              <w:start w:w="90" w:type="dxa"/>
              <w:bottom w:w="90" w:type="dxa"/>
              <w:end w:w="90" w:type="dxa"/>
            </w:tcMar>
          </w:tcPr>
          <w:p>
            <w:pPr>
              <w:spacing w:after="20" w:line="240" w:lineRule="auto"/>
            </w:pPr>
            <w:r/>
            <w:r>
              <w:rPr>
                <w:rFonts w:ascii="Aptos" w:hAnsi="Aptos"/>
                <w:sz w:val="18"/>
              </w:rPr>
              <w:t>RAN PR Worker v1: Standard PR and General Item</w:t>
            </w:r>
          </w:p>
        </w:tc>
        <w:tc>
          <w:tcPr>
            <w:tcW w:type="dxa" w:w="5400"/>
            <w:tcMar>
              <w:top w:w="90" w:type="dxa"/>
              <w:start w:w="90" w:type="dxa"/>
              <w:bottom w:w="90" w:type="dxa"/>
              <w:end w:w="90" w:type="dxa"/>
            </w:tcMar>
          </w:tcPr>
          <w:p>
            <w:pPr>
              <w:spacing w:after="20" w:line="240" w:lineRule="auto"/>
            </w:pPr>
            <w:r/>
            <w:r>
              <w:rPr>
                <w:rFonts w:ascii="Aptos" w:hAnsi="Aptos"/>
                <w:sz w:val="18"/>
              </w:rPr>
              <w:t>RAN BOM Comparison in v1</w:t>
            </w:r>
          </w:p>
        </w:tc>
      </w:tr>
      <w:tr>
        <w:tc>
          <w:tcPr>
            <w:tcW w:type="dxa" w:w="4968"/>
            <w:tcMar>
              <w:top w:w="90" w:type="dxa"/>
              <w:start w:w="90" w:type="dxa"/>
              <w:bottom w:w="90" w:type="dxa"/>
              <w:end w:w="90" w:type="dxa"/>
            </w:tcMar>
            <w:shd w:fill="F7FAFC"/>
          </w:tcPr>
          <w:p>
            <w:pPr>
              <w:spacing w:after="20" w:line="240" w:lineRule="auto"/>
            </w:pPr>
            <w:r/>
            <w:r>
              <w:rPr>
                <w:rFonts w:ascii="Aptos" w:hAnsi="Aptos"/>
                <w:sz w:val="18"/>
              </w:rPr>
              <w:t>Platform-native RAN UI and shared job lifecycle</w:t>
            </w:r>
          </w:p>
        </w:tc>
        <w:tc>
          <w:tcPr>
            <w:tcW w:type="dxa" w:w="5400"/>
            <w:tcMar>
              <w:top w:w="90" w:type="dxa"/>
              <w:start w:w="90" w:type="dxa"/>
              <w:bottom w:w="90" w:type="dxa"/>
              <w:end w:w="90" w:type="dxa"/>
            </w:tcMar>
            <w:shd w:fill="F7FAFC"/>
          </w:tcPr>
          <w:p>
            <w:pPr>
              <w:spacing w:after="20" w:line="240" w:lineRule="auto"/>
            </w:pPr>
            <w:r/>
            <w:r>
              <w:rPr>
                <w:rFonts w:ascii="Aptos" w:hAnsi="Aptos"/>
                <w:sz w:val="18"/>
              </w:rPr>
              <w:t>Embedding the RAN prototype FastAPI application</w:t>
            </w:r>
          </w:p>
        </w:tc>
      </w:tr>
      <w:tr>
        <w:tc>
          <w:tcPr>
            <w:tcW w:type="dxa" w:w="4968"/>
            <w:tcMar>
              <w:top w:w="90" w:type="dxa"/>
              <w:start w:w="90" w:type="dxa"/>
              <w:bottom w:w="90" w:type="dxa"/>
              <w:end w:w="90" w:type="dxa"/>
            </w:tcMar>
          </w:tcPr>
          <w:p>
            <w:pPr>
              <w:spacing w:after="20" w:line="240" w:lineRule="auto"/>
            </w:pPr>
            <w:r/>
            <w:r>
              <w:rPr>
                <w:rFonts w:ascii="Aptos" w:hAnsi="Aptos"/>
                <w:sz w:val="18"/>
              </w:rPr>
              <w:t>Pinned RAN engine submodule and upgrade governance</w:t>
            </w:r>
          </w:p>
        </w:tc>
        <w:tc>
          <w:tcPr>
            <w:tcW w:type="dxa" w:w="5400"/>
            <w:tcMar>
              <w:top w:w="90" w:type="dxa"/>
              <w:start w:w="90" w:type="dxa"/>
              <w:bottom w:w="90" w:type="dxa"/>
              <w:end w:w="90" w:type="dxa"/>
            </w:tcMar>
          </w:tcPr>
          <w:p>
            <w:pPr>
              <w:spacing w:after="20" w:line="240" w:lineRule="auto"/>
            </w:pPr>
            <w:r/>
            <w:r>
              <w:rPr>
                <w:rFonts w:ascii="Aptos" w:hAnsi="Aptos"/>
                <w:sz w:val="18"/>
              </w:rPr>
              <w:t>Reusing RAN prototype HTML/CSS/JS as production UI</w:t>
            </w:r>
          </w:p>
        </w:tc>
      </w:tr>
      <w:tr>
        <w:tc>
          <w:tcPr>
            <w:tcW w:type="dxa" w:w="4968"/>
            <w:tcMar>
              <w:top w:w="90" w:type="dxa"/>
              <w:start w:w="90" w:type="dxa"/>
              <w:bottom w:w="90" w:type="dxa"/>
              <w:end w:w="90" w:type="dxa"/>
            </w:tcMar>
            <w:shd w:fill="F7FAFC"/>
          </w:tcPr>
          <w:p>
            <w:pPr>
              <w:spacing w:after="20" w:line="240" w:lineRule="auto"/>
            </w:pPr>
            <w:r/>
            <w:r>
              <w:rPr>
                <w:rFonts w:ascii="Aptos" w:hAnsi="Aptos"/>
                <w:sz w:val="18"/>
              </w:rPr>
              <w:t>Worker Registry, manifests and adapters</w:t>
            </w:r>
          </w:p>
        </w:tc>
        <w:tc>
          <w:tcPr>
            <w:tcW w:type="dxa" w:w="5400"/>
            <w:tcMar>
              <w:top w:w="90" w:type="dxa"/>
              <w:start w:w="90" w:type="dxa"/>
              <w:bottom w:w="90" w:type="dxa"/>
              <w:end w:w="90" w:type="dxa"/>
            </w:tcMar>
            <w:shd w:fill="F7FAFC"/>
          </w:tcPr>
          <w:p>
            <w:pPr>
              <w:spacing w:after="20" w:line="240" w:lineRule="auto"/>
            </w:pPr>
            <w:r/>
            <w:r>
              <w:rPr>
                <w:rFonts w:ascii="Aptos" w:hAnsi="Aptos"/>
                <w:sz w:val="18"/>
              </w:rPr>
              <w:t>Merging upstream Git history into AI Worker Platform</w:t>
            </w:r>
          </w:p>
        </w:tc>
      </w:tr>
      <w:tr>
        <w:tc>
          <w:tcPr>
            <w:tcW w:type="dxa" w:w="4968"/>
            <w:tcMar>
              <w:top w:w="90" w:type="dxa"/>
              <w:start w:w="90" w:type="dxa"/>
              <w:bottom w:w="90" w:type="dxa"/>
              <w:end w:w="90" w:type="dxa"/>
            </w:tcMar>
          </w:tcPr>
          <w:p>
            <w:pPr>
              <w:spacing w:after="20" w:line="240" w:lineRule="auto"/>
            </w:pPr>
            <w:r/>
            <w:r>
              <w:rPr>
                <w:rFonts w:ascii="Aptos" w:hAnsi="Aptos"/>
                <w:sz w:val="18"/>
              </w:rPr>
              <w:t>Per-job isolated execution and golden tests</w:t>
            </w:r>
          </w:p>
        </w:tc>
        <w:tc>
          <w:tcPr>
            <w:tcW w:type="dxa" w:w="5400"/>
            <w:tcMar>
              <w:top w:w="90" w:type="dxa"/>
              <w:start w:w="90" w:type="dxa"/>
              <w:bottom w:w="90" w:type="dxa"/>
              <w:end w:w="90" w:type="dxa"/>
            </w:tcMar>
          </w:tcPr>
          <w:p>
            <w:pPr>
              <w:spacing w:after="20" w:line="240" w:lineRule="auto"/>
            </w:pPr>
            <w:r/>
            <w:r>
              <w:rPr>
                <w:rFonts w:ascii="Aptos" w:hAnsi="Aptos"/>
                <w:sz w:val="18"/>
              </w:rPr>
              <w:t>Direct Firebase/Mongo access from RAN Python</w:t>
            </w:r>
          </w:p>
        </w:tc>
      </w:tr>
      <w:tr>
        <w:tc>
          <w:tcPr>
            <w:tcW w:type="dxa" w:w="4968"/>
            <w:tcMar>
              <w:top w:w="90" w:type="dxa"/>
              <w:start w:w="90" w:type="dxa"/>
              <w:bottom w:w="90" w:type="dxa"/>
              <w:end w:w="90" w:type="dxa"/>
            </w:tcMar>
            <w:shd w:fill="F7FAFC"/>
          </w:tcPr>
          <w:p>
            <w:pPr>
              <w:spacing w:after="20" w:line="240" w:lineRule="auto"/>
            </w:pPr>
            <w:r/>
            <w:r>
              <w:rPr>
                <w:rFonts w:ascii="Aptos" w:hAnsi="Aptos"/>
                <w:sz w:val="18"/>
              </w:rPr>
              <w:t>Shared history, detail, audit/file metadata and safe failures</w:t>
            </w:r>
          </w:p>
        </w:tc>
        <w:tc>
          <w:tcPr>
            <w:tcW w:type="dxa" w:w="5400"/>
            <w:tcMar>
              <w:top w:w="90" w:type="dxa"/>
              <w:start w:w="90" w:type="dxa"/>
              <w:bottom w:w="90" w:type="dxa"/>
              <w:end w:w="90" w:type="dxa"/>
            </w:tcMar>
            <w:shd w:fill="F7FAFC"/>
          </w:tcPr>
          <w:p>
            <w:pPr>
              <w:spacing w:after="20" w:line="240" w:lineRule="auto"/>
            </w:pPr>
            <w:r/>
            <w:r>
              <w:rPr>
                <w:rFonts w:ascii="Aptos" w:hAnsi="Aptos"/>
                <w:sz w:val="18"/>
              </w:rPr>
              <w:t>A general persistence migration or unrelated platform rewrite</w:t>
            </w:r>
          </w:p>
        </w:tc>
      </w:tr>
    </w:tbl>
    <w:p>
      <w:pPr>
        <w:spacing w:after="60"/>
      </w:pPr>
    </w:p>
    <w:p>
      <w:pPr>
        <w:pStyle w:val="Heading1"/>
        <w:spacing w:before="280" w:after="100"/>
      </w:pPr>
      <w:r>
        <w:rPr>
          <w:rFonts w:ascii="Aptos" w:hAnsi="Aptos"/>
          <w:b/>
          <w:color w:val="17365D"/>
          <w:sz w:val="30"/>
        </w:rPr>
        <w:t>4. Target Architecture</w:t>
      </w:r>
    </w:p>
    <w:p>
      <w:pPr>
        <w:spacing w:after="120" w:line="259" w:lineRule="auto"/>
      </w:pPr>
      <w:r>
        <w:rPr>
          <w:rFonts w:ascii="Aptos" w:hAnsi="Aptos"/>
          <w:sz w:val="21"/>
        </w:rPr>
        <w:t>The target is a product-centric, multi-worker platform. Individual engines are trusted only through explicit registry entries and manifests. This prevents arbitrary code execution while allowing additional domain workers to be onboarded predictably.</w:t>
      </w:r>
    </w:p>
    <w:p>
      <w:r>
        <w:rPr>
          <w:rFonts w:ascii="Aptos" w:hAnsi="Aptos"/>
          <w:sz w:val="21"/>
        </w:rPr>
        <w:drawing>
          <wp:inline xmlns:a="http://schemas.openxmlformats.org/drawingml/2006/main" xmlns:pic="http://schemas.openxmlformats.org/drawingml/2006/picture">
            <wp:extent cx="6263640" cy="3131820"/>
            <wp:docPr id="1" name="Picture 1"/>
            <wp:cNvGraphicFramePr>
              <a:graphicFrameLocks noChangeAspect="1"/>
            </wp:cNvGraphicFramePr>
            <a:graphic>
              <a:graphicData uri="http://schemas.openxmlformats.org/drawingml/2006/picture">
                <pic:pic>
                  <pic:nvPicPr>
                    <pic:cNvPr id="0" name="ai_worker_platform_target_architecture.png"/>
                    <pic:cNvPicPr/>
                  </pic:nvPicPr>
                  <pic:blipFill>
                    <a:blip r:embed="rId11"/>
                    <a:stretch>
                      <a:fillRect/>
                    </a:stretch>
                  </pic:blipFill>
                  <pic:spPr>
                    <a:xfrm>
                      <a:off x="0" y="0"/>
                      <a:ext cx="6263640" cy="3131820"/>
                    </a:xfrm>
                    <a:prstGeom prst="rect"/>
                  </pic:spPr>
                </pic:pic>
              </a:graphicData>
            </a:graphic>
          </wp:inline>
        </w:drawing>
      </w:r>
    </w:p>
    <w:p>
      <w:pPr>
        <w:jc w:val="center"/>
      </w:pPr>
      <w:r>
        <w:rPr>
          <w:rFonts w:ascii="Aptos" w:hAnsi="Aptos"/>
          <w:i/>
          <w:color w:val="52616B"/>
          <w:sz w:val="18"/>
        </w:rPr>
        <w:t>Figure 1. Target Worker Skill Architecture</w:t>
      </w:r>
    </w:p>
    <w:p>
      <w:pPr>
        <w:pStyle w:val="Heading2"/>
        <w:spacing w:before="180" w:after="100"/>
      </w:pPr>
      <w:r>
        <w:rPr>
          <w:rFonts w:ascii="Aptos" w:hAnsi="Aptos"/>
          <w:b/>
          <w:color w:val="17365D"/>
          <w:sz w:val="24"/>
        </w:rPr>
        <w:t>4.1 Component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65D"/>
            <w:tcMar>
              <w:top w:w="90" w:type="dxa"/>
              <w:start w:w="90" w:type="dxa"/>
              <w:bottom w:w="90" w:type="dxa"/>
              <w:end w:w="90" w:type="dxa"/>
            </w:tcMar>
            <w:vAlign w:val="center"/>
          </w:tcPr>
          <w:p>
            <w:pPr>
              <w:jc w:val="left"/>
            </w:pPr>
            <w:r/>
            <w:r>
              <w:rPr>
                <w:rFonts w:ascii="Aptos" w:hAnsi="Aptos"/>
                <w:b/>
                <w:color w:val="FFFFFF"/>
                <w:sz w:val="17"/>
              </w:rPr>
              <w:t>Component</w:t>
            </w:r>
          </w:p>
        </w:tc>
        <w:tc>
          <w:tcPr>
            <w:tcW w:type="dxa" w:w="4896"/>
            <w:shd w:fill="17365D"/>
            <w:tcMar>
              <w:top w:w="90" w:type="dxa"/>
              <w:start w:w="90" w:type="dxa"/>
              <w:bottom w:w="90" w:type="dxa"/>
              <w:end w:w="90" w:type="dxa"/>
            </w:tcMar>
            <w:vAlign w:val="center"/>
          </w:tcPr>
          <w:p>
            <w:pPr>
              <w:jc w:val="left"/>
            </w:pPr>
            <w:r/>
            <w:r>
              <w:rPr>
                <w:rFonts w:ascii="Aptos" w:hAnsi="Aptos"/>
                <w:b/>
                <w:color w:val="FFFFFF"/>
                <w:sz w:val="17"/>
              </w:rPr>
              <w:t>Primary responsibility</w:t>
            </w:r>
          </w:p>
        </w:tc>
        <w:tc>
          <w:tcPr>
            <w:tcW w:type="dxa" w:w="3528"/>
            <w:shd w:fill="17365D"/>
            <w:tcMar>
              <w:top w:w="90" w:type="dxa"/>
              <w:start w:w="90" w:type="dxa"/>
              <w:bottom w:w="90" w:type="dxa"/>
              <w:end w:w="90" w:type="dxa"/>
            </w:tcMar>
            <w:vAlign w:val="center"/>
          </w:tcPr>
          <w:p>
            <w:pPr>
              <w:jc w:val="left"/>
            </w:pPr>
            <w:r/>
            <w:r>
              <w:rPr>
                <w:rFonts w:ascii="Aptos" w:hAnsi="Aptos"/>
                <w:b/>
                <w:color w:val="FFFFFF"/>
                <w:sz w:val="17"/>
              </w:rPr>
              <w:t>Must not do</w:t>
            </w:r>
          </w:p>
        </w:tc>
      </w:tr>
      <w:tr>
        <w:tc>
          <w:tcPr>
            <w:tcW w:type="dxa" w:w="1944"/>
            <w:tcMar>
              <w:top w:w="90" w:type="dxa"/>
              <w:start w:w="90" w:type="dxa"/>
              <w:bottom w:w="90" w:type="dxa"/>
              <w:end w:w="90" w:type="dxa"/>
            </w:tcMar>
          </w:tcPr>
          <w:p>
            <w:pPr>
              <w:spacing w:after="20" w:line="240" w:lineRule="auto"/>
            </w:pPr>
            <w:r/>
            <w:r>
              <w:rPr>
                <w:rFonts w:ascii="Aptos" w:hAnsi="Aptos"/>
                <w:sz w:val="17"/>
              </w:rPr>
              <w:t>Worker engine</w:t>
            </w:r>
          </w:p>
        </w:tc>
        <w:tc>
          <w:tcPr>
            <w:tcW w:type="dxa" w:w="4896"/>
            <w:tcMar>
              <w:top w:w="90" w:type="dxa"/>
              <w:start w:w="90" w:type="dxa"/>
              <w:bottom w:w="90" w:type="dxa"/>
              <w:end w:w="90" w:type="dxa"/>
            </w:tcMar>
          </w:tcPr>
          <w:p>
            <w:pPr>
              <w:spacing w:after="20" w:line="240" w:lineRule="auto"/>
            </w:pPr>
            <w:r/>
            <w:r>
              <w:rPr>
                <w:rFonts w:ascii="Aptos" w:hAnsi="Aptos"/>
                <w:sz w:val="17"/>
              </w:rPr>
              <w:t>Execute domain-specific rules, mappings, calculations and workbook generation.</w:t>
            </w:r>
          </w:p>
        </w:tc>
        <w:tc>
          <w:tcPr>
            <w:tcW w:type="dxa" w:w="3528"/>
            <w:tcMar>
              <w:top w:w="90" w:type="dxa"/>
              <w:start w:w="90" w:type="dxa"/>
              <w:bottom w:w="90" w:type="dxa"/>
              <w:end w:w="90" w:type="dxa"/>
            </w:tcMar>
          </w:tcPr>
          <w:p>
            <w:pPr>
              <w:spacing w:after="20" w:line="240" w:lineRule="auto"/>
            </w:pPr>
            <w:r/>
            <w:r>
              <w:rPr>
                <w:rFonts w:ascii="Aptos" w:hAnsi="Aptos"/>
                <w:sz w:val="17"/>
              </w:rPr>
              <w:t>Own platform persistence, authorization, UI routing or shared job history.</w:t>
            </w:r>
          </w:p>
        </w:tc>
      </w:tr>
      <w:tr>
        <w:tc>
          <w:tcPr>
            <w:tcW w:type="dxa" w:w="1944"/>
            <w:tcMar>
              <w:top w:w="90" w:type="dxa"/>
              <w:start w:w="90" w:type="dxa"/>
              <w:bottom w:w="90" w:type="dxa"/>
              <w:end w:w="90" w:type="dxa"/>
            </w:tcMar>
            <w:shd w:fill="F7FAFC"/>
          </w:tcPr>
          <w:p>
            <w:pPr>
              <w:spacing w:after="20" w:line="240" w:lineRule="auto"/>
            </w:pPr>
            <w:r/>
            <w:r>
              <w:rPr>
                <w:rFonts w:ascii="Aptos" w:hAnsi="Aptos"/>
                <w:sz w:val="17"/>
              </w:rPr>
              <w:t>Worker manifest</w:t>
            </w:r>
          </w:p>
        </w:tc>
        <w:tc>
          <w:tcPr>
            <w:tcW w:type="dxa" w:w="4896"/>
            <w:tcMar>
              <w:top w:w="90" w:type="dxa"/>
              <w:start w:w="90" w:type="dxa"/>
              <w:bottom w:w="90" w:type="dxa"/>
              <w:end w:w="90" w:type="dxa"/>
            </w:tcMar>
            <w:shd w:fill="F7FAFC"/>
          </w:tcPr>
          <w:p>
            <w:pPr>
              <w:spacing w:after="20" w:line="240" w:lineRule="auto"/>
            </w:pPr>
            <w:r/>
            <w:r>
              <w:rPr>
                <w:rFonts w:ascii="Aptos" w:hAnsi="Aptos"/>
                <w:sz w:val="17"/>
              </w:rPr>
              <w:t>Declare the approved worker ID, capabilities, engine version, input/output contract and limitations.</w:t>
            </w:r>
          </w:p>
        </w:tc>
        <w:tc>
          <w:tcPr>
            <w:tcW w:type="dxa" w:w="3528"/>
            <w:tcMar>
              <w:top w:w="90" w:type="dxa"/>
              <w:start w:w="90" w:type="dxa"/>
              <w:bottom w:w="90" w:type="dxa"/>
              <w:end w:w="90" w:type="dxa"/>
            </w:tcMar>
            <w:shd w:fill="F7FAFC"/>
          </w:tcPr>
          <w:p>
            <w:pPr>
              <w:spacing w:after="20" w:line="240" w:lineRule="auto"/>
            </w:pPr>
            <w:r/>
            <w:r>
              <w:rPr>
                <w:rFonts w:ascii="Aptos" w:hAnsi="Aptos"/>
                <w:sz w:val="17"/>
              </w:rPr>
              <w:t>Execute code or allow dynamic untrusted worker registration.</w:t>
            </w:r>
          </w:p>
        </w:tc>
      </w:tr>
      <w:tr>
        <w:tc>
          <w:tcPr>
            <w:tcW w:type="dxa" w:w="1944"/>
            <w:tcMar>
              <w:top w:w="90" w:type="dxa"/>
              <w:start w:w="90" w:type="dxa"/>
              <w:bottom w:w="90" w:type="dxa"/>
              <w:end w:w="90" w:type="dxa"/>
            </w:tcMar>
          </w:tcPr>
          <w:p>
            <w:pPr>
              <w:spacing w:after="20" w:line="240" w:lineRule="auto"/>
            </w:pPr>
            <w:r/>
            <w:r>
              <w:rPr>
                <w:rFonts w:ascii="Aptos" w:hAnsi="Aptos"/>
                <w:sz w:val="17"/>
              </w:rPr>
              <w:t>Platform adapter</w:t>
            </w:r>
          </w:p>
        </w:tc>
        <w:tc>
          <w:tcPr>
            <w:tcW w:type="dxa" w:w="4896"/>
            <w:tcMar>
              <w:top w:w="90" w:type="dxa"/>
              <w:start w:w="90" w:type="dxa"/>
              <w:bottom w:w="90" w:type="dxa"/>
              <w:end w:w="90" w:type="dxa"/>
            </w:tcMar>
          </w:tcPr>
          <w:p>
            <w:pPr>
              <w:spacing w:after="20" w:line="240" w:lineRule="auto"/>
            </w:pPr>
            <w:r/>
            <w:r>
              <w:rPr>
                <w:rFonts w:ascii="Aptos" w:hAnsi="Aptos"/>
                <w:sz w:val="17"/>
              </w:rPr>
              <w:t>Validate inputs, create workspace, invoke engine, map progress/failures, collect output and normalize results.</w:t>
            </w:r>
          </w:p>
        </w:tc>
        <w:tc>
          <w:tcPr>
            <w:tcW w:type="dxa" w:w="3528"/>
            <w:tcMar>
              <w:top w:w="90" w:type="dxa"/>
              <w:start w:w="90" w:type="dxa"/>
              <w:bottom w:w="90" w:type="dxa"/>
              <w:end w:w="90" w:type="dxa"/>
            </w:tcMar>
          </w:tcPr>
          <w:p>
            <w:pPr>
              <w:spacing w:after="20" w:line="240" w:lineRule="auto"/>
            </w:pPr>
            <w:r/>
            <w:r>
              <w:rPr>
                <w:rFonts w:ascii="Aptos" w:hAnsi="Aptos"/>
                <w:sz w:val="17"/>
              </w:rPr>
              <w:t>Change upstream RAN business rules inside the submodule.</w:t>
            </w:r>
          </w:p>
        </w:tc>
      </w:tr>
      <w:tr>
        <w:tc>
          <w:tcPr>
            <w:tcW w:type="dxa" w:w="1944"/>
            <w:tcMar>
              <w:top w:w="90" w:type="dxa"/>
              <w:start w:w="90" w:type="dxa"/>
              <w:bottom w:w="90" w:type="dxa"/>
              <w:end w:w="90" w:type="dxa"/>
            </w:tcMar>
            <w:shd w:fill="F7FAFC"/>
          </w:tcPr>
          <w:p>
            <w:pPr>
              <w:spacing w:after="20" w:line="240" w:lineRule="auto"/>
            </w:pPr>
            <w:r/>
            <w:r>
              <w:rPr>
                <w:rFonts w:ascii="Aptos" w:hAnsi="Aptos"/>
                <w:sz w:val="17"/>
              </w:rPr>
              <w:t>Worker registry</w:t>
            </w:r>
          </w:p>
        </w:tc>
        <w:tc>
          <w:tcPr>
            <w:tcW w:type="dxa" w:w="4896"/>
            <w:tcMar>
              <w:top w:w="90" w:type="dxa"/>
              <w:start w:w="90" w:type="dxa"/>
              <w:bottom w:w="90" w:type="dxa"/>
              <w:end w:w="90" w:type="dxa"/>
            </w:tcMar>
            <w:shd w:fill="F7FAFC"/>
          </w:tcPr>
          <w:p>
            <w:pPr>
              <w:spacing w:after="20" w:line="240" w:lineRule="auto"/>
            </w:pPr>
            <w:r/>
            <w:r>
              <w:rPr>
                <w:rFonts w:ascii="Aptos" w:hAnsi="Aptos"/>
                <w:sz w:val="17"/>
              </w:rPr>
              <w:t>Map known worker IDs to approved manifests/adapters.</w:t>
            </w:r>
          </w:p>
        </w:tc>
        <w:tc>
          <w:tcPr>
            <w:tcW w:type="dxa" w:w="3528"/>
            <w:tcMar>
              <w:top w:w="90" w:type="dxa"/>
              <w:start w:w="90" w:type="dxa"/>
              <w:bottom w:w="90" w:type="dxa"/>
              <w:end w:w="90" w:type="dxa"/>
            </w:tcMar>
            <w:shd w:fill="F7FAFC"/>
          </w:tcPr>
          <w:p>
            <w:pPr>
              <w:spacing w:after="20" w:line="240" w:lineRule="auto"/>
            </w:pPr>
            <w:r/>
            <w:r>
              <w:rPr>
                <w:rFonts w:ascii="Aptos" w:hAnsi="Aptos"/>
                <w:sz w:val="17"/>
              </w:rPr>
              <w:t>Serve as a generic arbitrary script launcher.</w:t>
            </w:r>
          </w:p>
        </w:tc>
      </w:tr>
      <w:tr>
        <w:tc>
          <w:tcPr>
            <w:tcW w:type="dxa" w:w="1944"/>
            <w:tcMar>
              <w:top w:w="90" w:type="dxa"/>
              <w:start w:w="90" w:type="dxa"/>
              <w:bottom w:w="90" w:type="dxa"/>
              <w:end w:w="90" w:type="dxa"/>
            </w:tcMar>
          </w:tcPr>
          <w:p>
            <w:pPr>
              <w:spacing w:after="20" w:line="240" w:lineRule="auto"/>
            </w:pPr>
            <w:r/>
            <w:r>
              <w:rPr>
                <w:rFonts w:ascii="Aptos" w:hAnsi="Aptos"/>
                <w:sz w:val="17"/>
              </w:rPr>
              <w:t>Job service / repository</w:t>
            </w:r>
          </w:p>
        </w:tc>
        <w:tc>
          <w:tcPr>
            <w:tcW w:type="dxa" w:w="4896"/>
            <w:tcMar>
              <w:top w:w="90" w:type="dxa"/>
              <w:start w:w="90" w:type="dxa"/>
              <w:bottom w:w="90" w:type="dxa"/>
              <w:end w:w="90" w:type="dxa"/>
            </w:tcMar>
          </w:tcPr>
          <w:p>
            <w:pPr>
              <w:spacing w:after="20" w:line="240" w:lineRule="auto"/>
            </w:pPr>
            <w:r/>
            <w:r>
              <w:rPr>
                <w:rFonts w:ascii="Aptos" w:hAnsi="Aptos"/>
                <w:sz w:val="17"/>
              </w:rPr>
              <w:t>Persist job state, files, warnings, reviews and audit events through the platform persistence model.</w:t>
            </w:r>
          </w:p>
        </w:tc>
        <w:tc>
          <w:tcPr>
            <w:tcW w:type="dxa" w:w="3528"/>
            <w:tcMar>
              <w:top w:w="90" w:type="dxa"/>
              <w:start w:w="90" w:type="dxa"/>
              <w:bottom w:w="90" w:type="dxa"/>
              <w:end w:w="90" w:type="dxa"/>
            </w:tcMar>
          </w:tcPr>
          <w:p>
            <w:pPr>
              <w:spacing w:after="20" w:line="240" w:lineRule="auto"/>
            </w:pPr>
            <w:r/>
            <w:r>
              <w:rPr>
                <w:rFonts w:ascii="Aptos" w:hAnsi="Aptos"/>
                <w:sz w:val="17"/>
              </w:rPr>
              <w:t>Make Excel business-rule decisions.</w:t>
            </w:r>
          </w:p>
        </w:tc>
      </w:tr>
      <w:tr>
        <w:tc>
          <w:tcPr>
            <w:tcW w:type="dxa" w:w="1944"/>
            <w:tcMar>
              <w:top w:w="90" w:type="dxa"/>
              <w:start w:w="90" w:type="dxa"/>
              <w:bottom w:w="90" w:type="dxa"/>
              <w:end w:w="90" w:type="dxa"/>
            </w:tcMar>
            <w:shd w:fill="F7FAFC"/>
          </w:tcPr>
          <w:p>
            <w:pPr>
              <w:spacing w:after="20" w:line="240" w:lineRule="auto"/>
            </w:pPr>
            <w:r/>
            <w:r>
              <w:rPr>
                <w:rFonts w:ascii="Aptos" w:hAnsi="Aptos"/>
                <w:sz w:val="17"/>
              </w:rPr>
              <w:t>Frontend</w:t>
            </w:r>
          </w:p>
        </w:tc>
        <w:tc>
          <w:tcPr>
            <w:tcW w:type="dxa" w:w="4896"/>
            <w:tcMar>
              <w:top w:w="90" w:type="dxa"/>
              <w:start w:w="90" w:type="dxa"/>
              <w:bottom w:w="90" w:type="dxa"/>
              <w:end w:w="90" w:type="dxa"/>
            </w:tcMar>
            <w:shd w:fill="F7FAFC"/>
          </w:tcPr>
          <w:p>
            <w:pPr>
              <w:spacing w:after="20" w:line="240" w:lineRule="auto"/>
            </w:pPr>
            <w:r/>
            <w:r>
              <w:rPr>
                <w:rFonts w:ascii="Aptos" w:hAnsi="Aptos"/>
                <w:sz w:val="17"/>
              </w:rPr>
              <w:t>Collect inputs, present progress, history, details and downloads using common platform patterns.</w:t>
            </w:r>
          </w:p>
        </w:tc>
        <w:tc>
          <w:tcPr>
            <w:tcW w:type="dxa" w:w="3528"/>
            <w:tcMar>
              <w:top w:w="90" w:type="dxa"/>
              <w:start w:w="90" w:type="dxa"/>
              <w:bottom w:w="90" w:type="dxa"/>
              <w:end w:w="90" w:type="dxa"/>
            </w:tcMar>
            <w:shd w:fill="F7FAFC"/>
          </w:tcPr>
          <w:p>
            <w:pPr>
              <w:spacing w:after="20" w:line="240" w:lineRule="auto"/>
            </w:pPr>
            <w:r/>
            <w:r>
              <w:rPr>
                <w:rFonts w:ascii="Aptos" w:hAnsi="Aptos"/>
                <w:sz w:val="17"/>
              </w:rPr>
              <w:t>Replicate prototype backend behavior or bypass APIs.</w:t>
            </w:r>
          </w:p>
        </w:tc>
      </w:tr>
    </w:tbl>
    <w:p>
      <w:pPr>
        <w:spacing w:after="60"/>
      </w:pPr>
    </w:p>
    <w:p>
      <w:pPr>
        <w:pStyle w:val="Heading2"/>
        <w:spacing w:before="180" w:after="100"/>
      </w:pPr>
      <w:r>
        <w:rPr>
          <w:rFonts w:ascii="Aptos" w:hAnsi="Aptos"/>
          <w:b/>
          <w:color w:val="17365D"/>
          <w:sz w:val="24"/>
        </w:rPr>
        <w:t>4.2 Worker IDs</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mw-pr   - Existing MW PR Worker, wrapped for registry compatibility without external behavior change</w:t>
            </w:r>
            <w:r>
              <w:br/>
            </w:r>
            <w:r>
              <w:rPr>
                <w:rFonts w:ascii="Consolas" w:hAnsi="Consolas"/>
                <w:color w:val="303F4B"/>
                <w:sz w:val="17"/>
              </w:rPr>
              <w:t>ran-pr  - New RAN PR Worker, Standard PR + General Item in v1</w:t>
            </w:r>
          </w:p>
        </w:tc>
      </w:tr>
    </w:tbl>
    <w:p>
      <w:pPr>
        <w:spacing w:after="40"/>
      </w:pPr>
    </w:p>
    <w:p>
      <w:pPr>
        <w:pStyle w:val="Heading2"/>
        <w:spacing w:before="180" w:after="100"/>
      </w:pPr>
      <w:r>
        <w:rPr>
          <w:rFonts w:ascii="Aptos" w:hAnsi="Aptos"/>
          <w:b/>
          <w:color w:val="17365D"/>
          <w:sz w:val="24"/>
        </w:rPr>
        <w:t>4.3 Suggested Directory Structure</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ai-worker-platform/</w:t>
            </w:r>
            <w:r>
              <w:br/>
            </w:r>
            <w:r>
              <w:rPr>
                <w:rFonts w:ascii="Consolas" w:hAnsi="Consolas"/>
                <w:color w:val="303F4B"/>
                <w:sz w:val="17"/>
              </w:rPr>
              <w:t>├─ skills/</w:t>
            </w:r>
            <w:r>
              <w:br/>
            </w:r>
            <w:r>
              <w:rPr>
                <w:rFonts w:ascii="Consolas" w:hAnsi="Consolas"/>
                <w:color w:val="303F4B"/>
                <w:sz w:val="17"/>
              </w:rPr>
              <w:t>│  ├─ create-pr-cd/                 # Existing MW engine source</w:t>
            </w:r>
            <w:r>
              <w:br/>
            </w:r>
            <w:r>
              <w:rPr>
                <w:rFonts w:ascii="Consolas" w:hAnsi="Consolas"/>
                <w:color w:val="303F4B"/>
                <w:sz w:val="17"/>
              </w:rPr>
              <w:t>│  ├─ create-pr-cd-ran/             # Pinned upstream RAN engine submodule</w:t>
            </w:r>
            <w:r>
              <w:br/>
            </w:r>
            <w:r>
              <w:rPr>
                <w:rFonts w:ascii="Consolas" w:hAnsi="Consolas"/>
                <w:color w:val="303F4B"/>
                <w:sz w:val="17"/>
              </w:rPr>
              <w:t>│  ├─ firebase-db/                  # Developer guidance; not a runtime worker</w:t>
            </w:r>
            <w:r>
              <w:br/>
            </w:r>
            <w:r>
              <w:rPr>
                <w:rFonts w:ascii="Consolas" w:hAnsi="Consolas"/>
                <w:color w:val="303F4B"/>
                <w:sz w:val="17"/>
              </w:rPr>
              <w:t>│  └─ worker-manifests/</w:t>
            </w:r>
            <w:r>
              <w:br/>
            </w:r>
            <w:r>
              <w:rPr>
                <w:rFonts w:ascii="Consolas" w:hAnsi="Consolas"/>
                <w:color w:val="303F4B"/>
                <w:sz w:val="17"/>
              </w:rPr>
              <w:t>│     ├─ mw-pr.worker.json</w:t>
            </w:r>
            <w:r>
              <w:br/>
            </w:r>
            <w:r>
              <w:rPr>
                <w:rFonts w:ascii="Consolas" w:hAnsi="Consolas"/>
                <w:color w:val="303F4B"/>
                <w:sz w:val="17"/>
              </w:rPr>
              <w:t>│     └─ ran-pr.worker.json</w:t>
            </w:r>
            <w:r>
              <w:br/>
            </w:r>
            <w:r>
              <w:rPr>
                <w:rFonts w:ascii="Consolas" w:hAnsi="Consolas"/>
                <w:color w:val="303F4B"/>
                <w:sz w:val="17"/>
              </w:rPr>
              <w:t>├─ backend/src/</w:t>
            </w:r>
            <w:r>
              <w:br/>
            </w:r>
            <w:r>
              <w:rPr>
                <w:rFonts w:ascii="Consolas" w:hAnsi="Consolas"/>
                <w:color w:val="303F4B"/>
                <w:sz w:val="17"/>
              </w:rPr>
              <w:t>│  ├─ workers/</w:t>
            </w:r>
            <w:r>
              <w:br/>
            </w:r>
            <w:r>
              <w:rPr>
                <w:rFonts w:ascii="Consolas" w:hAnsi="Consolas"/>
                <w:color w:val="303F4B"/>
                <w:sz w:val="17"/>
              </w:rPr>
              <w:t>│  │  ├─ workerRegistry.js</w:t>
            </w:r>
            <w:r>
              <w:br/>
            </w:r>
            <w:r>
              <w:rPr>
                <w:rFonts w:ascii="Consolas" w:hAnsi="Consolas"/>
                <w:color w:val="303F4B"/>
                <w:sz w:val="17"/>
              </w:rPr>
              <w:t>│  │  ├─ mwPrWorkerAdapter.js</w:t>
            </w:r>
            <w:r>
              <w:br/>
            </w:r>
            <w:r>
              <w:rPr>
                <w:rFonts w:ascii="Consolas" w:hAnsi="Consolas"/>
                <w:color w:val="303F4B"/>
                <w:sz w:val="17"/>
              </w:rPr>
              <w:t>│  │  └─ ranPrWorkerAdapter.js</w:t>
            </w:r>
            <w:r>
              <w:br/>
            </w:r>
            <w:r>
              <w:rPr>
                <w:rFonts w:ascii="Consolas" w:hAnsi="Consolas"/>
                <w:color w:val="303F4B"/>
                <w:sz w:val="17"/>
              </w:rPr>
              <w:t>│  ├─ services/</w:t>
            </w:r>
            <w:r>
              <w:br/>
            </w:r>
            <w:r>
              <w:rPr>
                <w:rFonts w:ascii="Consolas" w:hAnsi="Consolas"/>
                <w:color w:val="303F4B"/>
                <w:sz w:val="17"/>
              </w:rPr>
              <w:t>│  │  └─ jobService.js</w:t>
            </w:r>
            <w:r>
              <w:br/>
            </w:r>
            <w:r>
              <w:rPr>
                <w:rFonts w:ascii="Consolas" w:hAnsi="Consolas"/>
                <w:color w:val="303F4B"/>
                <w:sz w:val="17"/>
              </w:rPr>
              <w:t>│  └─ persistence/</w:t>
            </w:r>
            <w:r>
              <w:br/>
            </w:r>
            <w:r>
              <w:rPr>
                <w:rFonts w:ascii="Consolas" w:hAnsi="Consolas"/>
                <w:color w:val="303F4B"/>
                <w:sz w:val="17"/>
              </w:rPr>
              <w:t>│     └─ jobRepository.js</w:t>
            </w:r>
            <w:r>
              <w:br/>
            </w:r>
            <w:r>
              <w:rPr>
                <w:rFonts w:ascii="Consolas" w:hAnsi="Consolas"/>
                <w:color w:val="303F4B"/>
                <w:sz w:val="17"/>
              </w:rPr>
              <w:t>└─ docs/</w:t>
            </w:r>
            <w:r>
              <w:br/>
            </w:r>
            <w:r>
              <w:rPr>
                <w:rFonts w:ascii="Consolas" w:hAnsi="Consolas"/>
                <w:color w:val="303F4B"/>
                <w:sz w:val="17"/>
              </w:rPr>
              <w:t xml:space="preserve">   ├─ workers/</w:t>
            </w:r>
            <w:r>
              <w:br/>
            </w:r>
            <w:r>
              <w:rPr>
                <w:rFonts w:ascii="Consolas" w:hAnsi="Consolas"/>
                <w:color w:val="303F4B"/>
                <w:sz w:val="17"/>
              </w:rPr>
              <w:t xml:space="preserve">   └─ ran-pr-worker-integration/</w:t>
            </w:r>
          </w:p>
        </w:tc>
      </w:tr>
    </w:tbl>
    <w:p>
      <w:pPr>
        <w:spacing w:after="40"/>
      </w:pPr>
    </w:p>
    <w:p>
      <w:r>
        <w:rPr>
          <w:rFonts w:ascii="Aptos" w:hAnsi="Aptos"/>
          <w:sz w:val="21"/>
        </w:rPr>
        <w:br w:type="page"/>
      </w:r>
    </w:p>
    <w:p>
      <w:pPr>
        <w:pStyle w:val="Heading1"/>
        <w:spacing w:before="280" w:after="100"/>
      </w:pPr>
      <w:r>
        <w:rPr>
          <w:rFonts w:ascii="Aptos" w:hAnsi="Aptos"/>
          <w:b/>
          <w:color w:val="17365D"/>
          <w:sz w:val="30"/>
        </w:rPr>
        <w:t>5. Architecture Decision Register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17365D"/>
            <w:tcMar>
              <w:top w:w="90" w:type="dxa"/>
              <w:start w:w="90" w:type="dxa"/>
              <w:bottom w:w="90" w:type="dxa"/>
              <w:end w:w="90" w:type="dxa"/>
            </w:tcMar>
            <w:vAlign w:val="center"/>
          </w:tcPr>
          <w:p>
            <w:pPr>
              <w:jc w:val="left"/>
            </w:pPr>
            <w:r/>
            <w:r>
              <w:rPr>
                <w:rFonts w:ascii="Aptos" w:hAnsi="Aptos"/>
                <w:b/>
                <w:color w:val="FFFFFF"/>
                <w:sz w:val="17"/>
              </w:rPr>
              <w:t>ID</w:t>
            </w:r>
          </w:p>
        </w:tc>
        <w:tc>
          <w:tcPr>
            <w:tcW w:type="dxa" w:w="3168"/>
            <w:shd w:fill="17365D"/>
            <w:tcMar>
              <w:top w:w="90" w:type="dxa"/>
              <w:start w:w="90" w:type="dxa"/>
              <w:bottom w:w="90" w:type="dxa"/>
              <w:end w:w="90" w:type="dxa"/>
            </w:tcMar>
            <w:vAlign w:val="center"/>
          </w:tcPr>
          <w:p>
            <w:pPr>
              <w:jc w:val="left"/>
            </w:pPr>
            <w:r/>
            <w:r>
              <w:rPr>
                <w:rFonts w:ascii="Aptos" w:hAnsi="Aptos"/>
                <w:b/>
                <w:color w:val="FFFFFF"/>
                <w:sz w:val="17"/>
              </w:rPr>
              <w:t>Decision</w:t>
            </w:r>
          </w:p>
        </w:tc>
        <w:tc>
          <w:tcPr>
            <w:tcW w:type="dxa" w:w="6192"/>
            <w:shd w:fill="17365D"/>
            <w:tcMar>
              <w:top w:w="90" w:type="dxa"/>
              <w:start w:w="90" w:type="dxa"/>
              <w:bottom w:w="90" w:type="dxa"/>
              <w:end w:w="90" w:type="dxa"/>
            </w:tcMar>
            <w:vAlign w:val="center"/>
          </w:tcPr>
          <w:p>
            <w:pPr>
              <w:jc w:val="left"/>
            </w:pPr>
            <w:r/>
            <w:r>
              <w:rPr>
                <w:rFonts w:ascii="Aptos" w:hAnsi="Aptos"/>
                <w:b/>
                <w:color w:val="FFFFFF"/>
                <w:sz w:val="17"/>
              </w:rPr>
              <w:t>Rationale / consequence</w:t>
            </w:r>
          </w:p>
        </w:tc>
      </w:tr>
      <w:tr>
        <w:tc>
          <w:tcPr>
            <w:tcW w:type="dxa" w:w="1008"/>
            <w:tcMar>
              <w:top w:w="90" w:type="dxa"/>
              <w:start w:w="90" w:type="dxa"/>
              <w:bottom w:w="90" w:type="dxa"/>
              <w:end w:w="90" w:type="dxa"/>
            </w:tcMar>
          </w:tcPr>
          <w:p>
            <w:pPr>
              <w:spacing w:after="20" w:line="240" w:lineRule="auto"/>
            </w:pPr>
            <w:r/>
            <w:r>
              <w:rPr>
                <w:rFonts w:ascii="Aptos" w:hAnsi="Aptos"/>
                <w:sz w:val="17"/>
              </w:rPr>
              <w:t>A-001</w:t>
            </w:r>
          </w:p>
        </w:tc>
        <w:tc>
          <w:tcPr>
            <w:tcW w:type="dxa" w:w="3168"/>
            <w:tcMar>
              <w:top w:w="90" w:type="dxa"/>
              <w:start w:w="90" w:type="dxa"/>
              <w:bottom w:w="90" w:type="dxa"/>
              <w:end w:w="90" w:type="dxa"/>
            </w:tcMar>
          </w:tcPr>
          <w:p>
            <w:pPr>
              <w:spacing w:after="20" w:line="240" w:lineRule="auto"/>
            </w:pPr>
            <w:r/>
            <w:r>
              <w:rPr>
                <w:rFonts w:ascii="Aptos" w:hAnsi="Aptos"/>
                <w:sz w:val="17"/>
              </w:rPr>
              <w:t>Do not merge repository histories.</w:t>
            </w:r>
          </w:p>
        </w:tc>
        <w:tc>
          <w:tcPr>
            <w:tcW w:type="dxa" w:w="6192"/>
            <w:tcMar>
              <w:top w:w="90" w:type="dxa"/>
              <w:start w:w="90" w:type="dxa"/>
              <w:bottom w:w="90" w:type="dxa"/>
              <w:end w:w="90" w:type="dxa"/>
            </w:tcMar>
          </w:tcPr>
          <w:p>
            <w:pPr>
              <w:spacing w:after="20" w:line="240" w:lineRule="auto"/>
            </w:pPr>
            <w:r/>
            <w:r>
              <w:rPr>
                <w:rFonts w:ascii="Aptos" w:hAnsi="Aptos"/>
                <w:sz w:val="17"/>
              </w:rPr>
              <w:t>The repositories have different ownership, architecture and release cadence. Integration is by controlled dependency, not monorepo merge.</w:t>
            </w:r>
          </w:p>
        </w:tc>
      </w:tr>
      <w:tr>
        <w:tc>
          <w:tcPr>
            <w:tcW w:type="dxa" w:w="1008"/>
            <w:tcMar>
              <w:top w:w="90" w:type="dxa"/>
              <w:start w:w="90" w:type="dxa"/>
              <w:bottom w:w="90" w:type="dxa"/>
              <w:end w:w="90" w:type="dxa"/>
            </w:tcMar>
            <w:shd w:fill="F7FAFC"/>
          </w:tcPr>
          <w:p>
            <w:pPr>
              <w:spacing w:after="20" w:line="240" w:lineRule="auto"/>
            </w:pPr>
            <w:r/>
            <w:r>
              <w:rPr>
                <w:rFonts w:ascii="Aptos" w:hAnsi="Aptos"/>
                <w:sz w:val="17"/>
              </w:rPr>
              <w:t>A-002</w:t>
            </w:r>
          </w:p>
        </w:tc>
        <w:tc>
          <w:tcPr>
            <w:tcW w:type="dxa" w:w="3168"/>
            <w:tcMar>
              <w:top w:w="90" w:type="dxa"/>
              <w:start w:w="90" w:type="dxa"/>
              <w:bottom w:w="90" w:type="dxa"/>
              <w:end w:w="90" w:type="dxa"/>
            </w:tcMar>
            <w:shd w:fill="F7FAFC"/>
          </w:tcPr>
          <w:p>
            <w:pPr>
              <w:spacing w:after="20" w:line="240" w:lineRule="auto"/>
            </w:pPr>
            <w:r/>
            <w:r>
              <w:rPr>
                <w:rFonts w:ascii="Aptos" w:hAnsi="Aptos"/>
                <w:sz w:val="17"/>
              </w:rPr>
              <w:t>Use a pinned Git submodule at skills/create-pr-cd-ran.</w:t>
            </w:r>
          </w:p>
        </w:tc>
        <w:tc>
          <w:tcPr>
            <w:tcW w:type="dxa" w:w="6192"/>
            <w:tcMar>
              <w:top w:w="90" w:type="dxa"/>
              <w:start w:w="90" w:type="dxa"/>
              <w:bottom w:w="90" w:type="dxa"/>
              <w:end w:w="90" w:type="dxa"/>
            </w:tcMar>
            <w:shd w:fill="F7FAFC"/>
          </w:tcPr>
          <w:p>
            <w:pPr>
              <w:spacing w:after="20" w:line="240" w:lineRule="auto"/>
            </w:pPr>
            <w:r/>
            <w:r>
              <w:rPr>
                <w:rFonts w:ascii="Aptos" w:hAnsi="Aptos"/>
                <w:sz w:val="17"/>
              </w:rPr>
              <w:t>The platform references an exact upstream commit/tag; it cannot silently consume unverified RAN main changes.</w:t>
            </w:r>
          </w:p>
        </w:tc>
      </w:tr>
      <w:tr>
        <w:tc>
          <w:tcPr>
            <w:tcW w:type="dxa" w:w="1008"/>
            <w:tcMar>
              <w:top w:w="90" w:type="dxa"/>
              <w:start w:w="90" w:type="dxa"/>
              <w:bottom w:w="90" w:type="dxa"/>
              <w:end w:w="90" w:type="dxa"/>
            </w:tcMar>
          </w:tcPr>
          <w:p>
            <w:pPr>
              <w:spacing w:after="20" w:line="240" w:lineRule="auto"/>
            </w:pPr>
            <w:r/>
            <w:r>
              <w:rPr>
                <w:rFonts w:ascii="Aptos" w:hAnsi="Aptos"/>
                <w:sz w:val="17"/>
              </w:rPr>
              <w:t>A-003</w:t>
            </w:r>
          </w:p>
        </w:tc>
        <w:tc>
          <w:tcPr>
            <w:tcW w:type="dxa" w:w="3168"/>
            <w:tcMar>
              <w:top w:w="90" w:type="dxa"/>
              <w:start w:w="90" w:type="dxa"/>
              <w:bottom w:w="90" w:type="dxa"/>
              <w:end w:w="90" w:type="dxa"/>
            </w:tcMar>
          </w:tcPr>
          <w:p>
            <w:pPr>
              <w:spacing w:after="20" w:line="240" w:lineRule="auto"/>
            </w:pPr>
            <w:r/>
            <w:r>
              <w:rPr>
                <w:rFonts w:ascii="Aptos" w:hAnsi="Aptos"/>
                <w:sz w:val="17"/>
              </w:rPr>
              <w:t>Treat RAN FastAPI and web UI as prototype reference only.</w:t>
            </w:r>
          </w:p>
        </w:tc>
        <w:tc>
          <w:tcPr>
            <w:tcW w:type="dxa" w:w="6192"/>
            <w:tcMar>
              <w:top w:w="90" w:type="dxa"/>
              <w:start w:w="90" w:type="dxa"/>
              <w:bottom w:w="90" w:type="dxa"/>
              <w:end w:w="90" w:type="dxa"/>
            </w:tcMar>
          </w:tcPr>
          <w:p>
            <w:pPr>
              <w:spacing w:after="20" w:line="240" w:lineRule="auto"/>
            </w:pPr>
            <w:r/>
            <w:r>
              <w:rPr>
                <w:rFonts w:ascii="Aptos" w:hAnsi="Aptos"/>
                <w:sz w:val="17"/>
              </w:rPr>
              <w:t>Platform UI, API, status and downloads must remain unified and platform-native.</w:t>
            </w:r>
          </w:p>
        </w:tc>
      </w:tr>
      <w:tr>
        <w:tc>
          <w:tcPr>
            <w:tcW w:type="dxa" w:w="1008"/>
            <w:tcMar>
              <w:top w:w="90" w:type="dxa"/>
              <w:start w:w="90" w:type="dxa"/>
              <w:bottom w:w="90" w:type="dxa"/>
              <w:end w:w="90" w:type="dxa"/>
            </w:tcMar>
            <w:shd w:fill="F7FAFC"/>
          </w:tcPr>
          <w:p>
            <w:pPr>
              <w:spacing w:after="20" w:line="240" w:lineRule="auto"/>
            </w:pPr>
            <w:r/>
            <w:r>
              <w:rPr>
                <w:rFonts w:ascii="Aptos" w:hAnsi="Aptos"/>
                <w:sz w:val="17"/>
              </w:rPr>
              <w:t>A-004</w:t>
            </w:r>
          </w:p>
        </w:tc>
        <w:tc>
          <w:tcPr>
            <w:tcW w:type="dxa" w:w="3168"/>
            <w:tcMar>
              <w:top w:w="90" w:type="dxa"/>
              <w:start w:w="90" w:type="dxa"/>
              <w:bottom w:w="90" w:type="dxa"/>
              <w:end w:w="90" w:type="dxa"/>
            </w:tcMar>
            <w:shd w:fill="F7FAFC"/>
          </w:tcPr>
          <w:p>
            <w:pPr>
              <w:spacing w:after="20" w:line="240" w:lineRule="auto"/>
            </w:pPr>
            <w:r/>
            <w:r>
              <w:rPr>
                <w:rFonts w:ascii="Aptos" w:hAnsi="Aptos"/>
                <w:sz w:val="17"/>
              </w:rPr>
              <w:t>Introduce a small Worker Registry and Skill Manifest Contract.</w:t>
            </w:r>
          </w:p>
        </w:tc>
        <w:tc>
          <w:tcPr>
            <w:tcW w:type="dxa" w:w="6192"/>
            <w:tcMar>
              <w:top w:w="90" w:type="dxa"/>
              <w:start w:w="90" w:type="dxa"/>
              <w:bottom w:w="90" w:type="dxa"/>
              <w:end w:w="90" w:type="dxa"/>
            </w:tcMar>
            <w:shd w:fill="F7FAFC"/>
          </w:tcPr>
          <w:p>
            <w:pPr>
              <w:spacing w:after="20" w:line="240" w:lineRule="auto"/>
            </w:pPr>
            <w:r/>
            <w:r>
              <w:rPr>
                <w:rFonts w:ascii="Aptos" w:hAnsi="Aptos"/>
                <w:sz w:val="17"/>
              </w:rPr>
              <w:t>MW and RAN need an explicit, scalable onboarding mechanism without a large generic workflow-engine rewrite.</w:t>
            </w:r>
          </w:p>
        </w:tc>
      </w:tr>
      <w:tr>
        <w:tc>
          <w:tcPr>
            <w:tcW w:type="dxa" w:w="1008"/>
            <w:tcMar>
              <w:top w:w="90" w:type="dxa"/>
              <w:start w:w="90" w:type="dxa"/>
              <w:bottom w:w="90" w:type="dxa"/>
              <w:end w:w="90" w:type="dxa"/>
            </w:tcMar>
          </w:tcPr>
          <w:p>
            <w:pPr>
              <w:spacing w:after="20" w:line="240" w:lineRule="auto"/>
            </w:pPr>
            <w:r/>
            <w:r>
              <w:rPr>
                <w:rFonts w:ascii="Aptos" w:hAnsi="Aptos"/>
                <w:sz w:val="17"/>
              </w:rPr>
              <w:t>A-005</w:t>
            </w:r>
          </w:p>
        </w:tc>
        <w:tc>
          <w:tcPr>
            <w:tcW w:type="dxa" w:w="3168"/>
            <w:tcMar>
              <w:top w:w="90" w:type="dxa"/>
              <w:start w:w="90" w:type="dxa"/>
              <w:bottom w:w="90" w:type="dxa"/>
              <w:end w:w="90" w:type="dxa"/>
            </w:tcMar>
          </w:tcPr>
          <w:p>
            <w:pPr>
              <w:spacing w:after="20" w:line="240" w:lineRule="auto"/>
            </w:pPr>
            <w:r/>
            <w:r>
              <w:rPr>
                <w:rFonts w:ascii="Aptos" w:hAnsi="Aptos"/>
                <w:sz w:val="17"/>
              </w:rPr>
              <w:t>Platform backend owns job persistence and user lifecycle.</w:t>
            </w:r>
          </w:p>
        </w:tc>
        <w:tc>
          <w:tcPr>
            <w:tcW w:type="dxa" w:w="6192"/>
            <w:tcMar>
              <w:top w:w="90" w:type="dxa"/>
              <w:start w:w="90" w:type="dxa"/>
              <w:bottom w:w="90" w:type="dxa"/>
              <w:end w:w="90" w:type="dxa"/>
            </w:tcMar>
          </w:tcPr>
          <w:p>
            <w:pPr>
              <w:spacing w:after="20" w:line="240" w:lineRule="auto"/>
            </w:pPr>
            <w:r/>
            <w:r>
              <w:rPr>
                <w:rFonts w:ascii="Aptos" w:hAnsi="Aptos"/>
                <w:sz w:val="17"/>
              </w:rPr>
              <w:t>Prevents duplicate job IDs/history and keeps Firebase/Mongo boundaries centralized.</w:t>
            </w:r>
          </w:p>
        </w:tc>
      </w:tr>
      <w:tr>
        <w:tc>
          <w:tcPr>
            <w:tcW w:type="dxa" w:w="1008"/>
            <w:tcMar>
              <w:top w:w="90" w:type="dxa"/>
              <w:start w:w="90" w:type="dxa"/>
              <w:bottom w:w="90" w:type="dxa"/>
              <w:end w:w="90" w:type="dxa"/>
            </w:tcMar>
            <w:shd w:fill="F7FAFC"/>
          </w:tcPr>
          <w:p>
            <w:pPr>
              <w:spacing w:after="20" w:line="240" w:lineRule="auto"/>
            </w:pPr>
            <w:r/>
            <w:r>
              <w:rPr>
                <w:rFonts w:ascii="Aptos" w:hAnsi="Aptos"/>
                <w:sz w:val="17"/>
              </w:rPr>
              <w:t>A-006</w:t>
            </w:r>
          </w:p>
        </w:tc>
        <w:tc>
          <w:tcPr>
            <w:tcW w:type="dxa" w:w="3168"/>
            <w:tcMar>
              <w:top w:w="90" w:type="dxa"/>
              <w:start w:w="90" w:type="dxa"/>
              <w:bottom w:w="90" w:type="dxa"/>
              <w:end w:w="90" w:type="dxa"/>
            </w:tcMar>
            <w:shd w:fill="F7FAFC"/>
          </w:tcPr>
          <w:p>
            <w:pPr>
              <w:spacing w:after="20" w:line="240" w:lineRule="auto"/>
            </w:pPr>
            <w:r/>
            <w:r>
              <w:rPr>
                <w:rFonts w:ascii="Aptos" w:hAnsi="Aptos"/>
                <w:sz w:val="17"/>
              </w:rPr>
              <w:t>RAN v1 delivers Standard PR + General Item.</w:t>
            </w:r>
          </w:p>
        </w:tc>
        <w:tc>
          <w:tcPr>
            <w:tcW w:type="dxa" w:w="6192"/>
            <w:tcMar>
              <w:top w:w="90" w:type="dxa"/>
              <w:start w:w="90" w:type="dxa"/>
              <w:bottom w:w="90" w:type="dxa"/>
              <w:end w:w="90" w:type="dxa"/>
            </w:tcMar>
            <w:shd w:fill="F7FAFC"/>
          </w:tcPr>
          <w:p>
            <w:pPr>
              <w:spacing w:after="20" w:line="240" w:lineRule="auto"/>
            </w:pPr>
            <w:r/>
            <w:r>
              <w:rPr>
                <w:rFonts w:ascii="Aptos" w:hAnsi="Aptos"/>
                <w:sz w:val="17"/>
              </w:rPr>
              <w:t>Provides a useful business release while keeping BOM Comparison as a deliberately separate future capability.</w:t>
            </w:r>
          </w:p>
        </w:tc>
      </w:tr>
      <w:tr>
        <w:tc>
          <w:tcPr>
            <w:tcW w:type="dxa" w:w="1008"/>
            <w:tcMar>
              <w:top w:w="90" w:type="dxa"/>
              <w:start w:w="90" w:type="dxa"/>
              <w:bottom w:w="90" w:type="dxa"/>
              <w:end w:w="90" w:type="dxa"/>
            </w:tcMar>
          </w:tcPr>
          <w:p>
            <w:pPr>
              <w:spacing w:after="20" w:line="240" w:lineRule="auto"/>
            </w:pPr>
            <w:r/>
            <w:r>
              <w:rPr>
                <w:rFonts w:ascii="Aptos" w:hAnsi="Aptos"/>
                <w:sz w:val="17"/>
              </w:rPr>
              <w:t>A-007</w:t>
            </w:r>
          </w:p>
        </w:tc>
        <w:tc>
          <w:tcPr>
            <w:tcW w:type="dxa" w:w="3168"/>
            <w:tcMar>
              <w:top w:w="90" w:type="dxa"/>
              <w:start w:w="90" w:type="dxa"/>
              <w:bottom w:w="90" w:type="dxa"/>
              <w:end w:w="90" w:type="dxa"/>
            </w:tcMar>
          </w:tcPr>
          <w:p>
            <w:pPr>
              <w:spacing w:after="20" w:line="240" w:lineRule="auto"/>
            </w:pPr>
            <w:r/>
            <w:r>
              <w:rPr>
                <w:rFonts w:ascii="Aptos" w:hAnsi="Aptos"/>
                <w:sz w:val="17"/>
              </w:rPr>
              <w:t>Use a per-job isolated workspace.</w:t>
            </w:r>
          </w:p>
        </w:tc>
        <w:tc>
          <w:tcPr>
            <w:tcW w:type="dxa" w:w="6192"/>
            <w:tcMar>
              <w:top w:w="90" w:type="dxa"/>
              <w:start w:w="90" w:type="dxa"/>
              <w:bottom w:w="90" w:type="dxa"/>
              <w:end w:w="90" w:type="dxa"/>
            </w:tcMar>
          </w:tcPr>
          <w:p>
            <w:pPr>
              <w:spacing w:after="20" w:line="240" w:lineRule="auto"/>
            </w:pPr>
            <w:r/>
            <w:r>
              <w:rPr>
                <w:rFonts w:ascii="Aptos" w:hAnsi="Aptos"/>
                <w:sz w:val="17"/>
              </w:rPr>
              <w:t>Upstream fixed input/output folders are unsafe for concurrent platform jobs.</w:t>
            </w:r>
          </w:p>
        </w:tc>
      </w:tr>
      <w:tr>
        <w:tc>
          <w:tcPr>
            <w:tcW w:type="dxa" w:w="1008"/>
            <w:tcMar>
              <w:top w:w="90" w:type="dxa"/>
              <w:start w:w="90" w:type="dxa"/>
              <w:bottom w:w="90" w:type="dxa"/>
              <w:end w:w="90" w:type="dxa"/>
            </w:tcMar>
            <w:shd w:fill="F7FAFC"/>
          </w:tcPr>
          <w:p>
            <w:pPr>
              <w:spacing w:after="20" w:line="240" w:lineRule="auto"/>
            </w:pPr>
            <w:r/>
            <w:r>
              <w:rPr>
                <w:rFonts w:ascii="Aptos" w:hAnsi="Aptos"/>
                <w:sz w:val="17"/>
              </w:rPr>
              <w:t>A-008</w:t>
            </w:r>
          </w:p>
        </w:tc>
        <w:tc>
          <w:tcPr>
            <w:tcW w:type="dxa" w:w="3168"/>
            <w:tcMar>
              <w:top w:w="90" w:type="dxa"/>
              <w:start w:w="90" w:type="dxa"/>
              <w:bottom w:w="90" w:type="dxa"/>
              <w:end w:w="90" w:type="dxa"/>
            </w:tcMar>
            <w:shd w:fill="F7FAFC"/>
          </w:tcPr>
          <w:p>
            <w:pPr>
              <w:spacing w:after="20" w:line="240" w:lineRule="auto"/>
            </w:pPr>
            <w:r/>
            <w:r>
              <w:rPr>
                <w:rFonts w:ascii="Aptos" w:hAnsi="Aptos"/>
                <w:sz w:val="17"/>
              </w:rPr>
              <w:t>RAN updates use a compatibility upgrade PR.</w:t>
            </w:r>
          </w:p>
        </w:tc>
        <w:tc>
          <w:tcPr>
            <w:tcW w:type="dxa" w:w="6192"/>
            <w:tcMar>
              <w:top w:w="90" w:type="dxa"/>
              <w:start w:w="90" w:type="dxa"/>
              <w:bottom w:w="90" w:type="dxa"/>
              <w:end w:w="90" w:type="dxa"/>
            </w:tcMar>
            <w:shd w:fill="F7FAFC"/>
          </w:tcPr>
          <w:p>
            <w:pPr>
              <w:spacing w:after="20" w:line="240" w:lineRule="auto"/>
            </w:pPr>
            <w:r/>
            <w:r>
              <w:rPr>
                <w:rFonts w:ascii="Aptos" w:hAnsi="Aptos"/>
                <w:sz w:val="17"/>
              </w:rPr>
              <w:t>Every upstream update is validated against RAN golden samples and MW regression before platform adoption.</w:t>
            </w:r>
          </w:p>
        </w:tc>
      </w:tr>
      <w:tr>
        <w:tc>
          <w:tcPr>
            <w:tcW w:type="dxa" w:w="1008"/>
            <w:tcMar>
              <w:top w:w="90" w:type="dxa"/>
              <w:start w:w="90" w:type="dxa"/>
              <w:bottom w:w="90" w:type="dxa"/>
              <w:end w:w="90" w:type="dxa"/>
            </w:tcMar>
          </w:tcPr>
          <w:p>
            <w:pPr>
              <w:spacing w:after="20" w:line="240" w:lineRule="auto"/>
            </w:pPr>
            <w:r/>
            <w:r>
              <w:rPr>
                <w:rFonts w:ascii="Aptos" w:hAnsi="Aptos"/>
                <w:sz w:val="17"/>
              </w:rPr>
              <w:t>A-009</w:t>
            </w:r>
          </w:p>
        </w:tc>
        <w:tc>
          <w:tcPr>
            <w:tcW w:type="dxa" w:w="3168"/>
            <w:tcMar>
              <w:top w:w="90" w:type="dxa"/>
              <w:start w:w="90" w:type="dxa"/>
              <w:bottom w:w="90" w:type="dxa"/>
              <w:end w:w="90" w:type="dxa"/>
            </w:tcMar>
          </w:tcPr>
          <w:p>
            <w:pPr>
              <w:spacing w:after="20" w:line="240" w:lineRule="auto"/>
            </w:pPr>
            <w:r/>
            <w:r>
              <w:rPr>
                <w:rFonts w:ascii="Aptos" w:hAnsi="Aptos"/>
                <w:sz w:val="17"/>
              </w:rPr>
              <w:t>Run unattended work through continuous Phases 0-4.</w:t>
            </w:r>
          </w:p>
        </w:tc>
        <w:tc>
          <w:tcPr>
            <w:tcW w:type="dxa" w:w="6192"/>
            <w:tcMar>
              <w:top w:w="90" w:type="dxa"/>
              <w:start w:w="90" w:type="dxa"/>
              <w:bottom w:w="90" w:type="dxa"/>
              <w:end w:w="90" w:type="dxa"/>
            </w:tcMar>
          </w:tcPr>
          <w:p>
            <w:pPr>
              <w:spacing w:after="20" w:line="240" w:lineRule="auto"/>
            </w:pPr>
            <w:r/>
            <w:r>
              <w:rPr>
                <w:rFonts w:ascii="Aptos" w:hAnsi="Aptos"/>
                <w:sz w:val="17"/>
              </w:rPr>
              <w:t>Routine errors are debugged autonomously; only true external blockers stop the mission.</w:t>
            </w:r>
          </w:p>
        </w:tc>
      </w:tr>
      <w:tr>
        <w:tc>
          <w:tcPr>
            <w:tcW w:type="dxa" w:w="1008"/>
            <w:tcMar>
              <w:top w:w="90" w:type="dxa"/>
              <w:start w:w="90" w:type="dxa"/>
              <w:bottom w:w="90" w:type="dxa"/>
              <w:end w:w="90" w:type="dxa"/>
            </w:tcMar>
            <w:shd w:fill="F7FAFC"/>
          </w:tcPr>
          <w:p>
            <w:pPr>
              <w:spacing w:after="20" w:line="240" w:lineRule="auto"/>
            </w:pPr>
            <w:r/>
            <w:r>
              <w:rPr>
                <w:rFonts w:ascii="Aptos" w:hAnsi="Aptos"/>
                <w:sz w:val="17"/>
              </w:rPr>
              <w:t>A-010</w:t>
            </w:r>
          </w:p>
        </w:tc>
        <w:tc>
          <w:tcPr>
            <w:tcW w:type="dxa" w:w="3168"/>
            <w:tcMar>
              <w:top w:w="90" w:type="dxa"/>
              <w:start w:w="90" w:type="dxa"/>
              <w:bottom w:w="90" w:type="dxa"/>
              <w:end w:w="90" w:type="dxa"/>
            </w:tcMar>
            <w:shd w:fill="F7FAFC"/>
          </w:tcPr>
          <w:p>
            <w:pPr>
              <w:spacing w:after="20" w:line="240" w:lineRule="auto"/>
            </w:pPr>
            <w:r/>
            <w:r>
              <w:rPr>
                <w:rFonts w:ascii="Aptos" w:hAnsi="Aptos"/>
                <w:sz w:val="17"/>
              </w:rPr>
              <w:t>Persist engine version and commit on each RAN job.</w:t>
            </w:r>
          </w:p>
        </w:tc>
        <w:tc>
          <w:tcPr>
            <w:tcW w:type="dxa" w:w="6192"/>
            <w:tcMar>
              <w:top w:w="90" w:type="dxa"/>
              <w:start w:w="90" w:type="dxa"/>
              <w:bottom w:w="90" w:type="dxa"/>
              <w:end w:w="90" w:type="dxa"/>
            </w:tcMar>
            <w:shd w:fill="F7FAFC"/>
          </w:tcPr>
          <w:p>
            <w:pPr>
              <w:spacing w:after="20" w:line="240" w:lineRule="auto"/>
            </w:pPr>
            <w:r/>
            <w:r>
              <w:rPr>
                <w:rFonts w:ascii="Aptos" w:hAnsi="Aptos"/>
                <w:sz w:val="17"/>
              </w:rPr>
              <w:t>Enables auditability and repeatable diagnosis after RAN business rules evolve.</w:t>
            </w:r>
          </w:p>
        </w:tc>
      </w:tr>
    </w:tbl>
    <w:p>
      <w:pPr>
        <w:spacing w:after="60"/>
      </w:pPr>
    </w:p>
    <w:p>
      <w:r>
        <w:rPr>
          <w:rFonts w:ascii="Aptos" w:hAnsi="Aptos"/>
          <w:sz w:val="21"/>
        </w:rPr>
        <w:br w:type="page"/>
      </w:r>
    </w:p>
    <w:p>
      <w:pPr>
        <w:pStyle w:val="Heading1"/>
        <w:spacing w:before="280" w:after="100"/>
      </w:pPr>
      <w:r>
        <w:rPr>
          <w:rFonts w:ascii="Aptos" w:hAnsi="Aptos"/>
          <w:b/>
          <w:color w:val="17365D"/>
          <w:sz w:val="30"/>
        </w:rPr>
        <w:t>6. RAN PR Worker Business Logic Contract</w:t>
      </w:r>
    </w:p>
    <w:p>
      <w:pPr>
        <w:spacing w:after="120" w:line="259" w:lineRule="auto"/>
      </w:pPr>
      <w:r>
        <w:rPr>
          <w:rFonts w:ascii="Aptos" w:hAnsi="Aptos"/>
          <w:sz w:val="21"/>
        </w:rPr>
        <w:t>The RAN PR Worker is a platform-native digital worker for producing ECC PR output workbooks from a BOM and an EPMS export. The upstream RAN engine supplies the transformation logic. The platform supplies operational control, lifecycle and UX.</w:t>
      </w:r>
    </w:p>
    <w:p>
      <w:pPr>
        <w:pStyle w:val="Heading2"/>
        <w:spacing w:before="180" w:after="100"/>
      </w:pPr>
      <w:r>
        <w:rPr>
          <w:rFonts w:ascii="Aptos" w:hAnsi="Aptos"/>
          <w:b/>
          <w:color w:val="17365D"/>
          <w:sz w:val="24"/>
        </w:rPr>
        <w:t>6.1 User Inputs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tcMar>
              <w:top w:w="90" w:type="dxa"/>
              <w:start w:w="90" w:type="dxa"/>
              <w:bottom w:w="90" w:type="dxa"/>
              <w:end w:w="90" w:type="dxa"/>
            </w:tcMar>
            <w:vAlign w:val="center"/>
          </w:tcPr>
          <w:p>
            <w:pPr>
              <w:jc w:val="left"/>
            </w:pPr>
            <w:r/>
            <w:r>
              <w:rPr>
                <w:rFonts w:ascii="Aptos" w:hAnsi="Aptos"/>
                <w:b/>
                <w:color w:val="FFFFFF"/>
                <w:sz w:val="17"/>
              </w:rPr>
              <w:t>Input</w:t>
            </w:r>
          </w:p>
        </w:tc>
        <w:tc>
          <w:tcPr>
            <w:tcW w:type="dxa" w:w="3384"/>
            <w:shd w:fill="17365D"/>
            <w:tcMar>
              <w:top w:w="90" w:type="dxa"/>
              <w:start w:w="90" w:type="dxa"/>
              <w:bottom w:w="90" w:type="dxa"/>
              <w:end w:w="90" w:type="dxa"/>
            </w:tcMar>
            <w:vAlign w:val="center"/>
          </w:tcPr>
          <w:p>
            <w:pPr>
              <w:jc w:val="left"/>
            </w:pPr>
            <w:r/>
            <w:r>
              <w:rPr>
                <w:rFonts w:ascii="Aptos" w:hAnsi="Aptos"/>
                <w:b/>
                <w:color w:val="FFFFFF"/>
                <w:sz w:val="17"/>
              </w:rPr>
              <w:t>Business purpose</w:t>
            </w:r>
          </w:p>
        </w:tc>
        <w:tc>
          <w:tcPr>
            <w:tcW w:type="dxa" w:w="4896"/>
            <w:shd w:fill="17365D"/>
            <w:tcMar>
              <w:top w:w="90" w:type="dxa"/>
              <w:start w:w="90" w:type="dxa"/>
              <w:bottom w:w="90" w:type="dxa"/>
              <w:end w:w="90" w:type="dxa"/>
            </w:tcMar>
            <w:vAlign w:val="center"/>
          </w:tcPr>
          <w:p>
            <w:pPr>
              <w:jc w:val="left"/>
            </w:pPr>
            <w:r/>
            <w:r>
              <w:rPr>
                <w:rFonts w:ascii="Aptos" w:hAnsi="Aptos"/>
                <w:b/>
                <w:color w:val="FFFFFF"/>
                <w:sz w:val="17"/>
              </w:rPr>
              <w:t>Platform behavior</w:t>
            </w:r>
          </w:p>
        </w:tc>
      </w:tr>
      <w:tr>
        <w:tc>
          <w:tcPr>
            <w:tcW w:type="dxa" w:w="2088"/>
            <w:tcMar>
              <w:top w:w="90" w:type="dxa"/>
              <w:start w:w="90" w:type="dxa"/>
              <w:bottom w:w="90" w:type="dxa"/>
              <w:end w:w="90" w:type="dxa"/>
            </w:tcMar>
          </w:tcPr>
          <w:p>
            <w:pPr>
              <w:spacing w:after="20" w:line="240" w:lineRule="auto"/>
            </w:pPr>
            <w:r/>
            <w:r>
              <w:rPr>
                <w:rFonts w:ascii="Aptos" w:hAnsi="Aptos"/>
                <w:sz w:val="17"/>
              </w:rPr>
              <w:t>BOM workbook</w:t>
            </w:r>
          </w:p>
        </w:tc>
        <w:tc>
          <w:tcPr>
            <w:tcW w:type="dxa" w:w="3384"/>
            <w:tcMar>
              <w:top w:w="90" w:type="dxa"/>
              <w:start w:w="90" w:type="dxa"/>
              <w:bottom w:w="90" w:type="dxa"/>
              <w:end w:w="90" w:type="dxa"/>
            </w:tcMar>
          </w:tcPr>
          <w:p>
            <w:pPr>
              <w:spacing w:after="20" w:line="240" w:lineRule="auto"/>
            </w:pPr>
            <w:r/>
            <w:r>
              <w:rPr>
                <w:rFonts w:ascii="Aptos" w:hAnsi="Aptos"/>
                <w:sz w:val="17"/>
              </w:rPr>
              <w:t>Source material and quantity basis for RAN PR generation.</w:t>
            </w:r>
          </w:p>
        </w:tc>
        <w:tc>
          <w:tcPr>
            <w:tcW w:type="dxa" w:w="4896"/>
            <w:tcMar>
              <w:top w:w="90" w:type="dxa"/>
              <w:start w:w="90" w:type="dxa"/>
              <w:bottom w:w="90" w:type="dxa"/>
              <w:end w:w="90" w:type="dxa"/>
            </w:tcMar>
          </w:tcPr>
          <w:p>
            <w:pPr>
              <w:spacing w:after="20" w:line="240" w:lineRule="auto"/>
            </w:pPr>
            <w:r/>
            <w:r>
              <w:rPr>
                <w:rFonts w:ascii="Aptos" w:hAnsi="Aptos"/>
                <w:sz w:val="17"/>
              </w:rPr>
              <w:t>Require approved workbook extension, file-size checks, readability validation and controlled storage.</w:t>
            </w:r>
          </w:p>
        </w:tc>
      </w:tr>
      <w:tr>
        <w:tc>
          <w:tcPr>
            <w:tcW w:type="dxa" w:w="2088"/>
            <w:tcMar>
              <w:top w:w="90" w:type="dxa"/>
              <w:start w:w="90" w:type="dxa"/>
              <w:bottom w:w="90" w:type="dxa"/>
              <w:end w:w="90" w:type="dxa"/>
            </w:tcMar>
            <w:shd w:fill="F7FAFC"/>
          </w:tcPr>
          <w:p>
            <w:pPr>
              <w:spacing w:after="20" w:line="240" w:lineRule="auto"/>
            </w:pPr>
            <w:r/>
            <w:r>
              <w:rPr>
                <w:rFonts w:ascii="Aptos" w:hAnsi="Aptos"/>
                <w:sz w:val="17"/>
              </w:rPr>
              <w:t>EPMS workbook</w:t>
            </w:r>
          </w:p>
        </w:tc>
        <w:tc>
          <w:tcPr>
            <w:tcW w:type="dxa" w:w="3384"/>
            <w:tcMar>
              <w:top w:w="90" w:type="dxa"/>
              <w:start w:w="90" w:type="dxa"/>
              <w:bottom w:w="90" w:type="dxa"/>
              <w:end w:w="90" w:type="dxa"/>
            </w:tcMar>
            <w:shd w:fill="F7FAFC"/>
          </w:tcPr>
          <w:p>
            <w:pPr>
              <w:spacing w:after="20" w:line="240" w:lineRule="auto"/>
            </w:pPr>
            <w:r/>
            <w:r>
              <w:rPr>
                <w:rFonts w:ascii="Aptos" w:hAnsi="Aptos"/>
                <w:sz w:val="17"/>
              </w:rPr>
              <w:t>Time-varying export used for RAN reference/deployment metadata enrichment.</w:t>
            </w:r>
          </w:p>
        </w:tc>
        <w:tc>
          <w:tcPr>
            <w:tcW w:type="dxa" w:w="4896"/>
            <w:tcMar>
              <w:top w:w="90" w:type="dxa"/>
              <w:start w:w="90" w:type="dxa"/>
              <w:bottom w:w="90" w:type="dxa"/>
              <w:end w:w="90" w:type="dxa"/>
            </w:tcMar>
            <w:shd w:fill="F7FAFC"/>
          </w:tcPr>
          <w:p>
            <w:pPr>
              <w:spacing w:after="20" w:line="240" w:lineRule="auto"/>
            </w:pPr>
            <w:r/>
            <w:r>
              <w:rPr>
                <w:rFonts w:ascii="Aptos" w:hAnsi="Aptos"/>
                <w:sz w:val="17"/>
              </w:rPr>
              <w:t>Must be uploaded per job; sample EPMS is only for regression proof.</w:t>
            </w:r>
          </w:p>
        </w:tc>
      </w:tr>
      <w:tr>
        <w:tc>
          <w:tcPr>
            <w:tcW w:type="dxa" w:w="2088"/>
            <w:tcMar>
              <w:top w:w="90" w:type="dxa"/>
              <w:start w:w="90" w:type="dxa"/>
              <w:bottom w:w="90" w:type="dxa"/>
              <w:end w:w="90" w:type="dxa"/>
            </w:tcMar>
          </w:tcPr>
          <w:p>
            <w:pPr>
              <w:spacing w:after="20" w:line="240" w:lineRule="auto"/>
            </w:pPr>
            <w:r/>
            <w:r>
              <w:rPr>
                <w:rFonts w:ascii="Aptos" w:hAnsi="Aptos"/>
                <w:sz w:val="17"/>
              </w:rPr>
              <w:t>Mode</w:t>
            </w:r>
          </w:p>
        </w:tc>
        <w:tc>
          <w:tcPr>
            <w:tcW w:type="dxa" w:w="3384"/>
            <w:tcMar>
              <w:top w:w="90" w:type="dxa"/>
              <w:start w:w="90" w:type="dxa"/>
              <w:bottom w:w="90" w:type="dxa"/>
              <w:end w:w="90" w:type="dxa"/>
            </w:tcMar>
          </w:tcPr>
          <w:p>
            <w:pPr>
              <w:spacing w:after="20" w:line="240" w:lineRule="auto"/>
            </w:pPr>
            <w:r/>
            <w:r>
              <w:rPr>
                <w:rFonts w:ascii="Aptos" w:hAnsi="Aptos"/>
                <w:sz w:val="17"/>
              </w:rPr>
              <w:t>Defines Standard PR or Standard PR with General Item.</w:t>
            </w:r>
          </w:p>
        </w:tc>
        <w:tc>
          <w:tcPr>
            <w:tcW w:type="dxa" w:w="4896"/>
            <w:tcMar>
              <w:top w:w="90" w:type="dxa"/>
              <w:start w:w="90" w:type="dxa"/>
              <w:bottom w:w="90" w:type="dxa"/>
              <w:end w:w="90" w:type="dxa"/>
            </w:tcMar>
          </w:tcPr>
          <w:p>
            <w:pPr>
              <w:spacing w:after="20" w:line="240" w:lineRule="auto"/>
            </w:pPr>
            <w:r/>
            <w:r>
              <w:rPr>
                <w:rFonts w:ascii="Aptos" w:hAnsi="Aptos"/>
                <w:sz w:val="17"/>
              </w:rPr>
              <w:t>Standard PR must not trigger any interactive terminal prompt.</w:t>
            </w:r>
          </w:p>
        </w:tc>
      </w:tr>
      <w:tr>
        <w:tc>
          <w:tcPr>
            <w:tcW w:type="dxa" w:w="2088"/>
            <w:tcMar>
              <w:top w:w="90" w:type="dxa"/>
              <w:start w:w="90" w:type="dxa"/>
              <w:bottom w:w="90" w:type="dxa"/>
              <w:end w:w="90" w:type="dxa"/>
            </w:tcMar>
            <w:shd w:fill="F7FAFC"/>
          </w:tcPr>
          <w:p>
            <w:pPr>
              <w:spacing w:after="20" w:line="240" w:lineRule="auto"/>
            </w:pPr>
            <w:r/>
            <w:r>
              <w:rPr>
                <w:rFonts w:ascii="Aptos" w:hAnsi="Aptos"/>
                <w:sz w:val="17"/>
              </w:rPr>
              <w:t>General Item project</w:t>
            </w:r>
          </w:p>
        </w:tc>
        <w:tc>
          <w:tcPr>
            <w:tcW w:type="dxa" w:w="3384"/>
            <w:tcMar>
              <w:top w:w="90" w:type="dxa"/>
              <w:start w:w="90" w:type="dxa"/>
              <w:bottom w:w="90" w:type="dxa"/>
              <w:end w:w="90" w:type="dxa"/>
            </w:tcMar>
            <w:shd w:fill="F7FAFC"/>
          </w:tcPr>
          <w:p>
            <w:pPr>
              <w:spacing w:after="20" w:line="240" w:lineRule="auto"/>
            </w:pPr>
            <w:r/>
            <w:r>
              <w:rPr>
                <w:rFonts w:ascii="Aptos" w:hAnsi="Aptos"/>
                <w:sz w:val="17"/>
              </w:rPr>
              <w:t>Selects approved General Item business configuration when that mode is used.</w:t>
            </w:r>
          </w:p>
        </w:tc>
        <w:tc>
          <w:tcPr>
            <w:tcW w:type="dxa" w:w="4896"/>
            <w:tcMar>
              <w:top w:w="90" w:type="dxa"/>
              <w:start w:w="90" w:type="dxa"/>
              <w:bottom w:w="90" w:type="dxa"/>
              <w:end w:w="90" w:type="dxa"/>
            </w:tcMar>
            <w:shd w:fill="F7FAFC"/>
          </w:tcPr>
          <w:p>
            <w:pPr>
              <w:spacing w:after="20" w:line="240" w:lineRule="auto"/>
            </w:pPr>
            <w:r/>
            <w:r>
              <w:rPr>
                <w:rFonts w:ascii="Aptos" w:hAnsi="Aptos"/>
                <w:sz w:val="17"/>
              </w:rPr>
              <w:t>Options must be derived from the RAN configuration and validated server-side; never pass arbitrary strings to Python.</w:t>
            </w:r>
          </w:p>
        </w:tc>
      </w:tr>
    </w:tbl>
    <w:p>
      <w:pPr>
        <w:spacing w:after="60"/>
      </w:pPr>
    </w:p>
    <w:p>
      <w:pPr>
        <w:pStyle w:val="Heading2"/>
        <w:spacing w:before="180" w:after="100"/>
      </w:pPr>
      <w:r>
        <w:rPr>
          <w:rFonts w:ascii="Aptos" w:hAnsi="Aptos"/>
          <w:b/>
          <w:color w:val="17365D"/>
          <w:sz w:val="24"/>
        </w:rPr>
        <w:t>6.2 Business Flow</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User uploads BOM + EPMS</w:t>
            </w:r>
            <w:r>
              <w:br/>
            </w:r>
            <w:r>
              <w:rPr>
                <w:rFonts w:ascii="Consolas" w:hAnsi="Consolas"/>
                <w:color w:val="303F4B"/>
                <w:sz w:val="17"/>
              </w:rPr>
              <w:t xml:space="preserve">        ↓</w:t>
            </w:r>
            <w:r>
              <w:br/>
            </w:r>
            <w:r>
              <w:rPr>
                <w:rFonts w:ascii="Consolas" w:hAnsi="Consolas"/>
                <w:color w:val="303F4B"/>
                <w:sz w:val="17"/>
              </w:rPr>
              <w:t>Platform validates files and selected mode/project</w:t>
            </w:r>
            <w:r>
              <w:br/>
            </w:r>
            <w:r>
              <w:rPr>
                <w:rFonts w:ascii="Consolas" w:hAnsi="Consolas"/>
                <w:color w:val="303F4B"/>
                <w:sz w:val="17"/>
              </w:rPr>
              <w:t xml:space="preserve">        ↓</w:t>
            </w:r>
            <w:r>
              <w:br/>
            </w:r>
            <w:r>
              <w:rPr>
                <w:rFonts w:ascii="Consolas" w:hAnsi="Consolas"/>
                <w:color w:val="303F4B"/>
                <w:sz w:val="17"/>
              </w:rPr>
              <w:t>Platform creates job record with workerId = ran-pr</w:t>
            </w:r>
            <w:r>
              <w:br/>
            </w:r>
            <w:r>
              <w:rPr>
                <w:rFonts w:ascii="Consolas" w:hAnsi="Consolas"/>
                <w:color w:val="303F4B"/>
                <w:sz w:val="17"/>
              </w:rPr>
              <w:t xml:space="preserve">        ↓</w:t>
            </w:r>
            <w:r>
              <w:br/>
            </w:r>
            <w:r>
              <w:rPr>
                <w:rFonts w:ascii="Consolas" w:hAnsi="Consolas"/>
                <w:color w:val="303F4B"/>
                <w:sz w:val="17"/>
              </w:rPr>
              <w:t>Queue dispatches the approved RAN adapter</w:t>
            </w:r>
            <w:r>
              <w:br/>
            </w:r>
            <w:r>
              <w:rPr>
                <w:rFonts w:ascii="Consolas" w:hAnsi="Consolas"/>
                <w:color w:val="303F4B"/>
                <w:sz w:val="17"/>
              </w:rPr>
              <w:t xml:space="preserve">        ↓</w:t>
            </w:r>
            <w:r>
              <w:br/>
            </w:r>
            <w:r>
              <w:rPr>
                <w:rFonts w:ascii="Consolas" w:hAnsi="Consolas"/>
                <w:color w:val="303F4B"/>
                <w:sz w:val="17"/>
              </w:rPr>
              <w:t>Adapter builds an isolated job workspace</w:t>
            </w:r>
            <w:r>
              <w:br/>
            </w:r>
            <w:r>
              <w:rPr>
                <w:rFonts w:ascii="Consolas" w:hAnsi="Consolas"/>
                <w:color w:val="303F4B"/>
                <w:sz w:val="17"/>
              </w:rPr>
              <w:t xml:space="preserve">        ↓</w:t>
            </w:r>
            <w:r>
              <w:br/>
            </w:r>
            <w:r>
              <w:rPr>
                <w:rFonts w:ascii="Consolas" w:hAnsi="Consolas"/>
                <w:color w:val="303F4B"/>
                <w:sz w:val="17"/>
              </w:rPr>
              <w:t>Engine stages execute in controlled order</w:t>
            </w:r>
            <w:r>
              <w:br/>
            </w:r>
            <w:r>
              <w:rPr>
                <w:rFonts w:ascii="Consolas" w:hAnsi="Consolas"/>
                <w:color w:val="303F4B"/>
                <w:sz w:val="17"/>
              </w:rPr>
              <w:t xml:space="preserve">  1. simple_normalize.py</w:t>
            </w:r>
            <w:r>
              <w:br/>
            </w:r>
            <w:r>
              <w:rPr>
                <w:rFonts w:ascii="Consolas" w:hAnsi="Consolas"/>
                <w:color w:val="303F4B"/>
                <w:sz w:val="17"/>
              </w:rPr>
              <w:t xml:space="preserve">  2. simple_calculation.py</w:t>
            </w:r>
            <w:r>
              <w:br/>
            </w:r>
            <w:r>
              <w:rPr>
                <w:rFonts w:ascii="Consolas" w:hAnsi="Consolas"/>
                <w:color w:val="303F4B"/>
                <w:sz w:val="17"/>
              </w:rPr>
              <w:t xml:space="preserve">  3. simple_pr_generator.py</w:t>
            </w:r>
            <w:r>
              <w:br/>
            </w:r>
            <w:r>
              <w:rPr>
                <w:rFonts w:ascii="Consolas" w:hAnsi="Consolas"/>
                <w:color w:val="303F4B"/>
                <w:sz w:val="17"/>
              </w:rPr>
              <w:t xml:space="preserve">  4. simple_ecc_export.py</w:t>
            </w:r>
            <w:r>
              <w:br/>
            </w:r>
            <w:r>
              <w:rPr>
                <w:rFonts w:ascii="Consolas" w:hAnsi="Consolas"/>
                <w:color w:val="303F4B"/>
                <w:sz w:val="17"/>
              </w:rPr>
              <w:t xml:space="preserve">        ↓</w:t>
            </w:r>
            <w:r>
              <w:br/>
            </w:r>
            <w:r>
              <w:rPr>
                <w:rFonts w:ascii="Consolas" w:hAnsi="Consolas"/>
                <w:color w:val="303F4B"/>
                <w:sz w:val="17"/>
              </w:rPr>
              <w:t>Adapter collects approved ECC outputs</w:t>
            </w:r>
            <w:r>
              <w:br/>
            </w:r>
            <w:r>
              <w:rPr>
                <w:rFonts w:ascii="Consolas" w:hAnsi="Consolas"/>
                <w:color w:val="303F4B"/>
                <w:sz w:val="17"/>
              </w:rPr>
              <w:t xml:space="preserve">        ↓</w:t>
            </w:r>
            <w:r>
              <w:br/>
            </w:r>
            <w:r>
              <w:rPr>
                <w:rFonts w:ascii="Consolas" w:hAnsi="Consolas"/>
                <w:color w:val="303F4B"/>
                <w:sz w:val="17"/>
              </w:rPr>
              <w:t>Platform stores result metadata, ZIP package and user-safe summary</w:t>
            </w:r>
            <w:r>
              <w:br/>
            </w:r>
            <w:r>
              <w:rPr>
                <w:rFonts w:ascii="Consolas" w:hAnsi="Consolas"/>
                <w:color w:val="303F4B"/>
                <w:sz w:val="17"/>
              </w:rPr>
              <w:t xml:space="preserve">        ↓</w:t>
            </w:r>
            <w:r>
              <w:br/>
            </w:r>
            <w:r>
              <w:rPr>
                <w:rFonts w:ascii="Consolas" w:hAnsi="Consolas"/>
                <w:color w:val="303F4B"/>
                <w:sz w:val="17"/>
              </w:rPr>
              <w:t>History / Job Detail / Downloads reflect the completed job</w:t>
            </w:r>
          </w:p>
        </w:tc>
      </w:tr>
    </w:tbl>
    <w:p>
      <w:pPr>
        <w:spacing w:after="40"/>
      </w:pPr>
    </w:p>
    <w:p>
      <w:pPr>
        <w:pStyle w:val="Heading2"/>
        <w:spacing w:before="180" w:after="100"/>
      </w:pPr>
      <w:r>
        <w:rPr>
          <w:rFonts w:ascii="Aptos" w:hAnsi="Aptos"/>
          <w:b/>
          <w:color w:val="17365D"/>
          <w:sz w:val="24"/>
        </w:rPr>
        <w:t>6.3 Mode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Mar>
              <w:top w:w="90" w:type="dxa"/>
              <w:start w:w="90" w:type="dxa"/>
              <w:bottom w:w="90" w:type="dxa"/>
              <w:end w:w="90" w:type="dxa"/>
            </w:tcMar>
            <w:vAlign w:val="center"/>
          </w:tcPr>
          <w:p>
            <w:pPr>
              <w:jc w:val="left"/>
            </w:pPr>
            <w:r/>
            <w:r>
              <w:rPr>
                <w:rFonts w:ascii="Aptos" w:hAnsi="Aptos"/>
                <w:b/>
                <w:color w:val="FFFFFF"/>
                <w:sz w:val="18"/>
              </w:rPr>
              <w:t>Mode</w:t>
            </w:r>
          </w:p>
        </w:tc>
        <w:tc>
          <w:tcPr>
            <w:tcW w:type="dxa" w:w="4608"/>
            <w:shd w:fill="17365D"/>
            <w:tcMar>
              <w:top w:w="90" w:type="dxa"/>
              <w:start w:w="90" w:type="dxa"/>
              <w:bottom w:w="90" w:type="dxa"/>
              <w:end w:w="90" w:type="dxa"/>
            </w:tcMar>
            <w:vAlign w:val="center"/>
          </w:tcPr>
          <w:p>
            <w:pPr>
              <w:jc w:val="left"/>
            </w:pPr>
            <w:r/>
            <w:r>
              <w:rPr>
                <w:rFonts w:ascii="Aptos" w:hAnsi="Aptos"/>
                <w:b/>
                <w:color w:val="FFFFFF"/>
                <w:sz w:val="18"/>
              </w:rPr>
              <w:t>Required behavior</w:t>
            </w:r>
          </w:p>
        </w:tc>
        <w:tc>
          <w:tcPr>
            <w:tcW w:type="dxa" w:w="3384"/>
            <w:shd w:fill="17365D"/>
            <w:tcMar>
              <w:top w:w="90" w:type="dxa"/>
              <w:start w:w="90" w:type="dxa"/>
              <w:bottom w:w="90" w:type="dxa"/>
              <w:end w:w="90" w:type="dxa"/>
            </w:tcMar>
            <w:vAlign w:val="center"/>
          </w:tcPr>
          <w:p>
            <w:pPr>
              <w:jc w:val="left"/>
            </w:pPr>
            <w:r/>
            <w:r>
              <w:rPr>
                <w:rFonts w:ascii="Aptos" w:hAnsi="Aptos"/>
                <w:b/>
                <w:color w:val="FFFFFF"/>
                <w:sz w:val="18"/>
              </w:rPr>
              <w:t>Expected outputs</w:t>
            </w:r>
          </w:p>
        </w:tc>
      </w:tr>
      <w:tr>
        <w:tc>
          <w:tcPr>
            <w:tcW w:type="dxa" w:w="2376"/>
            <w:tcMar>
              <w:top w:w="90" w:type="dxa"/>
              <w:start w:w="90" w:type="dxa"/>
              <w:bottom w:w="90" w:type="dxa"/>
              <w:end w:w="90" w:type="dxa"/>
            </w:tcMar>
          </w:tcPr>
          <w:p>
            <w:pPr>
              <w:spacing w:after="20" w:line="240" w:lineRule="auto"/>
            </w:pPr>
            <w:r/>
            <w:r>
              <w:rPr>
                <w:rFonts w:ascii="Aptos" w:hAnsi="Aptos"/>
                <w:sz w:val="18"/>
              </w:rPr>
              <w:t>Standard PR</w:t>
            </w:r>
          </w:p>
        </w:tc>
        <w:tc>
          <w:tcPr>
            <w:tcW w:type="dxa" w:w="4608"/>
            <w:tcMar>
              <w:top w:w="90" w:type="dxa"/>
              <w:start w:w="90" w:type="dxa"/>
              <w:bottom w:w="90" w:type="dxa"/>
              <w:end w:w="90" w:type="dxa"/>
            </w:tcMar>
          </w:tcPr>
          <w:p>
            <w:pPr>
              <w:spacing w:after="20" w:line="240" w:lineRule="auto"/>
            </w:pPr>
            <w:r/>
            <w:r>
              <w:rPr>
                <w:rFonts w:ascii="Aptos" w:hAnsi="Aptos"/>
                <w:sz w:val="18"/>
              </w:rPr>
              <w:t>Run without interactive input. Do not generate or claim General Item content.</w:t>
            </w:r>
          </w:p>
        </w:tc>
        <w:tc>
          <w:tcPr>
            <w:tcW w:type="dxa" w:w="3384"/>
            <w:tcMar>
              <w:top w:w="90" w:type="dxa"/>
              <w:start w:w="90" w:type="dxa"/>
              <w:bottom w:w="90" w:type="dxa"/>
              <w:end w:w="90" w:type="dxa"/>
            </w:tcMar>
          </w:tcPr>
          <w:p>
            <w:pPr>
              <w:spacing w:after="20" w:line="240" w:lineRule="auto"/>
            </w:pPr>
            <w:r/>
            <w:r>
              <w:rPr>
                <w:rFonts w:ascii="Aptos" w:hAnsi="Aptos"/>
                <w:sz w:val="18"/>
              </w:rPr>
              <w:t>ECC_PR_Output.xlsx and platform ZIP, subject to actual engine output contract.</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Standard PR + General Item</w:t>
            </w:r>
          </w:p>
        </w:tc>
        <w:tc>
          <w:tcPr>
            <w:tcW w:type="dxa" w:w="4608"/>
            <w:tcMar>
              <w:top w:w="90" w:type="dxa"/>
              <w:start w:w="90" w:type="dxa"/>
              <w:bottom w:w="90" w:type="dxa"/>
              <w:end w:w="90" w:type="dxa"/>
            </w:tcMar>
            <w:shd w:fill="F7FAFC"/>
          </w:tcPr>
          <w:p>
            <w:pPr>
              <w:spacing w:after="20" w:line="240" w:lineRule="auto"/>
            </w:pPr>
            <w:r/>
            <w:r>
              <w:rPr>
                <w:rFonts w:ascii="Aptos" w:hAnsi="Aptos"/>
                <w:sz w:val="18"/>
              </w:rPr>
              <w:t>Require a server-validated configuration project selection.</w:t>
            </w:r>
          </w:p>
        </w:tc>
        <w:tc>
          <w:tcPr>
            <w:tcW w:type="dxa" w:w="3384"/>
            <w:tcMar>
              <w:top w:w="90" w:type="dxa"/>
              <w:start w:w="90" w:type="dxa"/>
              <w:bottom w:w="90" w:type="dxa"/>
              <w:end w:w="90" w:type="dxa"/>
            </w:tcMar>
            <w:shd w:fill="F7FAFC"/>
          </w:tcPr>
          <w:p>
            <w:pPr>
              <w:spacing w:after="20" w:line="240" w:lineRule="auto"/>
            </w:pPr>
            <w:r/>
            <w:r>
              <w:rPr>
                <w:rFonts w:ascii="Aptos" w:hAnsi="Aptos"/>
                <w:sz w:val="18"/>
              </w:rPr>
              <w:t>Standard ECC PR output plus General Item output when produced by the engine.</w:t>
            </w:r>
          </w:p>
        </w:tc>
      </w:tr>
      <w:tr>
        <w:tc>
          <w:tcPr>
            <w:tcW w:type="dxa" w:w="2376"/>
            <w:tcMar>
              <w:top w:w="90" w:type="dxa"/>
              <w:start w:w="90" w:type="dxa"/>
              <w:bottom w:w="90" w:type="dxa"/>
              <w:end w:w="90" w:type="dxa"/>
            </w:tcMar>
          </w:tcPr>
          <w:p>
            <w:pPr>
              <w:spacing w:after="20" w:line="240" w:lineRule="auto"/>
            </w:pPr>
            <w:r/>
            <w:r>
              <w:rPr>
                <w:rFonts w:ascii="Aptos" w:hAnsi="Aptos"/>
                <w:sz w:val="18"/>
              </w:rPr>
              <w:t>BOM Comparison</w:t>
            </w:r>
          </w:p>
        </w:tc>
        <w:tc>
          <w:tcPr>
            <w:tcW w:type="dxa" w:w="4608"/>
            <w:tcMar>
              <w:top w:w="90" w:type="dxa"/>
              <w:start w:w="90" w:type="dxa"/>
              <w:bottom w:w="90" w:type="dxa"/>
              <w:end w:w="90" w:type="dxa"/>
            </w:tcMar>
          </w:tcPr>
          <w:p>
            <w:pPr>
              <w:spacing w:after="20" w:line="240" w:lineRule="auto"/>
            </w:pPr>
            <w:r/>
            <w:r>
              <w:rPr>
                <w:rFonts w:ascii="Aptos" w:hAnsi="Aptos"/>
                <w:sz w:val="18"/>
              </w:rPr>
              <w:t>Not implemented in v1. No UI control, route or implied availability.</w:t>
            </w:r>
          </w:p>
        </w:tc>
        <w:tc>
          <w:tcPr>
            <w:tcW w:type="dxa" w:w="3384"/>
            <w:tcMar>
              <w:top w:w="90" w:type="dxa"/>
              <w:start w:w="90" w:type="dxa"/>
              <w:bottom w:w="90" w:type="dxa"/>
              <w:end w:w="90" w:type="dxa"/>
            </w:tcMar>
          </w:tcPr>
          <w:p>
            <w:pPr>
              <w:spacing w:after="20" w:line="240" w:lineRule="auto"/>
            </w:pPr>
            <w:r/>
            <w:r>
              <w:rPr>
                <w:rFonts w:ascii="Aptos" w:hAnsi="Aptos"/>
                <w:sz w:val="18"/>
              </w:rPr>
              <w:t>None. Record as deferred future RAN Worker capability or mode.</w:t>
            </w:r>
          </w:p>
        </w:tc>
      </w:tr>
    </w:tbl>
    <w:p>
      <w:pPr>
        <w:spacing w:after="60"/>
      </w:pPr>
    </w:p>
    <w:p>
      <w:pPr>
        <w:pStyle w:val="Heading2"/>
        <w:spacing w:before="180" w:after="100"/>
      </w:pPr>
      <w:r>
        <w:rPr>
          <w:rFonts w:ascii="Aptos" w:hAnsi="Aptos"/>
          <w:b/>
          <w:color w:val="17365D"/>
          <w:sz w:val="24"/>
        </w:rPr>
        <w:t>6.4 Progress Messages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90" w:type="dxa"/>
              <w:start w:w="90" w:type="dxa"/>
              <w:bottom w:w="90" w:type="dxa"/>
              <w:end w:w="90" w:type="dxa"/>
            </w:tcMar>
            <w:vAlign w:val="center"/>
          </w:tcPr>
          <w:p>
            <w:pPr>
              <w:jc w:val="left"/>
            </w:pPr>
            <w:r/>
            <w:r>
              <w:rPr>
                <w:rFonts w:ascii="Aptos" w:hAnsi="Aptos"/>
                <w:b/>
                <w:color w:val="FFFFFF"/>
                <w:sz w:val="18"/>
              </w:rPr>
              <w:t>Stage</w:t>
            </w:r>
          </w:p>
        </w:tc>
        <w:tc>
          <w:tcPr>
            <w:tcW w:type="dxa" w:w="8136"/>
            <w:shd w:fill="17365D"/>
            <w:tcMar>
              <w:top w:w="90" w:type="dxa"/>
              <w:start w:w="90" w:type="dxa"/>
              <w:bottom w:w="90" w:type="dxa"/>
              <w:end w:w="90" w:type="dxa"/>
            </w:tcMar>
            <w:vAlign w:val="center"/>
          </w:tcPr>
          <w:p>
            <w:pPr>
              <w:jc w:val="left"/>
            </w:pPr>
            <w:r/>
            <w:r>
              <w:rPr>
                <w:rFonts w:ascii="Aptos" w:hAnsi="Aptos"/>
                <w:b/>
                <w:color w:val="FFFFFF"/>
                <w:sz w:val="18"/>
              </w:rPr>
              <w:t>Platform-visible message</w:t>
            </w:r>
          </w:p>
        </w:tc>
      </w:tr>
      <w:tr>
        <w:tc>
          <w:tcPr>
            <w:tcW w:type="dxa" w:w="2232"/>
            <w:tcMar>
              <w:top w:w="90" w:type="dxa"/>
              <w:start w:w="90" w:type="dxa"/>
              <w:bottom w:w="90" w:type="dxa"/>
              <w:end w:w="90" w:type="dxa"/>
            </w:tcMar>
          </w:tcPr>
          <w:p>
            <w:pPr>
              <w:spacing w:after="20" w:line="240" w:lineRule="auto"/>
            </w:pPr>
            <w:r/>
            <w:r>
              <w:rPr>
                <w:rFonts w:ascii="Aptos" w:hAnsi="Aptos"/>
                <w:sz w:val="18"/>
              </w:rPr>
              <w:t>Validation</w:t>
            </w:r>
          </w:p>
        </w:tc>
        <w:tc>
          <w:tcPr>
            <w:tcW w:type="dxa" w:w="8136"/>
            <w:tcMar>
              <w:top w:w="90" w:type="dxa"/>
              <w:start w:w="90" w:type="dxa"/>
              <w:bottom w:w="90" w:type="dxa"/>
              <w:end w:w="90" w:type="dxa"/>
            </w:tcMar>
          </w:tcPr>
          <w:p>
            <w:pPr>
              <w:spacing w:after="20" w:line="240" w:lineRule="auto"/>
            </w:pPr>
            <w:r/>
            <w:r>
              <w:rPr>
                <w:rFonts w:ascii="Aptos" w:hAnsi="Aptos"/>
                <w:sz w:val="18"/>
              </w:rPr>
              <w:t>Validating RAN BOM and EPMS workbooks</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Workspace</w:t>
            </w:r>
          </w:p>
        </w:tc>
        <w:tc>
          <w:tcPr>
            <w:tcW w:type="dxa" w:w="8136"/>
            <w:tcMar>
              <w:top w:w="90" w:type="dxa"/>
              <w:start w:w="90" w:type="dxa"/>
              <w:bottom w:w="90" w:type="dxa"/>
              <w:end w:w="90" w:type="dxa"/>
            </w:tcMar>
            <w:shd w:fill="F7FAFC"/>
          </w:tcPr>
          <w:p>
            <w:pPr>
              <w:spacing w:after="20" w:line="240" w:lineRule="auto"/>
            </w:pPr>
            <w:r/>
            <w:r>
              <w:rPr>
                <w:rFonts w:ascii="Aptos" w:hAnsi="Aptos"/>
                <w:sz w:val="18"/>
              </w:rPr>
              <w:t>Preparing isolated RAN workspace</w:t>
            </w:r>
          </w:p>
        </w:tc>
      </w:tr>
      <w:tr>
        <w:tc>
          <w:tcPr>
            <w:tcW w:type="dxa" w:w="2232"/>
            <w:tcMar>
              <w:top w:w="90" w:type="dxa"/>
              <w:start w:w="90" w:type="dxa"/>
              <w:bottom w:w="90" w:type="dxa"/>
              <w:end w:w="90" w:type="dxa"/>
            </w:tcMar>
          </w:tcPr>
          <w:p>
            <w:pPr>
              <w:spacing w:after="20" w:line="240" w:lineRule="auto"/>
            </w:pPr>
            <w:r/>
            <w:r>
              <w:rPr>
                <w:rFonts w:ascii="Aptos" w:hAnsi="Aptos"/>
                <w:sz w:val="18"/>
              </w:rPr>
              <w:t>Normalization</w:t>
            </w:r>
          </w:p>
        </w:tc>
        <w:tc>
          <w:tcPr>
            <w:tcW w:type="dxa" w:w="8136"/>
            <w:tcMar>
              <w:top w:w="90" w:type="dxa"/>
              <w:start w:w="90" w:type="dxa"/>
              <w:bottom w:w="90" w:type="dxa"/>
              <w:end w:w="90" w:type="dxa"/>
            </w:tcMar>
          </w:tcPr>
          <w:p>
            <w:pPr>
              <w:spacing w:after="20" w:line="240" w:lineRule="auto"/>
            </w:pPr>
            <w:r/>
            <w:r>
              <w:rPr>
                <w:rFonts w:ascii="Aptos" w:hAnsi="Aptos"/>
                <w:sz w:val="18"/>
              </w:rPr>
              <w:t>Running RAN normalization</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Calculation</w:t>
            </w:r>
          </w:p>
        </w:tc>
        <w:tc>
          <w:tcPr>
            <w:tcW w:type="dxa" w:w="8136"/>
            <w:tcMar>
              <w:top w:w="90" w:type="dxa"/>
              <w:start w:w="90" w:type="dxa"/>
              <w:bottom w:w="90" w:type="dxa"/>
              <w:end w:w="90" w:type="dxa"/>
            </w:tcMar>
            <w:shd w:fill="F7FAFC"/>
          </w:tcPr>
          <w:p>
            <w:pPr>
              <w:spacing w:after="20" w:line="240" w:lineRule="auto"/>
            </w:pPr>
            <w:r/>
            <w:r>
              <w:rPr>
                <w:rFonts w:ascii="Aptos" w:hAnsi="Aptos"/>
                <w:sz w:val="18"/>
              </w:rPr>
              <w:t>Applying RAN calculation rules</w:t>
            </w:r>
          </w:p>
        </w:tc>
      </w:tr>
      <w:tr>
        <w:tc>
          <w:tcPr>
            <w:tcW w:type="dxa" w:w="2232"/>
            <w:tcMar>
              <w:top w:w="90" w:type="dxa"/>
              <w:start w:w="90" w:type="dxa"/>
              <w:bottom w:w="90" w:type="dxa"/>
              <w:end w:w="90" w:type="dxa"/>
            </w:tcMar>
          </w:tcPr>
          <w:p>
            <w:pPr>
              <w:spacing w:after="20" w:line="240" w:lineRule="auto"/>
            </w:pPr>
            <w:r/>
            <w:r>
              <w:rPr>
                <w:rFonts w:ascii="Aptos" w:hAnsi="Aptos"/>
                <w:sz w:val="18"/>
              </w:rPr>
              <w:t>PR generation</w:t>
            </w:r>
          </w:p>
        </w:tc>
        <w:tc>
          <w:tcPr>
            <w:tcW w:type="dxa" w:w="8136"/>
            <w:tcMar>
              <w:top w:w="90" w:type="dxa"/>
              <w:start w:w="90" w:type="dxa"/>
              <w:bottom w:w="90" w:type="dxa"/>
              <w:end w:w="90" w:type="dxa"/>
            </w:tcMar>
          </w:tcPr>
          <w:p>
            <w:pPr>
              <w:spacing w:after="20" w:line="240" w:lineRule="auto"/>
            </w:pPr>
            <w:r/>
            <w:r>
              <w:rPr>
                <w:rFonts w:ascii="Aptos" w:hAnsi="Aptos"/>
                <w:sz w:val="18"/>
              </w:rPr>
              <w:t>Generating ECC PR lines</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Export</w:t>
            </w:r>
          </w:p>
        </w:tc>
        <w:tc>
          <w:tcPr>
            <w:tcW w:type="dxa" w:w="8136"/>
            <w:tcMar>
              <w:top w:w="90" w:type="dxa"/>
              <w:start w:w="90" w:type="dxa"/>
              <w:bottom w:w="90" w:type="dxa"/>
              <w:end w:w="90" w:type="dxa"/>
            </w:tcMar>
            <w:shd w:fill="F7FAFC"/>
          </w:tcPr>
          <w:p>
            <w:pPr>
              <w:spacing w:after="20" w:line="240" w:lineRule="auto"/>
            </w:pPr>
            <w:r/>
            <w:r>
              <w:rPr>
                <w:rFonts w:ascii="Aptos" w:hAnsi="Aptos"/>
                <w:sz w:val="18"/>
              </w:rPr>
              <w:t>Exporting ECC workbook</w:t>
            </w:r>
          </w:p>
        </w:tc>
      </w:tr>
      <w:tr>
        <w:tc>
          <w:tcPr>
            <w:tcW w:type="dxa" w:w="2232"/>
            <w:tcMar>
              <w:top w:w="90" w:type="dxa"/>
              <w:start w:w="90" w:type="dxa"/>
              <w:bottom w:w="90" w:type="dxa"/>
              <w:end w:w="90" w:type="dxa"/>
            </w:tcMar>
          </w:tcPr>
          <w:p>
            <w:pPr>
              <w:spacing w:after="20" w:line="240" w:lineRule="auto"/>
            </w:pPr>
            <w:r/>
            <w:r>
              <w:rPr>
                <w:rFonts w:ascii="Aptos" w:hAnsi="Aptos"/>
                <w:sz w:val="18"/>
              </w:rPr>
              <w:t>Collection</w:t>
            </w:r>
          </w:p>
        </w:tc>
        <w:tc>
          <w:tcPr>
            <w:tcW w:type="dxa" w:w="8136"/>
            <w:tcMar>
              <w:top w:w="90" w:type="dxa"/>
              <w:start w:w="90" w:type="dxa"/>
              <w:bottom w:w="90" w:type="dxa"/>
              <w:end w:w="90" w:type="dxa"/>
            </w:tcMar>
          </w:tcPr>
          <w:p>
            <w:pPr>
              <w:spacing w:after="20" w:line="240" w:lineRule="auto"/>
            </w:pPr>
            <w:r/>
            <w:r>
              <w:rPr>
                <w:rFonts w:ascii="Aptos" w:hAnsi="Aptos"/>
                <w:sz w:val="18"/>
              </w:rPr>
              <w:t>Collecting RAN outputs and building ZIP package</w:t>
            </w:r>
          </w:p>
        </w:tc>
      </w:tr>
    </w:tbl>
    <w:p>
      <w:pPr>
        <w:spacing w:after="60"/>
      </w:pPr>
    </w:p>
    <w:p>
      <w:r>
        <w:rPr>
          <w:rFonts w:ascii="Aptos" w:hAnsi="Aptos"/>
          <w:sz w:val="21"/>
        </w:rPr>
        <w:br w:type="page"/>
      </w:r>
    </w:p>
    <w:p>
      <w:pPr>
        <w:pStyle w:val="Heading1"/>
        <w:spacing w:before="280" w:after="100"/>
      </w:pPr>
      <w:r>
        <w:rPr>
          <w:rFonts w:ascii="Aptos" w:hAnsi="Aptos"/>
          <w:b/>
          <w:color w:val="17365D"/>
          <w:sz w:val="30"/>
        </w:rPr>
        <w:t>7. Job, Persistence and Audit Model</w:t>
      </w:r>
    </w:p>
    <w:p>
      <w:pPr>
        <w:spacing w:after="120" w:line="259" w:lineRule="auto"/>
      </w:pPr>
      <w:r>
        <w:rPr>
          <w:rFonts w:ascii="Aptos" w:hAnsi="Aptos"/>
          <w:sz w:val="21"/>
        </w:rPr>
        <w:t>RAN jobs must use the same platform job repository and shared history effect as MW jobs. The actual persistence provider and compatibility layer must be confirmed in Phase 0 from the codebase. The logical contract below is independent of whether a current implementation uses Firebase, MongoDB, or a compatibility adapter.</w:t>
      </w:r>
    </w:p>
    <w:tbl>
      <w:tblPr>
        <w:tblW w:type="auto" w:w="0"/>
        <w:jc w:val="center"/>
        <w:tblLook w:firstColumn="1" w:firstRow="1" w:lastColumn="0" w:lastRow="0" w:noHBand="0" w:noVBand="1" w:val="04A0"/>
      </w:tblPr>
      <w:tblGrid>
        <w:gridCol w:w="10166"/>
      </w:tblGrid>
      <w:tr>
        <w:tc>
          <w:tcPr>
            <w:tcW w:type="dxa" w:w="10166"/>
            <w:shd w:fill="EAF3F6"/>
            <w:tcMar>
              <w:top w:w="130" w:type="dxa"/>
              <w:start w:w="160" w:type="dxa"/>
              <w:bottom w:w="130" w:type="dxa"/>
              <w:end w:w="160" w:type="dxa"/>
            </w:tcMar>
          </w:tcPr>
          <w:p>
            <w:pPr>
              <w:spacing w:after="40"/>
            </w:pPr>
            <w:r>
              <w:rPr>
                <w:rFonts w:ascii="Aptos" w:hAnsi="Aptos"/>
                <w:b/>
                <w:color w:val="17365D"/>
                <w:sz w:val="20"/>
              </w:rPr>
              <w:t>Non-negotiable rule</w:t>
            </w:r>
          </w:p>
          <w:p>
            <w:pPr>
              <w:spacing w:after="0"/>
            </w:pPr>
            <w:r>
              <w:rPr>
                <w:rFonts w:ascii="Aptos" w:hAnsi="Aptos"/>
                <w:sz w:val="19"/>
              </w:rPr>
              <w:t>Do not create a separate ran_jobs database path, RAN-only history view, parallel job IDs or direct Python persistence. The platform backend is the sole owner of persistence and user-facing lifecycle transitions.</w:t>
            </w:r>
          </w:p>
        </w:tc>
      </w:tr>
    </w:tbl>
    <w:p>
      <w:pPr>
        <w:spacing w:after="40"/>
      </w:pPr>
    </w:p>
    <w:p>
      <w:pPr>
        <w:pStyle w:val="Heading2"/>
        <w:spacing w:before="180" w:after="100"/>
      </w:pPr>
      <w:r>
        <w:rPr>
          <w:rFonts w:ascii="Aptos" w:hAnsi="Aptos"/>
          <w:b/>
          <w:color w:val="17365D"/>
          <w:sz w:val="24"/>
        </w:rPr>
        <w:t>7.1 Job Record - Logical Fields</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w:t>
            </w:r>
            <w:r>
              <w:br/>
            </w:r>
            <w:r>
              <w:rPr>
                <w:rFonts w:ascii="Consolas" w:hAnsi="Consolas"/>
                <w:color w:val="303F4B"/>
                <w:sz w:val="17"/>
              </w:rPr>
              <w:t xml:space="preserve">  "jobId": "platform-generated-id",</w:t>
            </w:r>
            <w:r>
              <w:br/>
            </w:r>
            <w:r>
              <w:rPr>
                <w:rFonts w:ascii="Consolas" w:hAnsi="Consolas"/>
                <w:color w:val="303F4B"/>
                <w:sz w:val="17"/>
              </w:rPr>
              <w:t xml:space="preserve">  "workerId": "ran-pr",</w:t>
            </w:r>
            <w:r>
              <w:br/>
            </w:r>
            <w:r>
              <w:rPr>
                <w:rFonts w:ascii="Consolas" w:hAnsi="Consolas"/>
                <w:color w:val="303F4B"/>
                <w:sz w:val="17"/>
              </w:rPr>
              <w:t xml:space="preserve">  "workerDisplayName": "RAN PR Worker",</w:t>
            </w:r>
            <w:r>
              <w:br/>
            </w:r>
            <w:r>
              <w:rPr>
                <w:rFonts w:ascii="Consolas" w:hAnsi="Consolas"/>
                <w:color w:val="303F4B"/>
                <w:sz w:val="17"/>
              </w:rPr>
              <w:t xml:space="preserve">  "workerVersion": "v1.0.0",</w:t>
            </w:r>
            <w:r>
              <w:br/>
            </w:r>
            <w:r>
              <w:rPr>
                <w:rFonts w:ascii="Consolas" w:hAnsi="Consolas"/>
                <w:color w:val="303F4B"/>
                <w:sz w:val="17"/>
              </w:rPr>
              <w:t xml:space="preserve">  "engineCommit": "&lt;pinned upstream SHA&gt;",</w:t>
            </w:r>
            <w:r>
              <w:br/>
            </w:r>
            <w:r>
              <w:rPr>
                <w:rFonts w:ascii="Consolas" w:hAnsi="Consolas"/>
                <w:color w:val="303F4B"/>
                <w:sz w:val="17"/>
              </w:rPr>
              <w:t xml:space="preserve">  "status": "queued | running | completed | failed | cancelled",</w:t>
            </w:r>
            <w:r>
              <w:br/>
            </w:r>
            <w:r>
              <w:rPr>
                <w:rFonts w:ascii="Consolas" w:hAnsi="Consolas"/>
                <w:color w:val="303F4B"/>
                <w:sz w:val="17"/>
              </w:rPr>
              <w:t xml:space="preserve">  "request": {</w:t>
            </w:r>
            <w:r>
              <w:br/>
            </w:r>
            <w:r>
              <w:rPr>
                <w:rFonts w:ascii="Consolas" w:hAnsi="Consolas"/>
                <w:color w:val="303F4B"/>
                <w:sz w:val="17"/>
              </w:rPr>
              <w:t xml:space="preserve">    "mode": "standard-pr | standard-pr-with-general-item",</w:t>
            </w:r>
            <w:r>
              <w:br/>
            </w:r>
            <w:r>
              <w:rPr>
                <w:rFonts w:ascii="Consolas" w:hAnsi="Consolas"/>
                <w:color w:val="303F4B"/>
                <w:sz w:val="17"/>
              </w:rPr>
              <w:t xml:space="preserve">    "selectedProject": "&lt;validated config project or null&gt;"</w:t>
            </w:r>
            <w:r>
              <w:br/>
            </w:r>
            <w:r>
              <w:rPr>
                <w:rFonts w:ascii="Consolas" w:hAnsi="Consolas"/>
                <w:color w:val="303F4B"/>
                <w:sz w:val="17"/>
              </w:rPr>
              <w:t xml:space="preserve">  },</w:t>
            </w:r>
            <w:r>
              <w:br/>
            </w:r>
            <w:r>
              <w:rPr>
                <w:rFonts w:ascii="Consolas" w:hAnsi="Consolas"/>
                <w:color w:val="303F4B"/>
                <w:sz w:val="17"/>
              </w:rPr>
              <w:t xml:space="preserve">  "inputManifest": {</w:t>
            </w:r>
            <w:r>
              <w:br/>
            </w:r>
            <w:r>
              <w:rPr>
                <w:rFonts w:ascii="Consolas" w:hAnsi="Consolas"/>
                <w:color w:val="303F4B"/>
                <w:sz w:val="17"/>
              </w:rPr>
              <w:t xml:space="preserve">    "bomFileId": "...",</w:t>
            </w:r>
            <w:r>
              <w:br/>
            </w:r>
            <w:r>
              <w:rPr>
                <w:rFonts w:ascii="Consolas" w:hAnsi="Consolas"/>
                <w:color w:val="303F4B"/>
                <w:sz w:val="17"/>
              </w:rPr>
              <w:t xml:space="preserve">    "epmsFileId": "...",</w:t>
            </w:r>
            <w:r>
              <w:br/>
            </w:r>
            <w:r>
              <w:rPr>
                <w:rFonts w:ascii="Consolas" w:hAnsi="Consolas"/>
                <w:color w:val="303F4B"/>
                <w:sz w:val="17"/>
              </w:rPr>
              <w:t xml:space="preserve">    "originalFilenames": ["..."],</w:t>
            </w:r>
            <w:r>
              <w:br/>
            </w:r>
            <w:r>
              <w:rPr>
                <w:rFonts w:ascii="Consolas" w:hAnsi="Consolas"/>
                <w:color w:val="303F4B"/>
                <w:sz w:val="17"/>
              </w:rPr>
              <w:t xml:space="preserve">    "validationEvidence": ["..."]</w:t>
            </w:r>
            <w:r>
              <w:br/>
            </w:r>
            <w:r>
              <w:rPr>
                <w:rFonts w:ascii="Consolas" w:hAnsi="Consolas"/>
                <w:color w:val="303F4B"/>
                <w:sz w:val="17"/>
              </w:rPr>
              <w:t xml:space="preserve">  },</w:t>
            </w:r>
            <w:r>
              <w:br/>
            </w:r>
            <w:r>
              <w:rPr>
                <w:rFonts w:ascii="Consolas" w:hAnsi="Consolas"/>
                <w:color w:val="303F4B"/>
                <w:sz w:val="17"/>
              </w:rPr>
              <w:t xml:space="preserve">  "outputSummary": {</w:t>
            </w:r>
            <w:r>
              <w:br/>
            </w:r>
            <w:r>
              <w:rPr>
                <w:rFonts w:ascii="Consolas" w:hAnsi="Consolas"/>
                <w:color w:val="303F4B"/>
                <w:sz w:val="17"/>
              </w:rPr>
              <w:t xml:space="preserve">    "files": ["..."],</w:t>
            </w:r>
            <w:r>
              <w:br/>
            </w:r>
            <w:r>
              <w:rPr>
                <w:rFonts w:ascii="Consolas" w:hAnsi="Consolas"/>
                <w:color w:val="303F4B"/>
                <w:sz w:val="17"/>
              </w:rPr>
              <w:t xml:space="preserve">    "zipFileId": "...",</w:t>
            </w:r>
            <w:r>
              <w:br/>
            </w:r>
            <w:r>
              <w:rPr>
                <w:rFonts w:ascii="Consolas" w:hAnsi="Consolas"/>
                <w:color w:val="303F4B"/>
                <w:sz w:val="17"/>
              </w:rPr>
              <w:t xml:space="preserve">    "metrics": { "known": true }</w:t>
            </w:r>
            <w:r>
              <w:br/>
            </w:r>
            <w:r>
              <w:rPr>
                <w:rFonts w:ascii="Consolas" w:hAnsi="Consolas"/>
                <w:color w:val="303F4B"/>
                <w:sz w:val="17"/>
              </w:rPr>
              <w:t xml:space="preserve">  },</w:t>
            </w:r>
            <w:r>
              <w:br/>
            </w:r>
            <w:r>
              <w:rPr>
                <w:rFonts w:ascii="Consolas" w:hAnsi="Consolas"/>
                <w:color w:val="303F4B"/>
                <w:sz w:val="17"/>
              </w:rPr>
              <w:t xml:space="preserve">  "failureSummary": "&lt;safe concise summary or null&gt;",</w:t>
            </w:r>
            <w:r>
              <w:br/>
            </w:r>
            <w:r>
              <w:rPr>
                <w:rFonts w:ascii="Consolas" w:hAnsi="Consolas"/>
                <w:color w:val="303F4B"/>
                <w:sz w:val="17"/>
              </w:rPr>
              <w:t xml:space="preserve">  "audit": { "createdAt": "...", "updatedAt": "..." }</w:t>
            </w:r>
            <w:r>
              <w:br/>
            </w:r>
            <w:r>
              <w:rPr>
                <w:rFonts w:ascii="Consolas" w:hAnsi="Consolas"/>
                <w:color w:val="303F4B"/>
                <w:sz w:val="17"/>
              </w:rPr>
              <w:t>}</w:t>
            </w:r>
          </w:p>
        </w:tc>
      </w:tr>
    </w:tbl>
    <w:p>
      <w:pPr>
        <w:spacing w:after="40"/>
      </w:pPr>
    </w:p>
    <w:p>
      <w:pPr>
        <w:pStyle w:val="Heading2"/>
        <w:spacing w:before="180" w:after="100"/>
      </w:pPr>
      <w:r>
        <w:rPr>
          <w:rFonts w:ascii="Aptos" w:hAnsi="Aptos"/>
          <w:b/>
          <w:color w:val="17365D"/>
          <w:sz w:val="24"/>
        </w:rPr>
        <w:t>7.2 Persistence Behavior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90" w:type="dxa"/>
              <w:start w:w="90" w:type="dxa"/>
              <w:bottom w:w="90" w:type="dxa"/>
              <w:end w:w="90" w:type="dxa"/>
            </w:tcMar>
            <w:vAlign w:val="center"/>
          </w:tcPr>
          <w:p>
            <w:pPr>
              <w:jc w:val="left"/>
            </w:pPr>
            <w:r/>
            <w:r>
              <w:rPr>
                <w:rFonts w:ascii="Aptos" w:hAnsi="Aptos"/>
                <w:b/>
                <w:color w:val="FFFFFF"/>
                <w:sz w:val="18"/>
              </w:rPr>
              <w:t>Domain</w:t>
            </w:r>
          </w:p>
        </w:tc>
        <w:tc>
          <w:tcPr>
            <w:tcW w:type="dxa" w:w="8136"/>
            <w:shd w:fill="17365D"/>
            <w:tcMar>
              <w:top w:w="90" w:type="dxa"/>
              <w:start w:w="90" w:type="dxa"/>
              <w:bottom w:w="90" w:type="dxa"/>
              <w:end w:w="90" w:type="dxa"/>
            </w:tcMar>
            <w:vAlign w:val="center"/>
          </w:tcPr>
          <w:p>
            <w:pPr>
              <w:jc w:val="left"/>
            </w:pPr>
            <w:r/>
            <w:r>
              <w:rPr>
                <w:rFonts w:ascii="Aptos" w:hAnsi="Aptos"/>
                <w:b/>
                <w:color w:val="FFFFFF"/>
                <w:sz w:val="18"/>
              </w:rPr>
              <w:t>Required behavior</w:t>
            </w:r>
          </w:p>
        </w:tc>
      </w:tr>
      <w:tr>
        <w:tc>
          <w:tcPr>
            <w:tcW w:type="dxa" w:w="2232"/>
            <w:tcMar>
              <w:top w:w="90" w:type="dxa"/>
              <w:start w:w="90" w:type="dxa"/>
              <w:bottom w:w="90" w:type="dxa"/>
              <w:end w:w="90" w:type="dxa"/>
            </w:tcMar>
          </w:tcPr>
          <w:p>
            <w:pPr>
              <w:spacing w:after="20" w:line="240" w:lineRule="auto"/>
            </w:pPr>
            <w:r/>
            <w:r>
              <w:rPr>
                <w:rFonts w:ascii="Aptos" w:hAnsi="Aptos"/>
                <w:sz w:val="18"/>
              </w:rPr>
              <w:t>Job history</w:t>
            </w:r>
          </w:p>
        </w:tc>
        <w:tc>
          <w:tcPr>
            <w:tcW w:type="dxa" w:w="8136"/>
            <w:tcMar>
              <w:top w:w="90" w:type="dxa"/>
              <w:start w:w="90" w:type="dxa"/>
              <w:bottom w:w="90" w:type="dxa"/>
              <w:end w:w="90" w:type="dxa"/>
            </w:tcMar>
          </w:tcPr>
          <w:p>
            <w:pPr>
              <w:spacing w:after="20" w:line="240" w:lineRule="auto"/>
            </w:pPr>
            <w:r/>
            <w:r>
              <w:rPr>
                <w:rFonts w:ascii="Aptos" w:hAnsi="Aptos"/>
                <w:sz w:val="18"/>
              </w:rPr>
              <w:t>Display the same shared history list as MW, with visible Worker badge and optional Worker filter.</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Job detail</w:t>
            </w:r>
          </w:p>
        </w:tc>
        <w:tc>
          <w:tcPr>
            <w:tcW w:type="dxa" w:w="8136"/>
            <w:tcMar>
              <w:top w:w="90" w:type="dxa"/>
              <w:start w:w="90" w:type="dxa"/>
              <w:bottom w:w="90" w:type="dxa"/>
              <w:end w:w="90" w:type="dxa"/>
            </w:tcMar>
            <w:shd w:fill="F7FAFC"/>
          </w:tcPr>
          <w:p>
            <w:pPr>
              <w:spacing w:after="20" w:line="240" w:lineRule="auto"/>
            </w:pPr>
            <w:r/>
            <w:r>
              <w:rPr>
                <w:rFonts w:ascii="Aptos" w:hAnsi="Aptos"/>
                <w:sz w:val="18"/>
              </w:rPr>
              <w:t>Show RAN-specific inputs, selected project/mode, progress, outputs and safe diagnosis while preserving shared detail structure.</w:t>
            </w:r>
          </w:p>
        </w:tc>
      </w:tr>
      <w:tr>
        <w:tc>
          <w:tcPr>
            <w:tcW w:type="dxa" w:w="2232"/>
            <w:tcMar>
              <w:top w:w="90" w:type="dxa"/>
              <w:start w:w="90" w:type="dxa"/>
              <w:bottom w:w="90" w:type="dxa"/>
              <w:end w:w="90" w:type="dxa"/>
            </w:tcMar>
          </w:tcPr>
          <w:p>
            <w:pPr>
              <w:spacing w:after="20" w:line="240" w:lineRule="auto"/>
            </w:pPr>
            <w:r/>
            <w:r>
              <w:rPr>
                <w:rFonts w:ascii="Aptos" w:hAnsi="Aptos"/>
                <w:sz w:val="18"/>
              </w:rPr>
              <w:t>File metadata</w:t>
            </w:r>
          </w:p>
        </w:tc>
        <w:tc>
          <w:tcPr>
            <w:tcW w:type="dxa" w:w="8136"/>
            <w:tcMar>
              <w:top w:w="90" w:type="dxa"/>
              <w:start w:w="90" w:type="dxa"/>
              <w:bottom w:w="90" w:type="dxa"/>
              <w:end w:w="90" w:type="dxa"/>
            </w:tcMar>
          </w:tcPr>
          <w:p>
            <w:pPr>
              <w:spacing w:after="20" w:line="240" w:lineRule="auto"/>
            </w:pPr>
            <w:r/>
            <w:r>
              <w:rPr>
                <w:rFonts w:ascii="Aptos" w:hAnsi="Aptos"/>
                <w:sz w:val="18"/>
              </w:rPr>
              <w:t>Store references, original names, safe output names and downloadable artifact metadata. Do not store Excel binary payloads inside the database record.</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Warnings / reviews</w:t>
            </w:r>
          </w:p>
        </w:tc>
        <w:tc>
          <w:tcPr>
            <w:tcW w:type="dxa" w:w="8136"/>
            <w:tcMar>
              <w:top w:w="90" w:type="dxa"/>
              <w:start w:w="90" w:type="dxa"/>
              <w:bottom w:w="90" w:type="dxa"/>
              <w:end w:w="90" w:type="dxa"/>
            </w:tcMar>
            <w:shd w:fill="F7FAFC"/>
          </w:tcPr>
          <w:p>
            <w:pPr>
              <w:spacing w:after="20" w:line="240" w:lineRule="auto"/>
            </w:pPr>
            <w:r/>
            <w:r>
              <w:rPr>
                <w:rFonts w:ascii="Aptos" w:hAnsi="Aptos"/>
                <w:sz w:val="18"/>
              </w:rPr>
              <w:t>Use the platform warning/review model where the adapter can safely derive actionable items.</w:t>
            </w:r>
          </w:p>
        </w:tc>
      </w:tr>
      <w:tr>
        <w:tc>
          <w:tcPr>
            <w:tcW w:type="dxa" w:w="2232"/>
            <w:tcMar>
              <w:top w:w="90" w:type="dxa"/>
              <w:start w:w="90" w:type="dxa"/>
              <w:bottom w:w="90" w:type="dxa"/>
              <w:end w:w="90" w:type="dxa"/>
            </w:tcMar>
          </w:tcPr>
          <w:p>
            <w:pPr>
              <w:spacing w:after="20" w:line="240" w:lineRule="auto"/>
            </w:pPr>
            <w:r/>
            <w:r>
              <w:rPr>
                <w:rFonts w:ascii="Aptos" w:hAnsi="Aptos"/>
                <w:sz w:val="18"/>
              </w:rPr>
              <w:t>Audit trail</w:t>
            </w:r>
          </w:p>
        </w:tc>
        <w:tc>
          <w:tcPr>
            <w:tcW w:type="dxa" w:w="8136"/>
            <w:tcMar>
              <w:top w:w="90" w:type="dxa"/>
              <w:start w:w="90" w:type="dxa"/>
              <w:bottom w:w="90" w:type="dxa"/>
              <w:end w:w="90" w:type="dxa"/>
            </w:tcMar>
          </w:tcPr>
          <w:p>
            <w:pPr>
              <w:spacing w:after="20" w:line="240" w:lineRule="auto"/>
            </w:pPr>
            <w:r/>
            <w:r>
              <w:rPr>
                <w:rFonts w:ascii="Aptos" w:hAnsi="Aptos"/>
                <w:sz w:val="18"/>
              </w:rPr>
              <w:t>Capture creation, execution lifecycle, cancellation, terminal state and worker engine version/commit.</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Reload behavior</w:t>
            </w:r>
          </w:p>
        </w:tc>
        <w:tc>
          <w:tcPr>
            <w:tcW w:type="dxa" w:w="8136"/>
            <w:tcMar>
              <w:top w:w="90" w:type="dxa"/>
              <w:start w:w="90" w:type="dxa"/>
              <w:bottom w:w="90" w:type="dxa"/>
              <w:end w:w="90" w:type="dxa"/>
            </w:tcMar>
            <w:shd w:fill="F7FAFC"/>
          </w:tcPr>
          <w:p>
            <w:pPr>
              <w:spacing w:after="20" w:line="240" w:lineRule="auto"/>
            </w:pPr>
            <w:r/>
            <w:r>
              <w:rPr>
                <w:rFonts w:ascii="Aptos" w:hAnsi="Aptos"/>
                <w:sz w:val="18"/>
              </w:rPr>
              <w:t>A completed RAN job must remain discoverable and downloadable after the frontend is refreshed or reopened.</w:t>
            </w:r>
          </w:p>
        </w:tc>
      </w:tr>
    </w:tbl>
    <w:p>
      <w:pPr>
        <w:spacing w:after="60"/>
      </w:pPr>
    </w:p>
    <w:p>
      <w:pPr>
        <w:pStyle w:val="Heading1"/>
        <w:spacing w:before="280" w:after="100"/>
      </w:pPr>
      <w:r>
        <w:rPr>
          <w:rFonts w:ascii="Aptos" w:hAnsi="Aptos"/>
          <w:b/>
          <w:color w:val="17365D"/>
          <w:sz w:val="30"/>
        </w:rPr>
        <w:t>8. Execution Isolation, Security and Failure Handling</w:t>
      </w:r>
    </w:p>
    <w:p>
      <w:pPr>
        <w:pStyle w:val="Heading2"/>
        <w:spacing w:before="180" w:after="100"/>
      </w:pPr>
      <w:r>
        <w:rPr>
          <w:rFonts w:ascii="Aptos" w:hAnsi="Aptos"/>
          <w:b/>
          <w:color w:val="17365D"/>
          <w:sz w:val="24"/>
        </w:rPr>
        <w:t>8.1 Per-Job Workspace Contract</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&lt;platform-storage-root&gt;/jobs/&lt;job-id&gt;/</w:t>
            </w:r>
            <w:r>
              <w:br/>
            </w:r>
            <w:r>
              <w:rPr>
                <w:rFonts w:ascii="Consolas" w:hAnsi="Consolas"/>
                <w:color w:val="303F4B"/>
                <w:sz w:val="17"/>
              </w:rPr>
              <w:t>├─ input/</w:t>
            </w:r>
            <w:r>
              <w:br/>
            </w:r>
            <w:r>
              <w:rPr>
                <w:rFonts w:ascii="Consolas" w:hAnsi="Consolas"/>
                <w:color w:val="303F4B"/>
                <w:sz w:val="17"/>
              </w:rPr>
              <w:t>│  ├─ bom.&lt;approved-extension&gt;</w:t>
            </w:r>
            <w:r>
              <w:br/>
            </w:r>
            <w:r>
              <w:rPr>
                <w:rFonts w:ascii="Consolas" w:hAnsi="Consolas"/>
                <w:color w:val="303F4B"/>
                <w:sz w:val="17"/>
              </w:rPr>
              <w:t>│  └─ epms.&lt;approved-extension&gt;</w:t>
            </w:r>
            <w:r>
              <w:br/>
            </w:r>
            <w:r>
              <w:rPr>
                <w:rFonts w:ascii="Consolas" w:hAnsi="Consolas"/>
                <w:color w:val="303F4B"/>
                <w:sz w:val="17"/>
              </w:rPr>
              <w:t>├─ engine/                         # Approved copied execution assets only</w:t>
            </w:r>
            <w:r>
              <w:br/>
            </w:r>
            <w:r>
              <w:rPr>
                <w:rFonts w:ascii="Consolas" w:hAnsi="Consolas"/>
                <w:color w:val="303F4B"/>
                <w:sz w:val="17"/>
              </w:rPr>
              <w:t>│  ├─ src/</w:t>
            </w:r>
            <w:r>
              <w:br/>
            </w:r>
            <w:r>
              <w:rPr>
                <w:rFonts w:ascii="Consolas" w:hAnsi="Consolas"/>
                <w:color w:val="303F4B"/>
                <w:sz w:val="17"/>
              </w:rPr>
              <w:t>│  ├─ config/</w:t>
            </w:r>
            <w:r>
              <w:br/>
            </w:r>
            <w:r>
              <w:rPr>
                <w:rFonts w:ascii="Consolas" w:hAnsi="Consolas"/>
                <w:color w:val="303F4B"/>
                <w:sz w:val="17"/>
              </w:rPr>
              <w:t>│  └─ required templates/</w:t>
            </w:r>
            <w:r>
              <w:br/>
            </w:r>
            <w:r>
              <w:rPr>
                <w:rFonts w:ascii="Consolas" w:hAnsi="Consolas"/>
                <w:color w:val="303F4B"/>
                <w:sz w:val="17"/>
              </w:rPr>
              <w:t>├─ output/                         # Engine-created files in the isolated workspace</w:t>
            </w:r>
            <w:r>
              <w:br/>
            </w:r>
            <w:r>
              <w:rPr>
                <w:rFonts w:ascii="Consolas" w:hAnsi="Consolas"/>
                <w:color w:val="303F4B"/>
                <w:sz w:val="17"/>
              </w:rPr>
              <w:t>└─ logs/                           # Controlled diagnostic artifacts; never user-exposed raw</w:t>
            </w:r>
          </w:p>
        </w:tc>
      </w:tr>
    </w:tbl>
    <w:p>
      <w:pPr>
        <w:spacing w:after="40"/>
      </w:pPr>
    </w:p>
    <w:p>
      <w:pPr>
        <w:pStyle w:val="ListBullet"/>
        <w:spacing w:after="60"/>
      </w:pPr>
      <w:r>
        <w:rPr>
          <w:rFonts w:ascii="Aptos" w:hAnsi="Aptos"/>
          <w:sz w:val="21"/>
        </w:rPr>
        <w:t>No two RAN jobs may share an input or output directory.</w:t>
      </w:r>
    </w:p>
    <w:p>
      <w:pPr>
        <w:pStyle w:val="ListBullet"/>
        <w:spacing w:after="60"/>
      </w:pPr>
      <w:r>
        <w:rPr>
          <w:rFonts w:ascii="Aptos" w:hAnsi="Aptos"/>
          <w:sz w:val="21"/>
        </w:rPr>
        <w:t>The adapter must copy the minimum engine assets proven necessary for the upstream processing path.</w:t>
      </w:r>
    </w:p>
    <w:p>
      <w:pPr>
        <w:pStyle w:val="ListBullet"/>
        <w:spacing w:after="60"/>
      </w:pPr>
      <w:r>
        <w:rPr>
          <w:rFonts w:ascii="Aptos" w:hAnsi="Aptos"/>
          <w:sz w:val="21"/>
        </w:rPr>
        <w:t>The adapter must not execute from the submodule root when the upstream engine relies on fixed relative input/output paths.</w:t>
      </w:r>
    </w:p>
    <w:p>
      <w:pPr>
        <w:pStyle w:val="ListBullet"/>
        <w:spacing w:after="60"/>
      </w:pPr>
      <w:r>
        <w:rPr>
          <w:rFonts w:ascii="Aptos" w:hAnsi="Aptos"/>
          <w:sz w:val="21"/>
        </w:rPr>
        <w:t>User-provided filenames, project names and paths must never control executable paths, CWD or arbitrary output destinations.</w:t>
      </w:r>
    </w:p>
    <w:p>
      <w:pPr>
        <w:pStyle w:val="Heading2"/>
        <w:spacing w:before="180" w:after="100"/>
      </w:pPr>
      <w:r>
        <w:rPr>
          <w:rFonts w:ascii="Aptos" w:hAnsi="Aptos"/>
          <w:b/>
          <w:color w:val="17365D"/>
          <w:sz w:val="24"/>
        </w:rPr>
        <w:t>8.2 Python Execution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tcMar>
              <w:top w:w="90" w:type="dxa"/>
              <w:start w:w="90" w:type="dxa"/>
              <w:bottom w:w="90" w:type="dxa"/>
              <w:end w:w="90" w:type="dxa"/>
            </w:tcMar>
            <w:vAlign w:val="center"/>
          </w:tcPr>
          <w:p>
            <w:pPr>
              <w:jc w:val="left"/>
            </w:pPr>
            <w:r/>
            <w:r>
              <w:rPr>
                <w:rFonts w:ascii="Aptos" w:hAnsi="Aptos"/>
                <w:b/>
                <w:color w:val="FFFFFF"/>
                <w:sz w:val="18"/>
              </w:rPr>
              <w:t>Requirement</w:t>
            </w:r>
          </w:p>
        </w:tc>
        <w:tc>
          <w:tcPr>
            <w:tcW w:type="dxa" w:w="7992"/>
            <w:shd w:fill="17365D"/>
            <w:tcMar>
              <w:top w:w="90" w:type="dxa"/>
              <w:start w:w="90" w:type="dxa"/>
              <w:bottom w:w="90" w:type="dxa"/>
              <w:end w:w="90" w:type="dxa"/>
            </w:tcMar>
            <w:vAlign w:val="center"/>
          </w:tcPr>
          <w:p>
            <w:pPr>
              <w:jc w:val="left"/>
            </w:pPr>
            <w:r/>
            <w:r>
              <w:rPr>
                <w:rFonts w:ascii="Aptos" w:hAnsi="Aptos"/>
                <w:b/>
                <w:color w:val="FFFFFF"/>
                <w:sz w:val="18"/>
              </w:rPr>
              <w:t>Implementation rule</w:t>
            </w:r>
          </w:p>
        </w:tc>
      </w:tr>
      <w:tr>
        <w:tc>
          <w:tcPr>
            <w:tcW w:type="dxa" w:w="2376"/>
            <w:tcMar>
              <w:top w:w="90" w:type="dxa"/>
              <w:start w:w="90" w:type="dxa"/>
              <w:bottom w:w="90" w:type="dxa"/>
              <w:end w:w="90" w:type="dxa"/>
            </w:tcMar>
          </w:tcPr>
          <w:p>
            <w:pPr>
              <w:spacing w:after="20" w:line="240" w:lineRule="auto"/>
            </w:pPr>
            <w:r/>
            <w:r>
              <w:rPr>
                <w:rFonts w:ascii="Aptos" w:hAnsi="Aptos"/>
                <w:sz w:val="18"/>
              </w:rPr>
              <w:t>Interpreter selection</w:t>
            </w:r>
          </w:p>
        </w:tc>
        <w:tc>
          <w:tcPr>
            <w:tcW w:type="dxa" w:w="7992"/>
            <w:tcMar>
              <w:top w:w="90" w:type="dxa"/>
              <w:start w:w="90" w:type="dxa"/>
              <w:bottom w:w="90" w:type="dxa"/>
              <w:end w:w="90" w:type="dxa"/>
            </w:tcMar>
          </w:tcPr>
          <w:p>
            <w:pPr>
              <w:spacing w:after="20" w:line="240" w:lineRule="auto"/>
            </w:pPr>
            <w:r/>
            <w:r>
              <w:rPr>
                <w:rFonts w:ascii="Aptos" w:hAnsi="Aptos"/>
                <w:sz w:val="18"/>
              </w:rPr>
              <w:t>Use the platform-resolved explicit Python executable. Do not rely on bare python PATH resolution.</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Process launch</w:t>
            </w:r>
          </w:p>
        </w:tc>
        <w:tc>
          <w:tcPr>
            <w:tcW w:type="dxa" w:w="7992"/>
            <w:tcMar>
              <w:top w:w="90" w:type="dxa"/>
              <w:start w:w="90" w:type="dxa"/>
              <w:bottom w:w="90" w:type="dxa"/>
              <w:end w:w="90" w:type="dxa"/>
            </w:tcMar>
            <w:shd w:fill="F7FAFC"/>
          </w:tcPr>
          <w:p>
            <w:pPr>
              <w:spacing w:after="20" w:line="240" w:lineRule="auto"/>
            </w:pPr>
            <w:r/>
            <w:r>
              <w:rPr>
                <w:rFonts w:ascii="Aptos" w:hAnsi="Aptos"/>
                <w:sz w:val="18"/>
              </w:rPr>
              <w:t>Use argument arrays / safe subprocess invocation. Do not use shell: true.</w:t>
            </w:r>
          </w:p>
        </w:tc>
      </w:tr>
      <w:tr>
        <w:tc>
          <w:tcPr>
            <w:tcW w:type="dxa" w:w="2376"/>
            <w:tcMar>
              <w:top w:w="90" w:type="dxa"/>
              <w:start w:w="90" w:type="dxa"/>
              <w:bottom w:w="90" w:type="dxa"/>
              <w:end w:w="90" w:type="dxa"/>
            </w:tcMar>
          </w:tcPr>
          <w:p>
            <w:pPr>
              <w:spacing w:after="20" w:line="240" w:lineRule="auto"/>
            </w:pPr>
            <w:r/>
            <w:r>
              <w:rPr>
                <w:rFonts w:ascii="Aptos" w:hAnsi="Aptos"/>
                <w:sz w:val="18"/>
              </w:rPr>
              <w:t>Dependencies</w:t>
            </w:r>
          </w:p>
        </w:tc>
        <w:tc>
          <w:tcPr>
            <w:tcW w:type="dxa" w:w="7992"/>
            <w:tcMar>
              <w:top w:w="90" w:type="dxa"/>
              <w:start w:w="90" w:type="dxa"/>
              <w:bottom w:w="90" w:type="dxa"/>
              <w:end w:w="90" w:type="dxa"/>
            </w:tcMar>
          </w:tcPr>
          <w:p>
            <w:pPr>
              <w:spacing w:after="20" w:line="240" w:lineRule="auto"/>
            </w:pPr>
            <w:r/>
            <w:r>
              <w:rPr>
                <w:rFonts w:ascii="Aptos" w:hAnsi="Aptos"/>
                <w:sz w:val="18"/>
              </w:rPr>
              <w:t>Determine engine-only imports from the executed pipeline. Do not add FastAPI/Uvicorn because the prototype used them.</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Cancellation</w:t>
            </w:r>
          </w:p>
        </w:tc>
        <w:tc>
          <w:tcPr>
            <w:tcW w:type="dxa" w:w="7992"/>
            <w:tcMar>
              <w:top w:w="90" w:type="dxa"/>
              <w:start w:w="90" w:type="dxa"/>
              <w:bottom w:w="90" w:type="dxa"/>
              <w:end w:w="90" w:type="dxa"/>
            </w:tcMar>
            <w:shd w:fill="F7FAFC"/>
          </w:tcPr>
          <w:p>
            <w:pPr>
              <w:spacing w:after="20" w:line="240" w:lineRule="auto"/>
            </w:pPr>
            <w:r/>
            <w:r>
              <w:rPr>
                <w:rFonts w:ascii="Aptos" w:hAnsi="Aptos"/>
                <w:sz w:val="18"/>
              </w:rPr>
              <w:t>Terminate the active child process according to existing platform cancellation patterns; preserve an auditable cancelled terminal state.</w:t>
            </w:r>
          </w:p>
        </w:tc>
      </w:tr>
      <w:tr>
        <w:tc>
          <w:tcPr>
            <w:tcW w:type="dxa" w:w="2376"/>
            <w:tcMar>
              <w:top w:w="90" w:type="dxa"/>
              <w:start w:w="90" w:type="dxa"/>
              <w:bottom w:w="90" w:type="dxa"/>
              <w:end w:w="90" w:type="dxa"/>
            </w:tcMar>
          </w:tcPr>
          <w:p>
            <w:pPr>
              <w:spacing w:after="20" w:line="240" w:lineRule="auto"/>
            </w:pPr>
            <w:r/>
            <w:r>
              <w:rPr>
                <w:rFonts w:ascii="Aptos" w:hAnsi="Aptos"/>
                <w:sz w:val="18"/>
              </w:rPr>
              <w:t>Output capture</w:t>
            </w:r>
          </w:p>
        </w:tc>
        <w:tc>
          <w:tcPr>
            <w:tcW w:type="dxa" w:w="7992"/>
            <w:tcMar>
              <w:top w:w="90" w:type="dxa"/>
              <w:start w:w="90" w:type="dxa"/>
              <w:bottom w:w="90" w:type="dxa"/>
              <w:end w:w="90" w:type="dxa"/>
            </w:tcMar>
          </w:tcPr>
          <w:p>
            <w:pPr>
              <w:spacing w:after="20" w:line="240" w:lineRule="auto"/>
            </w:pPr>
            <w:r/>
            <w:r>
              <w:rPr>
                <w:rFonts w:ascii="Aptos" w:hAnsi="Aptos"/>
                <w:sz w:val="18"/>
              </w:rPr>
              <w:t>Capture stdout/stderr for diagnostics, redact/truncate before any user exposure.</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Metrics</w:t>
            </w:r>
          </w:p>
        </w:tc>
        <w:tc>
          <w:tcPr>
            <w:tcW w:type="dxa" w:w="7992"/>
            <w:tcMar>
              <w:top w:w="90" w:type="dxa"/>
              <w:start w:w="90" w:type="dxa"/>
              <w:bottom w:w="90" w:type="dxa"/>
              <w:end w:w="90" w:type="dxa"/>
            </w:tcMar>
            <w:shd w:fill="F7FAFC"/>
          </w:tcPr>
          <w:p>
            <w:pPr>
              <w:spacing w:after="20" w:line="240" w:lineRule="auto"/>
            </w:pPr>
            <w:r/>
            <w:r>
              <w:rPr>
                <w:rFonts w:ascii="Aptos" w:hAnsi="Aptos"/>
                <w:sz w:val="18"/>
              </w:rPr>
              <w:t>Never invent zero counts after a process failure. Unknown counts remain null/unavailable.</w:t>
            </w:r>
          </w:p>
        </w:tc>
      </w:tr>
    </w:tbl>
    <w:p>
      <w:pPr>
        <w:spacing w:after="60"/>
      </w:pPr>
    </w:p>
    <w:p>
      <w:pPr>
        <w:pStyle w:val="Heading2"/>
        <w:spacing w:before="180" w:after="100"/>
      </w:pPr>
      <w:r>
        <w:rPr>
          <w:rFonts w:ascii="Aptos" w:hAnsi="Aptos"/>
          <w:b/>
          <w:color w:val="17365D"/>
          <w:sz w:val="24"/>
        </w:rPr>
        <w:t>8.3 Safe Failure Model</w:t>
      </w:r>
    </w:p>
    <w:p>
      <w:pPr>
        <w:spacing w:after="120" w:line="259" w:lineRule="auto"/>
      </w:pPr>
      <w:r>
        <w:rPr>
          <w:rFonts w:ascii="Aptos" w:hAnsi="Aptos"/>
          <w:sz w:val="21"/>
        </w:rPr>
        <w:t>The user-facing experience should provide a concise action-oriented summary, such as missing Python dependency, unreadable workbook, invalid selected project or engine stage failure. Raw stack traces, secrets, environment values, command arguments, uncontrolled file paths and unredacted stderr must not be shown to normal users.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65D"/>
            <w:tcMar>
              <w:top w:w="90" w:type="dxa"/>
              <w:start w:w="90" w:type="dxa"/>
              <w:bottom w:w="90" w:type="dxa"/>
              <w:end w:w="90" w:type="dxa"/>
            </w:tcMar>
            <w:vAlign w:val="center"/>
          </w:tcPr>
          <w:p>
            <w:pPr>
              <w:jc w:val="left"/>
            </w:pPr>
            <w:r/>
            <w:r>
              <w:rPr>
                <w:rFonts w:ascii="Aptos" w:hAnsi="Aptos"/>
                <w:b/>
                <w:color w:val="FFFFFF"/>
                <w:sz w:val="17"/>
              </w:rPr>
              <w:t>Failure category</w:t>
            </w:r>
          </w:p>
        </w:tc>
        <w:tc>
          <w:tcPr>
            <w:tcW w:type="dxa" w:w="3744"/>
            <w:shd w:fill="17365D"/>
            <w:tcMar>
              <w:top w:w="90" w:type="dxa"/>
              <w:start w:w="90" w:type="dxa"/>
              <w:bottom w:w="90" w:type="dxa"/>
              <w:end w:w="90" w:type="dxa"/>
            </w:tcMar>
            <w:vAlign w:val="center"/>
          </w:tcPr>
          <w:p>
            <w:pPr>
              <w:jc w:val="left"/>
            </w:pPr>
            <w:r/>
            <w:r>
              <w:rPr>
                <w:rFonts w:ascii="Aptos" w:hAnsi="Aptos"/>
                <w:b/>
                <w:color w:val="FFFFFF"/>
                <w:sz w:val="17"/>
              </w:rPr>
              <w:t>User-safe response</w:t>
            </w:r>
          </w:p>
        </w:tc>
        <w:tc>
          <w:tcPr>
            <w:tcW w:type="dxa" w:w="4464"/>
            <w:shd w:fill="17365D"/>
            <w:tcMar>
              <w:top w:w="90" w:type="dxa"/>
              <w:start w:w="90" w:type="dxa"/>
              <w:bottom w:w="90" w:type="dxa"/>
              <w:end w:w="90" w:type="dxa"/>
            </w:tcMar>
            <w:vAlign w:val="center"/>
          </w:tcPr>
          <w:p>
            <w:pPr>
              <w:jc w:val="left"/>
            </w:pPr>
            <w:r/>
            <w:r>
              <w:rPr>
                <w:rFonts w:ascii="Aptos" w:hAnsi="Aptos"/>
                <w:b/>
                <w:color w:val="FFFFFF"/>
                <w:sz w:val="17"/>
              </w:rPr>
              <w:t>Technical handling</w:t>
            </w:r>
          </w:p>
        </w:tc>
      </w:tr>
      <w:tr>
        <w:tc>
          <w:tcPr>
            <w:tcW w:type="dxa" w:w="2160"/>
            <w:tcMar>
              <w:top w:w="90" w:type="dxa"/>
              <w:start w:w="90" w:type="dxa"/>
              <w:bottom w:w="90" w:type="dxa"/>
              <w:end w:w="90" w:type="dxa"/>
            </w:tcMar>
          </w:tcPr>
          <w:p>
            <w:pPr>
              <w:spacing w:after="20" w:line="240" w:lineRule="auto"/>
            </w:pPr>
            <w:r/>
            <w:r>
              <w:rPr>
                <w:rFonts w:ascii="Aptos" w:hAnsi="Aptos"/>
                <w:sz w:val="17"/>
              </w:rPr>
              <w:t>Preflight dependency failure</w:t>
            </w:r>
          </w:p>
        </w:tc>
        <w:tc>
          <w:tcPr>
            <w:tcW w:type="dxa" w:w="3744"/>
            <w:tcMar>
              <w:top w:w="90" w:type="dxa"/>
              <w:start w:w="90" w:type="dxa"/>
              <w:bottom w:w="90" w:type="dxa"/>
              <w:end w:w="90" w:type="dxa"/>
            </w:tcMar>
          </w:tcPr>
          <w:p>
            <w:pPr>
              <w:spacing w:after="20" w:line="240" w:lineRule="auto"/>
            </w:pPr>
            <w:r/>
            <w:r>
              <w:rPr>
                <w:rFonts w:ascii="Aptos" w:hAnsi="Aptos"/>
                <w:sz w:val="17"/>
              </w:rPr>
              <w:t>Explain the required dependency/runtime is unavailable and give an approved repair action where applicable.</w:t>
            </w:r>
          </w:p>
        </w:tc>
        <w:tc>
          <w:tcPr>
            <w:tcW w:type="dxa" w:w="4464"/>
            <w:tcMar>
              <w:top w:w="90" w:type="dxa"/>
              <w:start w:w="90" w:type="dxa"/>
              <w:bottom w:w="90" w:type="dxa"/>
              <w:end w:w="90" w:type="dxa"/>
            </w:tcMar>
          </w:tcPr>
          <w:p>
            <w:pPr>
              <w:spacing w:after="20" w:line="240" w:lineRule="auto"/>
            </w:pPr>
            <w:r/>
            <w:r>
              <w:rPr>
                <w:rFonts w:ascii="Aptos" w:hAnsi="Aptos"/>
                <w:sz w:val="17"/>
              </w:rPr>
              <w:t>Capture exact import/process evidence in restricted logs.</w:t>
            </w:r>
          </w:p>
        </w:tc>
      </w:tr>
      <w:tr>
        <w:tc>
          <w:tcPr>
            <w:tcW w:type="dxa" w:w="2160"/>
            <w:tcMar>
              <w:top w:w="90" w:type="dxa"/>
              <w:start w:w="90" w:type="dxa"/>
              <w:bottom w:w="90" w:type="dxa"/>
              <w:end w:w="90" w:type="dxa"/>
            </w:tcMar>
            <w:shd w:fill="F7FAFC"/>
          </w:tcPr>
          <w:p>
            <w:pPr>
              <w:spacing w:after="20" w:line="240" w:lineRule="auto"/>
            </w:pPr>
            <w:r/>
            <w:r>
              <w:rPr>
                <w:rFonts w:ascii="Aptos" w:hAnsi="Aptos"/>
                <w:sz w:val="17"/>
              </w:rPr>
              <w:t>Invalid workbook</w:t>
            </w:r>
          </w:p>
        </w:tc>
        <w:tc>
          <w:tcPr>
            <w:tcW w:type="dxa" w:w="3744"/>
            <w:tcMar>
              <w:top w:w="90" w:type="dxa"/>
              <w:start w:w="90" w:type="dxa"/>
              <w:bottom w:w="90" w:type="dxa"/>
              <w:end w:w="90" w:type="dxa"/>
            </w:tcMar>
            <w:shd w:fill="F7FAFC"/>
          </w:tcPr>
          <w:p>
            <w:pPr>
              <w:spacing w:after="20" w:line="240" w:lineRule="auto"/>
            </w:pPr>
            <w:r/>
            <w:r>
              <w:rPr>
                <w:rFonts w:ascii="Aptos" w:hAnsi="Aptos"/>
                <w:sz w:val="17"/>
              </w:rPr>
              <w:t>Identify which uploaded file failed readability/expected structure checks.</w:t>
            </w:r>
          </w:p>
        </w:tc>
        <w:tc>
          <w:tcPr>
            <w:tcW w:type="dxa" w:w="4464"/>
            <w:tcMar>
              <w:top w:w="90" w:type="dxa"/>
              <w:start w:w="90" w:type="dxa"/>
              <w:bottom w:w="90" w:type="dxa"/>
              <w:end w:w="90" w:type="dxa"/>
            </w:tcMar>
            <w:shd w:fill="F7FAFC"/>
          </w:tcPr>
          <w:p>
            <w:pPr>
              <w:spacing w:after="20" w:line="240" w:lineRule="auto"/>
            </w:pPr>
            <w:r/>
            <w:r>
              <w:rPr>
                <w:rFonts w:ascii="Aptos" w:hAnsi="Aptos"/>
                <w:sz w:val="17"/>
              </w:rPr>
              <w:t>Do not execute engine stages.</w:t>
            </w:r>
          </w:p>
        </w:tc>
      </w:tr>
      <w:tr>
        <w:tc>
          <w:tcPr>
            <w:tcW w:type="dxa" w:w="2160"/>
            <w:tcMar>
              <w:top w:w="90" w:type="dxa"/>
              <w:start w:w="90" w:type="dxa"/>
              <w:bottom w:w="90" w:type="dxa"/>
              <w:end w:w="90" w:type="dxa"/>
            </w:tcMar>
          </w:tcPr>
          <w:p>
            <w:pPr>
              <w:spacing w:after="20" w:line="240" w:lineRule="auto"/>
            </w:pPr>
            <w:r/>
            <w:r>
              <w:rPr>
                <w:rFonts w:ascii="Aptos" w:hAnsi="Aptos"/>
                <w:sz w:val="17"/>
              </w:rPr>
              <w:t>Unsupported project</w:t>
            </w:r>
          </w:p>
        </w:tc>
        <w:tc>
          <w:tcPr>
            <w:tcW w:type="dxa" w:w="3744"/>
            <w:tcMar>
              <w:top w:w="90" w:type="dxa"/>
              <w:start w:w="90" w:type="dxa"/>
              <w:bottom w:w="90" w:type="dxa"/>
              <w:end w:w="90" w:type="dxa"/>
            </w:tcMar>
          </w:tcPr>
          <w:p>
            <w:pPr>
              <w:spacing w:after="20" w:line="240" w:lineRule="auto"/>
            </w:pPr>
            <w:r/>
            <w:r>
              <w:rPr>
                <w:rFonts w:ascii="Aptos" w:hAnsi="Aptos"/>
                <w:sz w:val="17"/>
              </w:rPr>
              <w:t>Request a valid project selection from current configuration.</w:t>
            </w:r>
          </w:p>
        </w:tc>
        <w:tc>
          <w:tcPr>
            <w:tcW w:type="dxa" w:w="4464"/>
            <w:tcMar>
              <w:top w:w="90" w:type="dxa"/>
              <w:start w:w="90" w:type="dxa"/>
              <w:bottom w:w="90" w:type="dxa"/>
              <w:end w:w="90" w:type="dxa"/>
            </w:tcMar>
          </w:tcPr>
          <w:p>
            <w:pPr>
              <w:spacing w:after="20" w:line="240" w:lineRule="auto"/>
            </w:pPr>
            <w:r/>
            <w:r>
              <w:rPr>
                <w:rFonts w:ascii="Aptos" w:hAnsi="Aptos"/>
                <w:sz w:val="17"/>
              </w:rPr>
              <w:t>Reject before Python invocation.</w:t>
            </w:r>
          </w:p>
        </w:tc>
      </w:tr>
      <w:tr>
        <w:tc>
          <w:tcPr>
            <w:tcW w:type="dxa" w:w="2160"/>
            <w:tcMar>
              <w:top w:w="90" w:type="dxa"/>
              <w:start w:w="90" w:type="dxa"/>
              <w:bottom w:w="90" w:type="dxa"/>
              <w:end w:w="90" w:type="dxa"/>
            </w:tcMar>
            <w:shd w:fill="F7FAFC"/>
          </w:tcPr>
          <w:p>
            <w:pPr>
              <w:spacing w:after="20" w:line="240" w:lineRule="auto"/>
            </w:pPr>
            <w:r/>
            <w:r>
              <w:rPr>
                <w:rFonts w:ascii="Aptos" w:hAnsi="Aptos"/>
                <w:sz w:val="17"/>
              </w:rPr>
              <w:t>Engine failure</w:t>
            </w:r>
          </w:p>
        </w:tc>
        <w:tc>
          <w:tcPr>
            <w:tcW w:type="dxa" w:w="3744"/>
            <w:tcMar>
              <w:top w:w="90" w:type="dxa"/>
              <w:start w:w="90" w:type="dxa"/>
              <w:bottom w:w="90" w:type="dxa"/>
              <w:end w:w="90" w:type="dxa"/>
            </w:tcMar>
            <w:shd w:fill="F7FAFC"/>
          </w:tcPr>
          <w:p>
            <w:pPr>
              <w:spacing w:after="20" w:line="240" w:lineRule="auto"/>
            </w:pPr>
            <w:r/>
            <w:r>
              <w:rPr>
                <w:rFonts w:ascii="Aptos" w:hAnsi="Aptos"/>
                <w:sz w:val="17"/>
              </w:rPr>
              <w:t>State that RAN processing did not complete; preserve job ID and safe stage name.</w:t>
            </w:r>
          </w:p>
        </w:tc>
        <w:tc>
          <w:tcPr>
            <w:tcW w:type="dxa" w:w="4464"/>
            <w:tcMar>
              <w:top w:w="90" w:type="dxa"/>
              <w:start w:w="90" w:type="dxa"/>
              <w:bottom w:w="90" w:type="dxa"/>
              <w:end w:w="90" w:type="dxa"/>
            </w:tcMar>
            <w:shd w:fill="F7FAFC"/>
          </w:tcPr>
          <w:p>
            <w:pPr>
              <w:spacing w:after="20" w:line="240" w:lineRule="auto"/>
            </w:pPr>
            <w:r/>
            <w:r>
              <w:rPr>
                <w:rFonts w:ascii="Aptos" w:hAnsi="Aptos"/>
                <w:sz w:val="17"/>
              </w:rPr>
              <w:t>Map stage, exit code and redacted diagnostic data internally.</w:t>
            </w:r>
          </w:p>
        </w:tc>
      </w:tr>
      <w:tr>
        <w:tc>
          <w:tcPr>
            <w:tcW w:type="dxa" w:w="2160"/>
            <w:tcMar>
              <w:top w:w="90" w:type="dxa"/>
              <w:start w:w="90" w:type="dxa"/>
              <w:bottom w:w="90" w:type="dxa"/>
              <w:end w:w="90" w:type="dxa"/>
            </w:tcMar>
          </w:tcPr>
          <w:p>
            <w:pPr>
              <w:spacing w:after="20" w:line="240" w:lineRule="auto"/>
            </w:pPr>
            <w:r/>
            <w:r>
              <w:rPr>
                <w:rFonts w:ascii="Aptos" w:hAnsi="Aptos"/>
                <w:sz w:val="17"/>
              </w:rPr>
              <w:t>Cancellation</w:t>
            </w:r>
          </w:p>
        </w:tc>
        <w:tc>
          <w:tcPr>
            <w:tcW w:type="dxa" w:w="3744"/>
            <w:tcMar>
              <w:top w:w="90" w:type="dxa"/>
              <w:start w:w="90" w:type="dxa"/>
              <w:bottom w:w="90" w:type="dxa"/>
              <w:end w:w="90" w:type="dxa"/>
            </w:tcMar>
          </w:tcPr>
          <w:p>
            <w:pPr>
              <w:spacing w:after="20" w:line="240" w:lineRule="auto"/>
            </w:pPr>
            <w:r/>
            <w:r>
              <w:rPr>
                <w:rFonts w:ascii="Aptos" w:hAnsi="Aptos"/>
                <w:sz w:val="17"/>
              </w:rPr>
              <w:t>State that the job was cancelled; do not claim outputs or metrics.</w:t>
            </w:r>
          </w:p>
        </w:tc>
        <w:tc>
          <w:tcPr>
            <w:tcW w:type="dxa" w:w="4464"/>
            <w:tcMar>
              <w:top w:w="90" w:type="dxa"/>
              <w:start w:w="90" w:type="dxa"/>
              <w:bottom w:w="90" w:type="dxa"/>
              <w:end w:w="90" w:type="dxa"/>
            </w:tcMar>
          </w:tcPr>
          <w:p>
            <w:pPr>
              <w:spacing w:after="20" w:line="240" w:lineRule="auto"/>
            </w:pPr>
            <w:r/>
            <w:r>
              <w:rPr>
                <w:rFonts w:ascii="Aptos" w:hAnsi="Aptos"/>
                <w:sz w:val="17"/>
              </w:rPr>
              <w:t>Terminate process and prevent further output collection.</w:t>
            </w:r>
          </w:p>
        </w:tc>
      </w:tr>
    </w:tbl>
    <w:p>
      <w:pPr>
        <w:spacing w:after="60"/>
      </w:pPr>
    </w:p>
    <w:p>
      <w:pPr>
        <w:pStyle w:val="Heading1"/>
        <w:spacing w:before="280" w:after="100"/>
      </w:pPr>
      <w:r>
        <w:rPr>
          <w:rFonts w:ascii="Aptos" w:hAnsi="Aptos"/>
          <w:b/>
          <w:color w:val="17365D"/>
          <w:sz w:val="30"/>
        </w:rPr>
        <w:t>9. RAN Engine Version and Upgrade Governance</w:t>
      </w:r>
    </w:p>
    <w:p>
      <w:pPr>
        <w:spacing w:after="120" w:line="259" w:lineRule="auto"/>
      </w:pPr>
      <w:r>
        <w:rPr>
          <w:rFonts w:ascii="Aptos" w:hAnsi="Aptos"/>
          <w:sz w:val="21"/>
        </w:rPr>
        <w:t>The platform must be deterministic. A running or historical job must always be traceable to an exact RAN engine version and commit. Upstream RAN updates are adopted only through a reviewed compatibility upgrade, not by automatically following the upstream main branch.</w:t>
      </w:r>
    </w:p>
    <w:p>
      <w:pPr>
        <w:pStyle w:val="Heading2"/>
        <w:spacing w:before="180" w:after="100"/>
      </w:pPr>
      <w:r>
        <w:rPr>
          <w:rFonts w:ascii="Aptos" w:hAnsi="Aptos"/>
          <w:b/>
          <w:color w:val="17365D"/>
          <w:sz w:val="24"/>
        </w:rPr>
        <w:t>9.1 Versioning Convention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65D"/>
            <w:tcMar>
              <w:top w:w="90" w:type="dxa"/>
              <w:start w:w="90" w:type="dxa"/>
              <w:bottom w:w="90" w:type="dxa"/>
              <w:end w:w="90" w:type="dxa"/>
            </w:tcMar>
            <w:vAlign w:val="center"/>
          </w:tcPr>
          <w:p>
            <w:pPr>
              <w:jc w:val="left"/>
            </w:pPr>
            <w:r/>
            <w:r>
              <w:rPr>
                <w:rFonts w:ascii="Aptos" w:hAnsi="Aptos"/>
                <w:b/>
                <w:color w:val="FFFFFF"/>
                <w:sz w:val="18"/>
              </w:rPr>
              <w:t>Tag pattern</w:t>
            </w:r>
          </w:p>
        </w:tc>
        <w:tc>
          <w:tcPr>
            <w:tcW w:type="dxa" w:w="8280"/>
            <w:shd w:fill="17365D"/>
            <w:tcMar>
              <w:top w:w="90" w:type="dxa"/>
              <w:start w:w="90" w:type="dxa"/>
              <w:bottom w:w="90" w:type="dxa"/>
              <w:end w:w="90" w:type="dxa"/>
            </w:tcMar>
            <w:vAlign w:val="center"/>
          </w:tcPr>
          <w:p>
            <w:pPr>
              <w:jc w:val="left"/>
            </w:pPr>
            <w:r/>
            <w:r>
              <w:rPr>
                <w:rFonts w:ascii="Aptos" w:hAnsi="Aptos"/>
                <w:b/>
                <w:color w:val="FFFFFF"/>
                <w:sz w:val="18"/>
              </w:rPr>
              <w:t>When to use</w:t>
            </w:r>
          </w:p>
        </w:tc>
      </w:tr>
      <w:tr>
        <w:tc>
          <w:tcPr>
            <w:tcW w:type="dxa" w:w="2088"/>
            <w:tcMar>
              <w:top w:w="90" w:type="dxa"/>
              <w:start w:w="90" w:type="dxa"/>
              <w:bottom w:w="90" w:type="dxa"/>
              <w:end w:w="90" w:type="dxa"/>
            </w:tcMar>
          </w:tcPr>
          <w:p>
            <w:pPr>
              <w:spacing w:after="20" w:line="240" w:lineRule="auto"/>
            </w:pPr>
            <w:r/>
            <w:r>
              <w:rPr>
                <w:rFonts w:ascii="Aptos" w:hAnsi="Aptos"/>
                <w:sz w:val="18"/>
              </w:rPr>
              <w:t>v1.0.0</w:t>
            </w:r>
          </w:p>
        </w:tc>
        <w:tc>
          <w:tcPr>
            <w:tcW w:type="dxa" w:w="8280"/>
            <w:tcMar>
              <w:top w:w="90" w:type="dxa"/>
              <w:start w:w="90" w:type="dxa"/>
              <w:bottom w:w="90" w:type="dxa"/>
              <w:end w:w="90" w:type="dxa"/>
            </w:tcMar>
          </w:tcPr>
          <w:p>
            <w:pPr>
              <w:spacing w:after="20" w:line="240" w:lineRule="auto"/>
            </w:pPr>
            <w:r/>
            <w:r>
              <w:rPr>
                <w:rFonts w:ascii="Aptos" w:hAnsi="Aptos"/>
                <w:sz w:val="18"/>
              </w:rPr>
              <w:t>First platform-approved baseline for RAN engine integration.</w:t>
            </w:r>
          </w:p>
        </w:tc>
      </w:tr>
      <w:tr>
        <w:tc>
          <w:tcPr>
            <w:tcW w:type="dxa" w:w="2088"/>
            <w:tcMar>
              <w:top w:w="90" w:type="dxa"/>
              <w:start w:w="90" w:type="dxa"/>
              <w:bottom w:w="90" w:type="dxa"/>
              <w:end w:w="90" w:type="dxa"/>
            </w:tcMar>
            <w:shd w:fill="F7FAFC"/>
          </w:tcPr>
          <w:p>
            <w:pPr>
              <w:spacing w:after="20" w:line="240" w:lineRule="auto"/>
            </w:pPr>
            <w:r/>
            <w:r>
              <w:rPr>
                <w:rFonts w:ascii="Aptos" w:hAnsi="Aptos"/>
                <w:sz w:val="18"/>
              </w:rPr>
              <w:t>v1.0.1</w:t>
            </w:r>
          </w:p>
        </w:tc>
        <w:tc>
          <w:tcPr>
            <w:tcW w:type="dxa" w:w="8280"/>
            <w:tcMar>
              <w:top w:w="90" w:type="dxa"/>
              <w:start w:w="90" w:type="dxa"/>
              <w:bottom w:w="90" w:type="dxa"/>
              <w:end w:w="90" w:type="dxa"/>
            </w:tcMar>
            <w:shd w:fill="F7FAFC"/>
          </w:tcPr>
          <w:p>
            <w:pPr>
              <w:spacing w:after="20" w:line="240" w:lineRule="auto"/>
            </w:pPr>
            <w:r/>
            <w:r>
              <w:rPr>
                <w:rFonts w:ascii="Aptos" w:hAnsi="Aptos"/>
                <w:sz w:val="18"/>
              </w:rPr>
              <w:t>Bug fix, mapping correction, template/config correction without intended contract break.</w:t>
            </w:r>
          </w:p>
        </w:tc>
      </w:tr>
      <w:tr>
        <w:tc>
          <w:tcPr>
            <w:tcW w:type="dxa" w:w="2088"/>
            <w:tcMar>
              <w:top w:w="90" w:type="dxa"/>
              <w:start w:w="90" w:type="dxa"/>
              <w:bottom w:w="90" w:type="dxa"/>
              <w:end w:w="90" w:type="dxa"/>
            </w:tcMar>
          </w:tcPr>
          <w:p>
            <w:pPr>
              <w:spacing w:after="20" w:line="240" w:lineRule="auto"/>
            </w:pPr>
            <w:r/>
            <w:r>
              <w:rPr>
                <w:rFonts w:ascii="Aptos" w:hAnsi="Aptos"/>
                <w:sz w:val="18"/>
              </w:rPr>
              <w:t>v1.1.0</w:t>
            </w:r>
          </w:p>
        </w:tc>
        <w:tc>
          <w:tcPr>
            <w:tcW w:type="dxa" w:w="8280"/>
            <w:tcMar>
              <w:top w:w="90" w:type="dxa"/>
              <w:start w:w="90" w:type="dxa"/>
              <w:bottom w:w="90" w:type="dxa"/>
              <w:end w:w="90" w:type="dxa"/>
            </w:tcMar>
          </w:tcPr>
          <w:p>
            <w:pPr>
              <w:spacing w:after="20" w:line="240" w:lineRule="auto"/>
            </w:pPr>
            <w:r/>
            <w:r>
              <w:rPr>
                <w:rFonts w:ascii="Aptos" w:hAnsi="Aptos"/>
                <w:sz w:val="18"/>
              </w:rPr>
              <w:t>Compatible added business capability or supported input field / General Item rule enhancement.</w:t>
            </w:r>
          </w:p>
        </w:tc>
      </w:tr>
      <w:tr>
        <w:tc>
          <w:tcPr>
            <w:tcW w:type="dxa" w:w="2088"/>
            <w:tcMar>
              <w:top w:w="90" w:type="dxa"/>
              <w:start w:w="90" w:type="dxa"/>
              <w:bottom w:w="90" w:type="dxa"/>
              <w:end w:w="90" w:type="dxa"/>
            </w:tcMar>
            <w:shd w:fill="F7FAFC"/>
          </w:tcPr>
          <w:p>
            <w:pPr>
              <w:spacing w:after="20" w:line="240" w:lineRule="auto"/>
            </w:pPr>
            <w:r/>
            <w:r>
              <w:rPr>
                <w:rFonts w:ascii="Aptos" w:hAnsi="Aptos"/>
                <w:sz w:val="18"/>
              </w:rPr>
              <w:t>v2.0.0</w:t>
            </w:r>
          </w:p>
        </w:tc>
        <w:tc>
          <w:tcPr>
            <w:tcW w:type="dxa" w:w="8280"/>
            <w:tcMar>
              <w:top w:w="90" w:type="dxa"/>
              <w:start w:w="90" w:type="dxa"/>
              <w:bottom w:w="90" w:type="dxa"/>
              <w:end w:w="90" w:type="dxa"/>
            </w:tcMar>
            <w:shd w:fill="F7FAFC"/>
          </w:tcPr>
          <w:p>
            <w:pPr>
              <w:spacing w:after="20" w:line="240" w:lineRule="auto"/>
            </w:pPr>
            <w:r/>
            <w:r>
              <w:rPr>
                <w:rFonts w:ascii="Aptos" w:hAnsi="Aptos"/>
                <w:sz w:val="18"/>
              </w:rPr>
              <w:t>Breaking input/output contract, incompatible rule behavior or platform adapter changes required.</w:t>
            </w:r>
          </w:p>
        </w:tc>
      </w:tr>
    </w:tbl>
    <w:p>
      <w:pPr>
        <w:spacing w:after="60"/>
      </w:pPr>
    </w:p>
    <w:p>
      <w:pPr>
        <w:pStyle w:val="Heading2"/>
        <w:spacing w:before="180" w:after="100"/>
      </w:pPr>
      <w:r>
        <w:rPr>
          <w:rFonts w:ascii="Aptos" w:hAnsi="Aptos"/>
          <w:b/>
          <w:color w:val="17365D"/>
          <w:sz w:val="24"/>
        </w:rPr>
        <w:t>9.2 Controlled Upgrade Flow</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RAN team validates upstream change</w:t>
            </w:r>
            <w:r>
              <w:br/>
            </w:r>
            <w:r>
              <w:rPr>
                <w:rFonts w:ascii="Consolas" w:hAnsi="Consolas"/>
                <w:color w:val="303F4B"/>
                <w:sz w:val="17"/>
              </w:rPr>
              <w:t xml:space="preserve">        ↓</w:t>
            </w:r>
            <w:r>
              <w:br/>
            </w:r>
            <w:r>
              <w:rPr>
                <w:rFonts w:ascii="Consolas" w:hAnsi="Consolas"/>
                <w:color w:val="303F4B"/>
                <w:sz w:val="17"/>
              </w:rPr>
              <w:t>RAN team creates immutable annotated tag and release note</w:t>
            </w:r>
            <w:r>
              <w:br/>
            </w:r>
            <w:r>
              <w:rPr>
                <w:rFonts w:ascii="Consolas" w:hAnsi="Consolas"/>
                <w:color w:val="303F4B"/>
                <w:sz w:val="17"/>
              </w:rPr>
              <w:t xml:space="preserve">        ↓</w:t>
            </w:r>
            <w:r>
              <w:br/>
            </w:r>
            <w:r>
              <w:rPr>
                <w:rFonts w:ascii="Consolas" w:hAnsi="Consolas"/>
                <w:color w:val="303F4B"/>
                <w:sz w:val="17"/>
              </w:rPr>
              <w:t>Platform creates a dedicated compatibility upgrade branch</w:t>
            </w:r>
            <w:r>
              <w:br/>
            </w:r>
            <w:r>
              <w:rPr>
                <w:rFonts w:ascii="Consolas" w:hAnsi="Consolas"/>
                <w:color w:val="303F4B"/>
                <w:sz w:val="17"/>
              </w:rPr>
              <w:t xml:space="preserve">        ↓</w:t>
            </w:r>
            <w:r>
              <w:br/>
            </w:r>
            <w:r>
              <w:rPr>
                <w:rFonts w:ascii="Consolas" w:hAnsi="Consolas"/>
                <w:color w:val="303F4B"/>
                <w:sz w:val="17"/>
              </w:rPr>
              <w:t>Platform updates only the RAN submodule pointer / manifest version</w:t>
            </w:r>
            <w:r>
              <w:br/>
            </w:r>
            <w:r>
              <w:rPr>
                <w:rFonts w:ascii="Consolas" w:hAnsi="Consolas"/>
                <w:color w:val="303F4B"/>
                <w:sz w:val="17"/>
              </w:rPr>
              <w:t xml:space="preserve">        ↓</w:t>
            </w:r>
            <w:r>
              <w:br/>
            </w:r>
            <w:r>
              <w:rPr>
                <w:rFonts w:ascii="Consolas" w:hAnsi="Consolas"/>
                <w:color w:val="303F4B"/>
                <w:sz w:val="17"/>
              </w:rPr>
              <w:t>Run Standard PR golden test + General Item golden test + MW regression</w:t>
            </w:r>
            <w:r>
              <w:br/>
            </w:r>
            <w:r>
              <w:rPr>
                <w:rFonts w:ascii="Consolas" w:hAnsi="Consolas"/>
                <w:color w:val="303F4B"/>
                <w:sz w:val="17"/>
              </w:rPr>
              <w:t xml:space="preserve">        ↓</w:t>
            </w:r>
            <w:r>
              <w:br/>
            </w:r>
            <w:r>
              <w:rPr>
                <w:rFonts w:ascii="Consolas" w:hAnsi="Consolas"/>
                <w:color w:val="303F4B"/>
                <w:sz w:val="17"/>
              </w:rPr>
              <w:t>Review adapter compatibility, output schema and known limitations</w:t>
            </w:r>
            <w:r>
              <w:br/>
            </w:r>
            <w:r>
              <w:rPr>
                <w:rFonts w:ascii="Consolas" w:hAnsi="Consolas"/>
                <w:color w:val="303F4B"/>
                <w:sz w:val="17"/>
              </w:rPr>
              <w:t xml:space="preserve">        ↓</w:t>
            </w:r>
            <w:r>
              <w:br/>
            </w:r>
            <w:r>
              <w:rPr>
                <w:rFonts w:ascii="Consolas" w:hAnsi="Consolas"/>
                <w:color w:val="303F4B"/>
                <w:sz w:val="17"/>
              </w:rPr>
              <w:t>Human business confirmation</w:t>
            </w:r>
            <w:r>
              <w:br/>
            </w:r>
            <w:r>
              <w:rPr>
                <w:rFonts w:ascii="Consolas" w:hAnsi="Consolas"/>
                <w:color w:val="303F4B"/>
                <w:sz w:val="17"/>
              </w:rPr>
              <w:t xml:space="preserve">        ↓</w:t>
            </w:r>
            <w:r>
              <w:br/>
            </w:r>
            <w:r>
              <w:rPr>
                <w:rFonts w:ascii="Consolas" w:hAnsi="Consolas"/>
                <w:color w:val="303F4B"/>
                <w:sz w:val="17"/>
              </w:rPr>
              <w:t>Merge platform upgrade PR only when all gates pass</w:t>
            </w:r>
          </w:p>
        </w:tc>
      </w:tr>
    </w:tbl>
    <w:p>
      <w:pPr>
        <w:spacing w:after="40"/>
      </w:pPr>
    </w:p>
    <w:p>
      <w:pPr>
        <w:pStyle w:val="ListBullet"/>
        <w:spacing w:after="60"/>
      </w:pPr>
      <w:r>
        <w:rPr>
          <w:rFonts w:ascii="Aptos" w:hAnsi="Aptos"/>
          <w:sz w:val="21"/>
        </w:rPr>
        <w:t>Never move or force-push an existing released tag. A tag must remain an immutable business-rule reference.</w:t>
      </w:r>
    </w:p>
    <w:p>
      <w:pPr>
        <w:pStyle w:val="ListBullet"/>
        <w:spacing w:after="60"/>
      </w:pPr>
      <w:r>
        <w:rPr>
          <w:rFonts w:ascii="Aptos" w:hAnsi="Aptos"/>
          <w:sz w:val="21"/>
        </w:rPr>
        <w:t>Do not use automatic remote submodule updates as a production upgrade mechanism.</w:t>
      </w:r>
    </w:p>
    <w:p>
      <w:pPr>
        <w:pStyle w:val="ListBullet"/>
        <w:spacing w:after="60"/>
      </w:pPr>
      <w:r>
        <w:rPr>
          <w:rFonts w:ascii="Aptos" w:hAnsi="Aptos"/>
          <w:sz w:val="21"/>
        </w:rPr>
        <w:t>The platform submodule references the exact upstream commit behind an approved tag; the tag is for human governance and the commit is for reproducibility.</w:t>
      </w:r>
    </w:p>
    <w:p>
      <w:pPr>
        <w:pStyle w:val="Heading2"/>
        <w:spacing w:before="180" w:after="100"/>
      </w:pPr>
      <w:r>
        <w:rPr>
          <w:rFonts w:ascii="Aptos" w:hAnsi="Aptos"/>
          <w:b/>
          <w:color w:val="17365D"/>
          <w:sz w:val="24"/>
        </w:rPr>
        <w:t>9.3 Current Release Readiness Note</w:t>
      </w:r>
    </w:p>
    <w:p>
      <w:pPr>
        <w:spacing w:after="120" w:line="259" w:lineRule="auto"/>
      </w:pPr>
      <w:r>
        <w:rPr>
          <w:rFonts w:ascii="Aptos" w:hAnsi="Aptos"/>
          <w:sz w:val="21"/>
        </w:rPr>
        <w:t>At the time this document was prepared, the intended RAN baseline was local annotated tag v1.0.0 on commit 239910e2816153339a94881597bbb95355059741. The tag still requires successful upstream remote push after the required GitHub Write permission is granted to the approved maintainer accounts. This is a release-governance prerequisite, not an engine design blocker.</w:t>
      </w:r>
    </w:p>
    <w:p>
      <w:pPr>
        <w:pStyle w:val="Heading1"/>
        <w:spacing w:before="280" w:after="100"/>
      </w:pPr>
      <w:r>
        <w:rPr>
          <w:rFonts w:ascii="Aptos" w:hAnsi="Aptos"/>
          <w:b/>
          <w:color w:val="17365D"/>
          <w:sz w:val="30"/>
        </w:rPr>
        <w:t>10. Verification and Acceptance Model</w:t>
      </w:r>
    </w:p>
    <w:p>
      <w:pPr>
        <w:pStyle w:val="Heading2"/>
        <w:spacing w:before="180" w:after="100"/>
      </w:pPr>
      <w:r>
        <w:rPr>
          <w:rFonts w:ascii="Aptos" w:hAnsi="Aptos"/>
          <w:b/>
          <w:color w:val="17365D"/>
          <w:sz w:val="24"/>
        </w:rPr>
        <w:t>10.1 Golden Sample Strategy</w:t>
      </w:r>
    </w:p>
    <w:p>
      <w:pPr>
        <w:spacing w:after="120" w:line="259" w:lineRule="auto"/>
      </w:pPr>
      <w:r>
        <w:rPr>
          <w:rFonts w:ascii="Aptos" w:hAnsi="Aptos"/>
          <w:sz w:val="21"/>
        </w:rPr>
        <w:t>The upstream RAN repository contains sample input and known-correct output workbooks. Use them as regression baselines, but treat EPMS as a time-varying operational export. Real platform jobs must always use user-uploaded BOM and EPMS files.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90" w:type="dxa"/>
              <w:start w:w="90" w:type="dxa"/>
              <w:bottom w:w="90" w:type="dxa"/>
              <w:end w:w="90" w:type="dxa"/>
            </w:tcMar>
            <w:vAlign w:val="center"/>
          </w:tcPr>
          <w:p>
            <w:pPr>
              <w:jc w:val="left"/>
            </w:pPr>
            <w:r/>
            <w:r>
              <w:rPr>
                <w:rFonts w:ascii="Aptos" w:hAnsi="Aptos"/>
                <w:b/>
                <w:color w:val="FFFFFF"/>
                <w:sz w:val="18"/>
              </w:rPr>
              <w:t>Test area</w:t>
            </w:r>
          </w:p>
        </w:tc>
        <w:tc>
          <w:tcPr>
            <w:tcW w:type="dxa" w:w="8136"/>
            <w:shd w:fill="17365D"/>
            <w:tcMar>
              <w:top w:w="90" w:type="dxa"/>
              <w:start w:w="90" w:type="dxa"/>
              <w:bottom w:w="90" w:type="dxa"/>
              <w:end w:w="90" w:type="dxa"/>
            </w:tcMar>
            <w:vAlign w:val="center"/>
          </w:tcPr>
          <w:p>
            <w:pPr>
              <w:jc w:val="left"/>
            </w:pPr>
            <w:r/>
            <w:r>
              <w:rPr>
                <w:rFonts w:ascii="Aptos" w:hAnsi="Aptos"/>
                <w:b/>
                <w:color w:val="FFFFFF"/>
                <w:sz w:val="18"/>
              </w:rPr>
              <w:t>Evidence expected</w:t>
            </w:r>
          </w:p>
        </w:tc>
      </w:tr>
      <w:tr>
        <w:tc>
          <w:tcPr>
            <w:tcW w:type="dxa" w:w="2232"/>
            <w:tcMar>
              <w:top w:w="90" w:type="dxa"/>
              <w:start w:w="90" w:type="dxa"/>
              <w:bottom w:w="90" w:type="dxa"/>
              <w:end w:w="90" w:type="dxa"/>
            </w:tcMar>
          </w:tcPr>
          <w:p>
            <w:pPr>
              <w:spacing w:after="20" w:line="240" w:lineRule="auto"/>
            </w:pPr>
            <w:r/>
            <w:r>
              <w:rPr>
                <w:rFonts w:ascii="Aptos" w:hAnsi="Aptos"/>
                <w:sz w:val="18"/>
              </w:rPr>
              <w:t>Standard PR golden test</w:t>
            </w:r>
          </w:p>
        </w:tc>
        <w:tc>
          <w:tcPr>
            <w:tcW w:type="dxa" w:w="8136"/>
            <w:tcMar>
              <w:top w:w="90" w:type="dxa"/>
              <w:start w:w="90" w:type="dxa"/>
              <w:bottom w:w="90" w:type="dxa"/>
              <w:end w:w="90" w:type="dxa"/>
            </w:tcMar>
          </w:tcPr>
          <w:p>
            <w:pPr>
              <w:spacing w:after="20" w:line="240" w:lineRule="auto"/>
            </w:pPr>
            <w:r/>
            <w:r>
              <w:rPr>
                <w:rFonts w:ascii="Aptos" w:hAnsi="Aptos"/>
                <w:sz w:val="18"/>
              </w:rPr>
              <w:t>Generated workbook business content matches the approved Standard PR baseline for sheets, required columns, row counts, PR items, materials, quantities and key summary fields.</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General Item golden test</w:t>
            </w:r>
          </w:p>
        </w:tc>
        <w:tc>
          <w:tcPr>
            <w:tcW w:type="dxa" w:w="8136"/>
            <w:tcMar>
              <w:top w:w="90" w:type="dxa"/>
              <w:start w:w="90" w:type="dxa"/>
              <w:bottom w:w="90" w:type="dxa"/>
              <w:end w:w="90" w:type="dxa"/>
            </w:tcMar>
            <w:shd w:fill="F7FAFC"/>
          </w:tcPr>
          <w:p>
            <w:pPr>
              <w:spacing w:after="20" w:line="240" w:lineRule="auto"/>
            </w:pPr>
            <w:r/>
            <w:r>
              <w:rPr>
                <w:rFonts w:ascii="Aptos" w:hAnsi="Aptos"/>
                <w:sz w:val="18"/>
              </w:rPr>
              <w:t>Generated General Item workbook content matches the approved General Item baseline, including expected project-derived lines and values.</w:t>
            </w:r>
          </w:p>
        </w:tc>
      </w:tr>
      <w:tr>
        <w:tc>
          <w:tcPr>
            <w:tcW w:type="dxa" w:w="2232"/>
            <w:tcMar>
              <w:top w:w="90" w:type="dxa"/>
              <w:start w:w="90" w:type="dxa"/>
              <w:bottom w:w="90" w:type="dxa"/>
              <w:end w:w="90" w:type="dxa"/>
            </w:tcMar>
          </w:tcPr>
          <w:p>
            <w:pPr>
              <w:spacing w:after="20" w:line="240" w:lineRule="auto"/>
            </w:pPr>
            <w:r/>
            <w:r>
              <w:rPr>
                <w:rFonts w:ascii="Aptos" w:hAnsi="Aptos"/>
                <w:sz w:val="18"/>
              </w:rPr>
              <w:t>Workbook comparison method</w:t>
            </w:r>
          </w:p>
        </w:tc>
        <w:tc>
          <w:tcPr>
            <w:tcW w:type="dxa" w:w="8136"/>
            <w:tcMar>
              <w:top w:w="90" w:type="dxa"/>
              <w:start w:w="90" w:type="dxa"/>
              <w:bottom w:w="90" w:type="dxa"/>
              <w:end w:w="90" w:type="dxa"/>
            </w:tcMar>
          </w:tcPr>
          <w:p>
            <w:pPr>
              <w:spacing w:after="20" w:line="240" w:lineRule="auto"/>
            </w:pPr>
            <w:r/>
            <w:r>
              <w:rPr>
                <w:rFonts w:ascii="Aptos" w:hAnsi="Aptos"/>
                <w:sz w:val="18"/>
              </w:rPr>
              <w:t>Compare logical workbook/business content rather than raw Excel binary bytes, because metadata, generation time and XML ordering can change while business output remains correct.</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Workspace isolation</w:t>
            </w:r>
          </w:p>
        </w:tc>
        <w:tc>
          <w:tcPr>
            <w:tcW w:type="dxa" w:w="8136"/>
            <w:tcMar>
              <w:top w:w="90" w:type="dxa"/>
              <w:start w:w="90" w:type="dxa"/>
              <w:bottom w:w="90" w:type="dxa"/>
              <w:end w:w="90" w:type="dxa"/>
            </w:tcMar>
            <w:shd w:fill="F7FAFC"/>
          </w:tcPr>
          <w:p>
            <w:pPr>
              <w:spacing w:after="20" w:line="240" w:lineRule="auto"/>
            </w:pPr>
            <w:r/>
            <w:r>
              <w:rPr>
                <w:rFonts w:ascii="Aptos" w:hAnsi="Aptos"/>
                <w:sz w:val="18"/>
              </w:rPr>
              <w:t>Two jobs cannot overwrite one another's inputs or outputs; no source submodule input/output directory is changed by test execution.</w:t>
            </w:r>
          </w:p>
        </w:tc>
      </w:tr>
      <w:tr>
        <w:tc>
          <w:tcPr>
            <w:tcW w:type="dxa" w:w="2232"/>
            <w:tcMar>
              <w:top w:w="90" w:type="dxa"/>
              <w:start w:w="90" w:type="dxa"/>
              <w:bottom w:w="90" w:type="dxa"/>
              <w:end w:w="90" w:type="dxa"/>
            </w:tcMar>
          </w:tcPr>
          <w:p>
            <w:pPr>
              <w:spacing w:after="20" w:line="240" w:lineRule="auto"/>
            </w:pPr>
            <w:r/>
            <w:r>
              <w:rPr>
                <w:rFonts w:ascii="Aptos" w:hAnsi="Aptos"/>
                <w:sz w:val="18"/>
              </w:rPr>
              <w:t>MW regression</w:t>
            </w:r>
          </w:p>
        </w:tc>
        <w:tc>
          <w:tcPr>
            <w:tcW w:type="dxa" w:w="8136"/>
            <w:tcMar>
              <w:top w:w="90" w:type="dxa"/>
              <w:start w:w="90" w:type="dxa"/>
              <w:bottom w:w="90" w:type="dxa"/>
              <w:end w:w="90" w:type="dxa"/>
            </w:tcMar>
          </w:tcPr>
          <w:p>
            <w:pPr>
              <w:spacing w:after="20" w:line="240" w:lineRule="auto"/>
            </w:pPr>
            <w:r/>
            <w:r>
              <w:rPr>
                <w:rFonts w:ascii="Aptos" w:hAnsi="Aptos"/>
                <w:sz w:val="18"/>
              </w:rPr>
              <w:t>Existing MW worker routes, dispatch, history, job detail and outputs remain functional after registry introduction.</w:t>
            </w:r>
          </w:p>
        </w:tc>
      </w:tr>
      <w:tr>
        <w:tc>
          <w:tcPr>
            <w:tcW w:type="dxa" w:w="2232"/>
            <w:tcMar>
              <w:top w:w="90" w:type="dxa"/>
              <w:start w:w="90" w:type="dxa"/>
              <w:bottom w:w="90" w:type="dxa"/>
              <w:end w:w="90" w:type="dxa"/>
            </w:tcMar>
            <w:shd w:fill="F7FAFC"/>
          </w:tcPr>
          <w:p>
            <w:pPr>
              <w:spacing w:after="20" w:line="240" w:lineRule="auto"/>
            </w:pPr>
            <w:r/>
            <w:r>
              <w:rPr>
                <w:rFonts w:ascii="Aptos" w:hAnsi="Aptos"/>
                <w:sz w:val="18"/>
              </w:rPr>
              <w:t>Safe error proof</w:t>
            </w:r>
          </w:p>
        </w:tc>
        <w:tc>
          <w:tcPr>
            <w:tcW w:type="dxa" w:w="8136"/>
            <w:tcMar>
              <w:top w:w="90" w:type="dxa"/>
              <w:start w:w="90" w:type="dxa"/>
              <w:bottom w:w="90" w:type="dxa"/>
              <w:end w:w="90" w:type="dxa"/>
            </w:tcMar>
            <w:shd w:fill="F7FAFC"/>
          </w:tcPr>
          <w:p>
            <w:pPr>
              <w:spacing w:after="20" w:line="240" w:lineRule="auto"/>
            </w:pPr>
            <w:r/>
            <w:r>
              <w:rPr>
                <w:rFonts w:ascii="Aptos" w:hAnsi="Aptos"/>
                <w:sz w:val="18"/>
              </w:rPr>
              <w:t>Negative test verifies user-safe failure messages and absence of raw stack traces/secrets/unsafe paths.</w:t>
            </w:r>
          </w:p>
        </w:tc>
      </w:tr>
    </w:tbl>
    <w:p>
      <w:pPr>
        <w:spacing w:after="60"/>
      </w:pPr>
    </w:p>
    <w:p>
      <w:pPr>
        <w:pStyle w:val="Heading2"/>
        <w:spacing w:before="180" w:after="100"/>
      </w:pPr>
      <w:r>
        <w:rPr>
          <w:rFonts w:ascii="Aptos" w:hAnsi="Aptos"/>
          <w:b/>
          <w:color w:val="17365D"/>
          <w:sz w:val="24"/>
        </w:rPr>
        <w:t>10.2 Required Final Gates</w:t>
      </w:r>
    </w:p>
    <w:p>
      <w:pPr>
        <w:pStyle w:val="ListBullet"/>
        <w:spacing w:after="60"/>
      </w:pPr>
      <w:r>
        <w:rPr>
          <w:rFonts w:ascii="Aptos" w:hAnsi="Aptos"/>
          <w:sz w:val="21"/>
        </w:rPr>
        <w:t>RAN PR Worker is integrated without launching the upstream FastAPI application or prototype webpage.</w:t>
      </w:r>
    </w:p>
    <w:p>
      <w:pPr>
        <w:pStyle w:val="ListBullet"/>
        <w:spacing w:after="60"/>
      </w:pPr>
      <w:r>
        <w:rPr>
          <w:rFonts w:ascii="Aptos" w:hAnsi="Aptos"/>
          <w:sz w:val="21"/>
        </w:rPr>
        <w:t>Existing MW PR Worker remains backward compatible after Worker Registry adoption.</w:t>
      </w:r>
    </w:p>
    <w:p>
      <w:pPr>
        <w:pStyle w:val="ListBullet"/>
        <w:spacing w:after="60"/>
      </w:pPr>
      <w:r>
        <w:rPr>
          <w:rFonts w:ascii="Aptos" w:hAnsi="Aptos"/>
          <w:sz w:val="21"/>
        </w:rPr>
        <w:t>RAN Standard PR and General Item run through isolated workspaces and platform lifecycle.</w:t>
      </w:r>
    </w:p>
    <w:p>
      <w:pPr>
        <w:pStyle w:val="ListBullet"/>
        <w:spacing w:after="60"/>
      </w:pPr>
      <w:r>
        <w:rPr>
          <w:rFonts w:ascii="Aptos" w:hAnsi="Aptos"/>
          <w:sz w:val="21"/>
        </w:rPr>
        <w:t>RAN engine source remains unmodified inside the submodule.</w:t>
      </w:r>
    </w:p>
    <w:p>
      <w:pPr>
        <w:pStyle w:val="ListBullet"/>
        <w:spacing w:after="60"/>
      </w:pPr>
      <w:r>
        <w:rPr>
          <w:rFonts w:ascii="Aptos" w:hAnsi="Aptos"/>
          <w:sz w:val="21"/>
        </w:rPr>
        <w:t>History, Job Detail, file metadata, download and ZIP behavior use the shared platform model.</w:t>
      </w:r>
    </w:p>
    <w:p>
      <w:pPr>
        <w:pStyle w:val="ListBullet"/>
        <w:spacing w:after="60"/>
      </w:pPr>
      <w:r>
        <w:rPr>
          <w:rFonts w:ascii="Aptos" w:hAnsi="Aptos"/>
          <w:sz w:val="21"/>
        </w:rPr>
        <w:t>RAN engine version/tag/commit is recorded for each job.</w:t>
      </w:r>
    </w:p>
    <w:p>
      <w:pPr>
        <w:pStyle w:val="ListBullet"/>
        <w:spacing w:after="60"/>
      </w:pPr>
      <w:r>
        <w:rPr>
          <w:rFonts w:ascii="Aptos" w:hAnsi="Aptos"/>
          <w:sz w:val="21"/>
        </w:rPr>
        <w:t>RAN golden tests and MW regression tests pass.</w:t>
      </w:r>
    </w:p>
    <w:p>
      <w:pPr>
        <w:pStyle w:val="ListBullet"/>
        <w:spacing w:after="60"/>
      </w:pPr>
      <w:r>
        <w:rPr>
          <w:rFonts w:ascii="Aptos" w:hAnsi="Aptos"/>
          <w:sz w:val="21"/>
        </w:rPr>
        <w:t>No generated Excel outputs, input samples, secrets, .env, node_modules, build, dist or caches are committed to the platform repository.</w:t>
      </w:r>
    </w:p>
    <w:p>
      <w:pPr>
        <w:pStyle w:val="ListBullet"/>
        <w:spacing w:after="60"/>
      </w:pPr>
      <w:r>
        <w:rPr>
          <w:rFonts w:ascii="Aptos" w:hAnsi="Aptos"/>
          <w:sz w:val="21"/>
        </w:rPr>
        <w:t>git diff --check passes; working tree is clean; final report and Draft PR are complete.</w:t>
      </w:r>
    </w:p>
    <w:p>
      <w:r>
        <w:rPr>
          <w:rFonts w:ascii="Aptos" w:hAnsi="Aptos"/>
          <w:sz w:val="21"/>
        </w:rPr>
        <w:br w:type="page"/>
      </w:r>
    </w:p>
    <w:p>
      <w:pPr>
        <w:pStyle w:val="Heading1"/>
        <w:spacing w:before="280" w:after="100"/>
      </w:pPr>
      <w:r>
        <w:rPr>
          <w:rFonts w:ascii="Aptos" w:hAnsi="Aptos"/>
          <w:b/>
          <w:color w:val="17365D"/>
          <w:sz w:val="30"/>
        </w:rPr>
        <w:t>11. Unattended Development Delivery Model</w:t>
      </w:r>
    </w:p>
    <w:p>
      <w:pPr>
        <w:spacing w:after="120" w:line="259" w:lineRule="auto"/>
      </w:pPr>
      <w:r>
        <w:rPr>
          <w:rFonts w:ascii="Aptos" w:hAnsi="Aptos"/>
          <w:sz w:val="21"/>
        </w:rPr>
        <w:t>The integration is designed to be executed as a continuous Codex unattended mission, not as a sequence of small human-gated coding steps. The mission must preserve state, logs, decision evidence and checkpoint commits so it can resume safely after a usage interruption.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65D"/>
            <w:tcMar>
              <w:top w:w="90" w:type="dxa"/>
              <w:start w:w="90" w:type="dxa"/>
              <w:bottom w:w="90" w:type="dxa"/>
              <w:end w:w="90" w:type="dxa"/>
            </w:tcMar>
            <w:vAlign w:val="center"/>
          </w:tcPr>
          <w:p>
            <w:pPr>
              <w:jc w:val="left"/>
            </w:pPr>
            <w:r/>
            <w:r>
              <w:rPr>
                <w:rFonts w:ascii="Aptos" w:hAnsi="Aptos"/>
                <w:b/>
                <w:color w:val="FFFFFF"/>
                <w:sz w:val="17"/>
              </w:rPr>
              <w:t>Phase</w:t>
            </w:r>
          </w:p>
        </w:tc>
        <w:tc>
          <w:tcPr>
            <w:tcW w:type="dxa" w:w="2880"/>
            <w:shd w:fill="17365D"/>
            <w:tcMar>
              <w:top w:w="90" w:type="dxa"/>
              <w:start w:w="90" w:type="dxa"/>
              <w:bottom w:w="90" w:type="dxa"/>
              <w:end w:w="90" w:type="dxa"/>
            </w:tcMar>
            <w:vAlign w:val="center"/>
          </w:tcPr>
          <w:p>
            <w:pPr>
              <w:jc w:val="left"/>
            </w:pPr>
            <w:r/>
            <w:r>
              <w:rPr>
                <w:rFonts w:ascii="Aptos" w:hAnsi="Aptos"/>
                <w:b/>
                <w:color w:val="FFFFFF"/>
                <w:sz w:val="17"/>
              </w:rPr>
              <w:t>Objective</w:t>
            </w:r>
          </w:p>
        </w:tc>
        <w:tc>
          <w:tcPr>
            <w:tcW w:type="dxa" w:w="5832"/>
            <w:shd w:fill="17365D"/>
            <w:tcMar>
              <w:top w:w="90" w:type="dxa"/>
              <w:start w:w="90" w:type="dxa"/>
              <w:bottom w:w="90" w:type="dxa"/>
              <w:end w:w="90" w:type="dxa"/>
            </w:tcMar>
            <w:vAlign w:val="center"/>
          </w:tcPr>
          <w:p>
            <w:pPr>
              <w:jc w:val="left"/>
            </w:pPr>
            <w:r/>
            <w:r>
              <w:rPr>
                <w:rFonts w:ascii="Aptos" w:hAnsi="Aptos"/>
                <w:b/>
                <w:color w:val="FFFFFF"/>
                <w:sz w:val="17"/>
              </w:rPr>
              <w:t>Primary deliverables</w:t>
            </w:r>
          </w:p>
        </w:tc>
      </w:tr>
      <w:tr>
        <w:tc>
          <w:tcPr>
            <w:tcW w:type="dxa" w:w="1656"/>
            <w:tcMar>
              <w:top w:w="90" w:type="dxa"/>
              <w:start w:w="90" w:type="dxa"/>
              <w:bottom w:w="90" w:type="dxa"/>
              <w:end w:w="90" w:type="dxa"/>
            </w:tcMar>
          </w:tcPr>
          <w:p>
            <w:pPr>
              <w:spacing w:after="20" w:line="240" w:lineRule="auto"/>
            </w:pPr>
            <w:r/>
            <w:r>
              <w:rPr>
                <w:rFonts w:ascii="Aptos" w:hAnsi="Aptos"/>
                <w:sz w:val="17"/>
              </w:rPr>
              <w:t>0 - Discovery and ADR</w:t>
            </w:r>
          </w:p>
        </w:tc>
        <w:tc>
          <w:tcPr>
            <w:tcW w:type="dxa" w:w="2880"/>
            <w:tcMar>
              <w:top w:w="90" w:type="dxa"/>
              <w:start w:w="90" w:type="dxa"/>
              <w:bottom w:w="90" w:type="dxa"/>
              <w:end w:w="90" w:type="dxa"/>
            </w:tcMar>
          </w:tcPr>
          <w:p>
            <w:pPr>
              <w:spacing w:after="20" w:line="240" w:lineRule="auto"/>
            </w:pPr>
            <w:r/>
            <w:r>
              <w:rPr>
                <w:rFonts w:ascii="Aptos" w:hAnsi="Aptos"/>
                <w:sz w:val="17"/>
              </w:rPr>
              <w:t>Confirm actual platform/RAN architecture, persistence path, runtime contract and target design.</w:t>
            </w:r>
          </w:p>
        </w:tc>
        <w:tc>
          <w:tcPr>
            <w:tcW w:type="dxa" w:w="5832"/>
            <w:tcMar>
              <w:top w:w="90" w:type="dxa"/>
              <w:start w:w="90" w:type="dxa"/>
              <w:bottom w:w="90" w:type="dxa"/>
              <w:end w:w="90" w:type="dxa"/>
            </w:tcMar>
          </w:tcPr>
          <w:p>
            <w:pPr>
              <w:spacing w:after="20" w:line="240" w:lineRule="auto"/>
            </w:pPr>
            <w:r/>
            <w:r>
              <w:rPr>
                <w:rFonts w:ascii="Aptos" w:hAnsi="Aptos"/>
                <w:sz w:val="17"/>
              </w:rPr>
              <w:t>State bundle, ADR, execution plan, decision log, UI/input-output contract, upgrade runbook design.</w:t>
            </w:r>
          </w:p>
        </w:tc>
      </w:tr>
      <w:tr>
        <w:tc>
          <w:tcPr>
            <w:tcW w:type="dxa" w:w="1656"/>
            <w:tcMar>
              <w:top w:w="90" w:type="dxa"/>
              <w:start w:w="90" w:type="dxa"/>
              <w:bottom w:w="90" w:type="dxa"/>
              <w:end w:w="90" w:type="dxa"/>
            </w:tcMar>
            <w:shd w:fill="F7FAFC"/>
          </w:tcPr>
          <w:p>
            <w:pPr>
              <w:spacing w:after="20" w:line="240" w:lineRule="auto"/>
            </w:pPr>
            <w:r/>
            <w:r>
              <w:rPr>
                <w:rFonts w:ascii="Aptos" w:hAnsi="Aptos"/>
                <w:sz w:val="17"/>
              </w:rPr>
              <w:t>1 - Engine compatibility</w:t>
            </w:r>
          </w:p>
        </w:tc>
        <w:tc>
          <w:tcPr>
            <w:tcW w:type="dxa" w:w="2880"/>
            <w:tcMar>
              <w:top w:w="90" w:type="dxa"/>
              <w:start w:w="90" w:type="dxa"/>
              <w:bottom w:w="90" w:type="dxa"/>
              <w:end w:w="90" w:type="dxa"/>
            </w:tcMar>
            <w:shd w:fill="F7FAFC"/>
          </w:tcPr>
          <w:p>
            <w:pPr>
              <w:spacing w:after="20" w:line="240" w:lineRule="auto"/>
            </w:pPr>
            <w:r/>
            <w:r>
              <w:rPr>
                <w:rFonts w:ascii="Aptos" w:hAnsi="Aptos"/>
                <w:sz w:val="17"/>
              </w:rPr>
              <w:t>Prove RAN engine can run through an isolated platform adapter.</w:t>
            </w:r>
          </w:p>
        </w:tc>
        <w:tc>
          <w:tcPr>
            <w:tcW w:type="dxa" w:w="5832"/>
            <w:tcMar>
              <w:top w:w="90" w:type="dxa"/>
              <w:start w:w="90" w:type="dxa"/>
              <w:bottom w:w="90" w:type="dxa"/>
              <w:end w:w="90" w:type="dxa"/>
            </w:tcMar>
            <w:shd w:fill="F7FAFC"/>
          </w:tcPr>
          <w:p>
            <w:pPr>
              <w:spacing w:after="20" w:line="240" w:lineRule="auto"/>
            </w:pPr>
            <w:r/>
            <w:r>
              <w:rPr>
                <w:rFonts w:ascii="Aptos" w:hAnsi="Aptos"/>
                <w:sz w:val="17"/>
              </w:rPr>
              <w:t>Pinned submodule, manifest, non-interactive Standard PR proof, General Item proof, golden test evidence.</w:t>
            </w:r>
          </w:p>
        </w:tc>
      </w:tr>
      <w:tr>
        <w:tc>
          <w:tcPr>
            <w:tcW w:type="dxa" w:w="1656"/>
            <w:tcMar>
              <w:top w:w="90" w:type="dxa"/>
              <w:start w:w="90" w:type="dxa"/>
              <w:bottom w:w="90" w:type="dxa"/>
              <w:end w:w="90" w:type="dxa"/>
            </w:tcMar>
          </w:tcPr>
          <w:p>
            <w:pPr>
              <w:spacing w:after="20" w:line="240" w:lineRule="auto"/>
            </w:pPr>
            <w:r/>
            <w:r>
              <w:rPr>
                <w:rFonts w:ascii="Aptos" w:hAnsi="Aptos"/>
                <w:sz w:val="17"/>
              </w:rPr>
              <w:t>2 - Backend integration</w:t>
            </w:r>
          </w:p>
        </w:tc>
        <w:tc>
          <w:tcPr>
            <w:tcW w:type="dxa" w:w="2880"/>
            <w:tcMar>
              <w:top w:w="90" w:type="dxa"/>
              <w:start w:w="90" w:type="dxa"/>
              <w:bottom w:w="90" w:type="dxa"/>
              <w:end w:w="90" w:type="dxa"/>
            </w:tcMar>
          </w:tcPr>
          <w:p>
            <w:pPr>
              <w:spacing w:after="20" w:line="240" w:lineRule="auto"/>
            </w:pPr>
            <w:r/>
            <w:r>
              <w:rPr>
                <w:rFonts w:ascii="Aptos" w:hAnsi="Aptos"/>
                <w:sz w:val="17"/>
              </w:rPr>
              <w:t>Connect RAN to shared job lifecycle and persistence model.</w:t>
            </w:r>
          </w:p>
        </w:tc>
        <w:tc>
          <w:tcPr>
            <w:tcW w:type="dxa" w:w="5832"/>
            <w:tcMar>
              <w:top w:w="90" w:type="dxa"/>
              <w:start w:w="90" w:type="dxa"/>
              <w:bottom w:w="90" w:type="dxa"/>
              <w:end w:w="90" w:type="dxa"/>
            </w:tcMar>
          </w:tcPr>
          <w:p>
            <w:pPr>
              <w:spacing w:after="20" w:line="240" w:lineRule="auto"/>
            </w:pPr>
            <w:r/>
            <w:r>
              <w:rPr>
                <w:rFonts w:ascii="Aptos" w:hAnsi="Aptos"/>
                <w:sz w:val="17"/>
              </w:rPr>
              <w:t>Registry, adapter, routes, validation, queue dispatch, cancellation, outputs, ZIP and safe failures.</w:t>
            </w:r>
          </w:p>
        </w:tc>
      </w:tr>
      <w:tr>
        <w:tc>
          <w:tcPr>
            <w:tcW w:type="dxa" w:w="1656"/>
            <w:tcMar>
              <w:top w:w="90" w:type="dxa"/>
              <w:start w:w="90" w:type="dxa"/>
              <w:bottom w:w="90" w:type="dxa"/>
              <w:end w:w="90" w:type="dxa"/>
            </w:tcMar>
            <w:shd w:fill="F7FAFC"/>
          </w:tcPr>
          <w:p>
            <w:pPr>
              <w:spacing w:after="20" w:line="240" w:lineRule="auto"/>
            </w:pPr>
            <w:r/>
            <w:r>
              <w:rPr>
                <w:rFonts w:ascii="Aptos" w:hAnsi="Aptos"/>
                <w:sz w:val="17"/>
              </w:rPr>
              <w:t>3 - Frontend integration</w:t>
            </w:r>
          </w:p>
        </w:tc>
        <w:tc>
          <w:tcPr>
            <w:tcW w:type="dxa" w:w="2880"/>
            <w:tcMar>
              <w:top w:w="90" w:type="dxa"/>
              <w:start w:w="90" w:type="dxa"/>
              <w:bottom w:w="90" w:type="dxa"/>
              <w:end w:w="90" w:type="dxa"/>
            </w:tcMar>
            <w:shd w:fill="F7FAFC"/>
          </w:tcPr>
          <w:p>
            <w:pPr>
              <w:spacing w:after="20" w:line="240" w:lineRule="auto"/>
            </w:pPr>
            <w:r/>
            <w:r>
              <w:rPr>
                <w:rFonts w:ascii="Aptos" w:hAnsi="Aptos"/>
                <w:sz w:val="17"/>
              </w:rPr>
              <w:t>Deliver an operational platform-native RAN worker user journey.</w:t>
            </w:r>
          </w:p>
        </w:tc>
        <w:tc>
          <w:tcPr>
            <w:tcW w:type="dxa" w:w="5832"/>
            <w:tcMar>
              <w:top w:w="90" w:type="dxa"/>
              <w:start w:w="90" w:type="dxa"/>
              <w:bottom w:w="90" w:type="dxa"/>
              <w:end w:w="90" w:type="dxa"/>
            </w:tcMar>
            <w:shd w:fill="F7FAFC"/>
          </w:tcPr>
          <w:p>
            <w:pPr>
              <w:spacing w:after="20" w:line="240" w:lineRule="auto"/>
            </w:pPr>
            <w:r/>
            <w:r>
              <w:rPr>
                <w:rFonts w:ascii="Aptos" w:hAnsi="Aptos"/>
                <w:sz w:val="17"/>
              </w:rPr>
              <w:t>RAN page, upload/project selection, status, shared history badge/filter and Job Detail support.</w:t>
            </w:r>
          </w:p>
        </w:tc>
      </w:tr>
      <w:tr>
        <w:tc>
          <w:tcPr>
            <w:tcW w:type="dxa" w:w="1656"/>
            <w:tcMar>
              <w:top w:w="90" w:type="dxa"/>
              <w:start w:w="90" w:type="dxa"/>
              <w:bottom w:w="90" w:type="dxa"/>
              <w:end w:w="90" w:type="dxa"/>
            </w:tcMar>
          </w:tcPr>
          <w:p>
            <w:pPr>
              <w:spacing w:after="20" w:line="240" w:lineRule="auto"/>
            </w:pPr>
            <w:r/>
            <w:r>
              <w:rPr>
                <w:rFonts w:ascii="Aptos" w:hAnsi="Aptos"/>
                <w:sz w:val="17"/>
              </w:rPr>
              <w:t>4 - Verification and delivery</w:t>
            </w:r>
          </w:p>
        </w:tc>
        <w:tc>
          <w:tcPr>
            <w:tcW w:type="dxa" w:w="2880"/>
            <w:tcMar>
              <w:top w:w="90" w:type="dxa"/>
              <w:start w:w="90" w:type="dxa"/>
              <w:bottom w:w="90" w:type="dxa"/>
              <w:end w:w="90" w:type="dxa"/>
            </w:tcMar>
          </w:tcPr>
          <w:p>
            <w:pPr>
              <w:spacing w:after="20" w:line="240" w:lineRule="auto"/>
            </w:pPr>
            <w:r/>
            <w:r>
              <w:rPr>
                <w:rFonts w:ascii="Aptos" w:hAnsi="Aptos"/>
                <w:sz w:val="17"/>
              </w:rPr>
              <w:t>Demonstrate production-readiness for review.</w:t>
            </w:r>
          </w:p>
        </w:tc>
        <w:tc>
          <w:tcPr>
            <w:tcW w:type="dxa" w:w="5832"/>
            <w:tcMar>
              <w:top w:w="90" w:type="dxa"/>
              <w:start w:w="90" w:type="dxa"/>
              <w:bottom w:w="90" w:type="dxa"/>
              <w:end w:w="90" w:type="dxa"/>
            </w:tcMar>
          </w:tcPr>
          <w:p>
            <w:pPr>
              <w:spacing w:after="20" w:line="240" w:lineRule="auto"/>
            </w:pPr>
            <w:r/>
            <w:r>
              <w:rPr>
                <w:rFonts w:ascii="Aptos" w:hAnsi="Aptos"/>
                <w:sz w:val="17"/>
              </w:rPr>
              <w:t>Full verification, final report, clean branch and Draft PR only.</w:t>
            </w:r>
          </w:p>
        </w:tc>
      </w:tr>
    </w:tbl>
    <w:p>
      <w:pPr>
        <w:spacing w:after="60"/>
      </w:pPr>
    </w:p>
    <w:p>
      <w:pPr>
        <w:pStyle w:val="Heading2"/>
        <w:spacing w:before="180" w:after="100"/>
      </w:pPr>
      <w:r>
        <w:rPr>
          <w:rFonts w:ascii="Aptos" w:hAnsi="Aptos"/>
          <w:b/>
          <w:color w:val="17365D"/>
          <w:sz w:val="24"/>
        </w:rPr>
        <w:t>11.1 Codex Permission Boundary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256"/>
            <w:shd w:fill="17365D"/>
            <w:tcMar>
              <w:top w:w="90" w:type="dxa"/>
              <w:start w:w="90" w:type="dxa"/>
              <w:bottom w:w="90" w:type="dxa"/>
              <w:end w:w="90" w:type="dxa"/>
            </w:tcMar>
            <w:vAlign w:val="center"/>
          </w:tcPr>
          <w:p>
            <w:pPr>
              <w:jc w:val="left"/>
            </w:pPr>
            <w:r/>
            <w:r>
              <w:rPr>
                <w:rFonts w:ascii="Aptos" w:hAnsi="Aptos"/>
                <w:b/>
                <w:color w:val="FFFFFF"/>
                <w:sz w:val="18"/>
              </w:rPr>
              <w:t>Allowed autonomously</w:t>
            </w:r>
          </w:p>
        </w:tc>
        <w:tc>
          <w:tcPr>
            <w:tcW w:type="dxa" w:w="5112"/>
            <w:shd w:fill="17365D"/>
            <w:tcMar>
              <w:top w:w="90" w:type="dxa"/>
              <w:start w:w="90" w:type="dxa"/>
              <w:bottom w:w="90" w:type="dxa"/>
              <w:end w:w="90" w:type="dxa"/>
            </w:tcMar>
            <w:vAlign w:val="center"/>
          </w:tcPr>
          <w:p>
            <w:pPr>
              <w:jc w:val="left"/>
            </w:pPr>
            <w:r/>
            <w:r>
              <w:rPr>
                <w:rFonts w:ascii="Aptos" w:hAnsi="Aptos"/>
                <w:b/>
                <w:color w:val="FFFFFF"/>
                <w:sz w:val="18"/>
              </w:rPr>
              <w:t>Prohibited</w:t>
            </w:r>
          </w:p>
        </w:tc>
      </w:tr>
      <w:tr>
        <w:tc>
          <w:tcPr>
            <w:tcW w:type="dxa" w:w="5256"/>
            <w:tcMar>
              <w:top w:w="90" w:type="dxa"/>
              <w:start w:w="90" w:type="dxa"/>
              <w:bottom w:w="90" w:type="dxa"/>
              <w:end w:w="90" w:type="dxa"/>
            </w:tcMar>
          </w:tcPr>
          <w:p>
            <w:pPr>
              <w:spacing w:after="20" w:line="240" w:lineRule="auto"/>
            </w:pPr>
            <w:r/>
            <w:r>
              <w:rPr>
                <w:rFonts w:ascii="Aptos" w:hAnsi="Aptos"/>
                <w:sz w:val="18"/>
              </w:rPr>
              <w:t>Create worktree/feature branch; modify scoped code; run tests; systematic debug; checkpoint commit; create Draft PR.</w:t>
            </w:r>
          </w:p>
        </w:tc>
        <w:tc>
          <w:tcPr>
            <w:tcW w:type="dxa" w:w="5112"/>
            <w:tcMar>
              <w:top w:w="90" w:type="dxa"/>
              <w:start w:w="90" w:type="dxa"/>
              <w:bottom w:w="90" w:type="dxa"/>
              <w:end w:w="90" w:type="dxa"/>
            </w:tcMar>
          </w:tcPr>
          <w:p>
            <w:pPr>
              <w:spacing w:after="20" w:line="240" w:lineRule="auto"/>
            </w:pPr>
            <w:r/>
            <w:r>
              <w:rPr>
                <w:rFonts w:ascii="Aptos" w:hAnsi="Aptos"/>
                <w:sz w:val="18"/>
              </w:rPr>
              <w:t>Push main; merge; deploy; modify RAN source within submodule; make unrelated changes; commit generated artifacts or secrets.</w:t>
            </w:r>
          </w:p>
        </w:tc>
      </w:tr>
    </w:tbl>
    <w:p>
      <w:pPr>
        <w:spacing w:after="60"/>
      </w:pPr>
    </w:p>
    <w:p>
      <w:pPr>
        <w:pStyle w:val="Heading2"/>
        <w:spacing w:before="180" w:after="100"/>
      </w:pPr>
      <w:r>
        <w:rPr>
          <w:rFonts w:ascii="Aptos" w:hAnsi="Aptos"/>
          <w:b/>
          <w:color w:val="17365D"/>
          <w:sz w:val="24"/>
        </w:rPr>
        <w:t>11.2 Blocked-State Rule</w:t>
      </w:r>
    </w:p>
    <w:p>
      <w:pPr>
        <w:spacing w:after="120" w:line="259" w:lineRule="auto"/>
      </w:pPr>
      <w:r>
        <w:rPr>
          <w:rFonts w:ascii="Aptos" w:hAnsi="Aptos"/>
          <w:sz w:val="21"/>
        </w:rPr>
        <w:t>Routine dependency, path and test errors must be debugged autonomously. The mission may stop only for true external or safety blockers: unsafe baseline/rebase conflict outside scope, upstream golden baseline itself cannot run, unexplainable golden mismatch after systematic debugging, a required RAN business-rule change, or a high-risk unrelated platform regression. A blocked mission must still leave state, logs, evidence, checkpoints and a precise next action.</w:t>
      </w:r>
    </w:p>
    <w:p>
      <w:r>
        <w:rPr>
          <w:rFonts w:ascii="Aptos" w:hAnsi="Aptos"/>
          <w:sz w:val="21"/>
        </w:rPr>
        <w:br w:type="page"/>
      </w:r>
    </w:p>
    <w:p>
      <w:pPr>
        <w:pStyle w:val="Heading1"/>
        <w:spacing w:before="280" w:after="100"/>
      </w:pPr>
      <w:r>
        <w:rPr>
          <w:rFonts w:ascii="Aptos" w:hAnsi="Aptos"/>
          <w:b/>
          <w:color w:val="17365D"/>
          <w:sz w:val="30"/>
        </w:rPr>
        <w:t>12. Operational Runbook Summary</w:t>
      </w:r>
    </w:p>
    <w:p>
      <w:pPr>
        <w:pStyle w:val="Heading2"/>
        <w:spacing w:before="180" w:after="100"/>
      </w:pPr>
      <w:r>
        <w:rPr>
          <w:rFonts w:ascii="Aptos" w:hAnsi="Aptos"/>
          <w:b/>
          <w:color w:val="17365D"/>
          <w:sz w:val="24"/>
        </w:rPr>
        <w:t>12.1 Before Starting Integration</w:t>
      </w:r>
    </w:p>
    <w:p>
      <w:pPr>
        <w:pStyle w:val="ListNumber"/>
        <w:spacing w:after="60"/>
      </w:pPr>
      <w:r>
        <w:rPr>
          <w:rFonts w:ascii="Aptos" w:hAnsi="Aptos"/>
          <w:sz w:val="21"/>
        </w:rPr>
        <w:t>Confirm AI Worker Platform main worktree is clean and aligned with origin/main.</w:t>
      </w:r>
    </w:p>
    <w:p>
      <w:pPr>
        <w:pStyle w:val="ListNumber"/>
        <w:spacing w:after="60"/>
      </w:pPr>
      <w:r>
        <w:rPr>
          <w:rFonts w:ascii="Aptos" w:hAnsi="Aptos"/>
          <w:sz w:val="21"/>
        </w:rPr>
        <w:t>Confirm any unrelated active feature work is committed on its correct branch/worktree, not left on main.</w:t>
      </w:r>
    </w:p>
    <w:p>
      <w:pPr>
        <w:pStyle w:val="ListNumber"/>
        <w:spacing w:after="60"/>
      </w:pPr>
      <w:r>
        <w:rPr>
          <w:rFonts w:ascii="Aptos" w:hAnsi="Aptos"/>
          <w:sz w:val="21"/>
        </w:rPr>
        <w:t>Confirm the upstream RAN annotated tag v1.0.0 is pushed and immutable.</w:t>
      </w:r>
    </w:p>
    <w:p>
      <w:pPr>
        <w:pStyle w:val="ListNumber"/>
        <w:spacing w:after="60"/>
      </w:pPr>
      <w:r>
        <w:rPr>
          <w:rFonts w:ascii="Aptos" w:hAnsi="Aptos"/>
          <w:sz w:val="21"/>
        </w:rPr>
        <w:t>Confirm submodule URL, approved tag and exact commit SHA.</w:t>
      </w:r>
    </w:p>
    <w:p>
      <w:pPr>
        <w:pStyle w:val="ListNumber"/>
        <w:spacing w:after="60"/>
      </w:pPr>
      <w:r>
        <w:rPr>
          <w:rFonts w:ascii="Aptos" w:hAnsi="Aptos"/>
          <w:sz w:val="21"/>
        </w:rPr>
        <w:t>Confirm the explicit Python interpreter used by platform worker execution can import the engine-only dependencies.</w:t>
      </w:r>
    </w:p>
    <w:p>
      <w:pPr>
        <w:pStyle w:val="ListNumber"/>
        <w:spacing w:after="60"/>
      </w:pPr>
      <w:r>
        <w:rPr>
          <w:rFonts w:ascii="Aptos" w:hAnsi="Aptos"/>
          <w:sz w:val="21"/>
        </w:rPr>
        <w:t>Confirm golden BOM, EPMS, Standard PR output and General Item output samples are accessible for local regression use but excluded from platform commits.</w:t>
      </w:r>
    </w:p>
    <w:p>
      <w:pPr>
        <w:pStyle w:val="Heading2"/>
        <w:spacing w:before="180" w:after="100"/>
      </w:pPr>
      <w:r>
        <w:rPr>
          <w:rFonts w:ascii="Aptos" w:hAnsi="Aptos"/>
          <w:b/>
          <w:color w:val="17365D"/>
          <w:sz w:val="24"/>
        </w:rPr>
        <w:t>12.2 Future RAN Upgrade Checklist</w:t>
      </w:r>
    </w:p>
    <w:p>
      <w:pPr>
        <w:pStyle w:val="ListNumber"/>
        <w:spacing w:after="60"/>
      </w:pPr>
      <w:r>
        <w:rPr>
          <w:rFonts w:ascii="Aptos" w:hAnsi="Aptos"/>
          <w:sz w:val="21"/>
        </w:rPr>
        <w:t>RAN team validates upstream business-rule change and creates a new immutable annotated tag.</w:t>
      </w:r>
    </w:p>
    <w:p>
      <w:pPr>
        <w:pStyle w:val="ListNumber"/>
        <w:spacing w:after="60"/>
      </w:pPr>
      <w:r>
        <w:rPr>
          <w:rFonts w:ascii="Aptos" w:hAnsi="Aptos"/>
          <w:sz w:val="21"/>
        </w:rPr>
        <w:t>Create platform branch such as chore/upgrade-ran-engine-vX.Y.Z.</w:t>
      </w:r>
    </w:p>
    <w:p>
      <w:pPr>
        <w:pStyle w:val="ListNumber"/>
        <w:spacing w:after="60"/>
      </w:pPr>
      <w:r>
        <w:rPr>
          <w:rFonts w:ascii="Aptos" w:hAnsi="Aptos"/>
          <w:sz w:val="21"/>
        </w:rPr>
        <w:t>Update submodule to the approved tagged commit and update manifest version/commit.</w:t>
      </w:r>
    </w:p>
    <w:p>
      <w:pPr>
        <w:pStyle w:val="ListNumber"/>
        <w:spacing w:after="60"/>
      </w:pPr>
      <w:r>
        <w:rPr>
          <w:rFonts w:ascii="Aptos" w:hAnsi="Aptos"/>
          <w:sz w:val="21"/>
        </w:rPr>
        <w:t>Run RAN Standard PR golden test, RAN General Item golden test, adapter compatibility tests and MW regression.</w:t>
      </w:r>
    </w:p>
    <w:p>
      <w:pPr>
        <w:pStyle w:val="ListNumber"/>
        <w:spacing w:after="60"/>
      </w:pPr>
      <w:r>
        <w:rPr>
          <w:rFonts w:ascii="Aptos" w:hAnsi="Aptos"/>
          <w:sz w:val="21"/>
        </w:rPr>
        <w:t>Review change in expected outputs, mappings/templates/config and known limitations.</w:t>
      </w:r>
    </w:p>
    <w:p>
      <w:pPr>
        <w:pStyle w:val="ListNumber"/>
        <w:spacing w:after="60"/>
      </w:pPr>
      <w:r>
        <w:rPr>
          <w:rFonts w:ascii="Aptos" w:hAnsi="Aptos"/>
          <w:sz w:val="21"/>
        </w:rPr>
        <w:t>Obtain business approval; merge the platform compatibility PR only after all gates pass.</w:t>
      </w:r>
    </w:p>
    <w:p>
      <w:r>
        <w:rPr>
          <w:rFonts w:ascii="Aptos" w:hAnsi="Aptos"/>
          <w:sz w:val="21"/>
        </w:rPr>
        <w:br w:type="page"/>
      </w:r>
    </w:p>
    <w:p>
      <w:pPr>
        <w:pStyle w:val="Heading1"/>
        <w:spacing w:before="280" w:after="100"/>
      </w:pPr>
      <w:r>
        <w:rPr>
          <w:rFonts w:ascii="Aptos" w:hAnsi="Aptos"/>
          <w:b/>
          <w:color w:val="17365D"/>
          <w:sz w:val="30"/>
        </w:rPr>
        <w:t>13. Risks, Controls and Open Items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65D"/>
            <w:tcMar>
              <w:top w:w="90" w:type="dxa"/>
              <w:start w:w="90" w:type="dxa"/>
              <w:bottom w:w="90" w:type="dxa"/>
              <w:end w:w="90" w:type="dxa"/>
            </w:tcMar>
            <w:vAlign w:val="center"/>
          </w:tcPr>
          <w:p>
            <w:pPr>
              <w:jc w:val="left"/>
            </w:pPr>
            <w:r/>
            <w:r>
              <w:rPr>
                <w:rFonts w:ascii="Aptos" w:hAnsi="Aptos"/>
                <w:b/>
                <w:color w:val="FFFFFF"/>
                <w:sz w:val="16"/>
              </w:rPr>
              <w:t>Risk / Open Item</w:t>
            </w:r>
          </w:p>
        </w:tc>
        <w:tc>
          <w:tcPr>
            <w:tcW w:type="dxa" w:w="5112"/>
            <w:shd w:fill="17365D"/>
            <w:tcMar>
              <w:top w:w="90" w:type="dxa"/>
              <w:start w:w="90" w:type="dxa"/>
              <w:bottom w:w="90" w:type="dxa"/>
              <w:end w:w="90" w:type="dxa"/>
            </w:tcMar>
            <w:vAlign w:val="center"/>
          </w:tcPr>
          <w:p>
            <w:pPr>
              <w:jc w:val="left"/>
            </w:pPr>
            <w:r/>
            <w:r>
              <w:rPr>
                <w:rFonts w:ascii="Aptos" w:hAnsi="Aptos"/>
                <w:b/>
                <w:color w:val="FFFFFF"/>
                <w:sz w:val="16"/>
              </w:rPr>
              <w:t>Control / Required action</w:t>
            </w:r>
          </w:p>
        </w:tc>
        <w:tc>
          <w:tcPr>
            <w:tcW w:type="dxa" w:w="2304"/>
            <w:shd w:fill="17365D"/>
            <w:tcMar>
              <w:top w:w="90" w:type="dxa"/>
              <w:start w:w="90" w:type="dxa"/>
              <w:bottom w:w="90" w:type="dxa"/>
              <w:end w:w="90" w:type="dxa"/>
            </w:tcMar>
            <w:vAlign w:val="center"/>
          </w:tcPr>
          <w:p>
            <w:pPr>
              <w:jc w:val="left"/>
            </w:pPr>
            <w:r/>
            <w:r>
              <w:rPr>
                <w:rFonts w:ascii="Aptos" w:hAnsi="Aptos"/>
                <w:b/>
                <w:color w:val="FFFFFF"/>
                <w:sz w:val="16"/>
              </w:rPr>
              <w:t>Status</w:t>
            </w:r>
          </w:p>
        </w:tc>
      </w:tr>
      <w:tr>
        <w:tc>
          <w:tcPr>
            <w:tcW w:type="dxa" w:w="2952"/>
            <w:tcMar>
              <w:top w:w="90" w:type="dxa"/>
              <w:start w:w="90" w:type="dxa"/>
              <w:bottom w:w="90" w:type="dxa"/>
              <w:end w:w="90" w:type="dxa"/>
            </w:tcMar>
          </w:tcPr>
          <w:p>
            <w:pPr>
              <w:spacing w:after="20" w:line="240" w:lineRule="auto"/>
            </w:pPr>
            <w:r/>
            <w:r>
              <w:rPr>
                <w:rFonts w:ascii="Aptos" w:hAnsi="Aptos"/>
                <w:sz w:val="16"/>
              </w:rPr>
              <w:t>Current persistence path may differ from README assumptions.</w:t>
            </w:r>
          </w:p>
        </w:tc>
        <w:tc>
          <w:tcPr>
            <w:tcW w:type="dxa" w:w="5112"/>
            <w:tcMar>
              <w:top w:w="90" w:type="dxa"/>
              <w:start w:w="90" w:type="dxa"/>
              <w:bottom w:w="90" w:type="dxa"/>
              <w:end w:w="90" w:type="dxa"/>
            </w:tcMar>
          </w:tcPr>
          <w:p>
            <w:pPr>
              <w:spacing w:after="20" w:line="240" w:lineRule="auto"/>
            </w:pPr>
            <w:r/>
            <w:r>
              <w:rPr>
                <w:rFonts w:ascii="Aptos" w:hAnsi="Aptos"/>
                <w:sz w:val="16"/>
              </w:rPr>
              <w:t>Phase 0 must inspect real MW job repository and persistence call chain; RAN follows actual shared mechanism.</w:t>
            </w:r>
          </w:p>
        </w:tc>
        <w:tc>
          <w:tcPr>
            <w:tcW w:type="dxa" w:w="2304"/>
            <w:tcMar>
              <w:top w:w="90" w:type="dxa"/>
              <w:start w:w="90" w:type="dxa"/>
              <w:bottom w:w="90" w:type="dxa"/>
              <w:end w:w="90" w:type="dxa"/>
            </w:tcMar>
          </w:tcPr>
          <w:p>
            <w:pPr>
              <w:spacing w:after="20" w:line="240" w:lineRule="auto"/>
            </w:pPr>
            <w:r/>
            <w:r>
              <w:rPr>
                <w:rFonts w:ascii="Aptos" w:hAnsi="Aptos"/>
                <w:sz w:val="16"/>
              </w:rPr>
              <w:t>Open verification</w:t>
            </w:r>
          </w:p>
        </w:tc>
      </w:tr>
      <w:tr>
        <w:tc>
          <w:tcPr>
            <w:tcW w:type="dxa" w:w="2952"/>
            <w:tcMar>
              <w:top w:w="90" w:type="dxa"/>
              <w:start w:w="90" w:type="dxa"/>
              <w:bottom w:w="90" w:type="dxa"/>
              <w:end w:w="90" w:type="dxa"/>
            </w:tcMar>
            <w:shd w:fill="F7FAFC"/>
          </w:tcPr>
          <w:p>
            <w:pPr>
              <w:spacing w:after="20" w:line="240" w:lineRule="auto"/>
            </w:pPr>
            <w:r/>
            <w:r>
              <w:rPr>
                <w:rFonts w:ascii="Aptos" w:hAnsi="Aptos"/>
                <w:sz w:val="16"/>
              </w:rPr>
              <w:t>Upstream prototype includes build/dist/launcher assets and fixed input/output folders.</w:t>
            </w:r>
          </w:p>
        </w:tc>
        <w:tc>
          <w:tcPr>
            <w:tcW w:type="dxa" w:w="5112"/>
            <w:tcMar>
              <w:top w:w="90" w:type="dxa"/>
              <w:start w:w="90" w:type="dxa"/>
              <w:bottom w:w="90" w:type="dxa"/>
              <w:end w:w="90" w:type="dxa"/>
            </w:tcMar>
            <w:shd w:fill="F7FAFC"/>
          </w:tcPr>
          <w:p>
            <w:pPr>
              <w:spacing w:after="20" w:line="240" w:lineRule="auto"/>
            </w:pPr>
            <w:r/>
            <w:r>
              <w:rPr>
                <w:rFonts w:ascii="Aptos" w:hAnsi="Aptos"/>
                <w:sz w:val="16"/>
              </w:rPr>
              <w:t>Adapter allowlist copies only necessary engine/config/template assets into per-job workspaces.</w:t>
            </w:r>
          </w:p>
        </w:tc>
        <w:tc>
          <w:tcPr>
            <w:tcW w:type="dxa" w:w="2304"/>
            <w:tcMar>
              <w:top w:w="90" w:type="dxa"/>
              <w:start w:w="90" w:type="dxa"/>
              <w:bottom w:w="90" w:type="dxa"/>
              <w:end w:w="90" w:type="dxa"/>
            </w:tcMar>
            <w:shd w:fill="F7FAFC"/>
          </w:tcPr>
          <w:p>
            <w:pPr>
              <w:spacing w:after="20" w:line="240" w:lineRule="auto"/>
            </w:pPr>
            <w:r/>
            <w:r>
              <w:rPr>
                <w:rFonts w:ascii="Aptos" w:hAnsi="Aptos"/>
                <w:sz w:val="16"/>
              </w:rPr>
              <w:t>Target control</w:t>
            </w:r>
          </w:p>
        </w:tc>
      </w:tr>
      <w:tr>
        <w:tc>
          <w:tcPr>
            <w:tcW w:type="dxa" w:w="2952"/>
            <w:tcMar>
              <w:top w:w="90" w:type="dxa"/>
              <w:start w:w="90" w:type="dxa"/>
              <w:bottom w:w="90" w:type="dxa"/>
              <w:end w:w="90" w:type="dxa"/>
            </w:tcMar>
          </w:tcPr>
          <w:p>
            <w:pPr>
              <w:spacing w:after="20" w:line="240" w:lineRule="auto"/>
            </w:pPr>
            <w:r/>
            <w:r>
              <w:rPr>
                <w:rFonts w:ascii="Aptos" w:hAnsi="Aptos"/>
                <w:sz w:val="16"/>
              </w:rPr>
              <w:t>RAN upstream tag v1.0.0 has been created locally but remote write permission was unavailable.</w:t>
            </w:r>
          </w:p>
        </w:tc>
        <w:tc>
          <w:tcPr>
            <w:tcW w:type="dxa" w:w="5112"/>
            <w:tcMar>
              <w:top w:w="90" w:type="dxa"/>
              <w:start w:w="90" w:type="dxa"/>
              <w:bottom w:w="90" w:type="dxa"/>
              <w:end w:w="90" w:type="dxa"/>
            </w:tcMar>
          </w:tcPr>
          <w:p>
            <w:pPr>
              <w:spacing w:after="20" w:line="240" w:lineRule="auto"/>
            </w:pPr>
            <w:r/>
            <w:r>
              <w:rPr>
                <w:rFonts w:ascii="Aptos" w:hAnsi="Aptos"/>
                <w:sz w:val="16"/>
              </w:rPr>
              <w:t>Obtain Write permission for approved accounts and push existing immutable tag; do not recreate/move tag.</w:t>
            </w:r>
          </w:p>
        </w:tc>
        <w:tc>
          <w:tcPr>
            <w:tcW w:type="dxa" w:w="2304"/>
            <w:tcMar>
              <w:top w:w="90" w:type="dxa"/>
              <w:start w:w="90" w:type="dxa"/>
              <w:bottom w:w="90" w:type="dxa"/>
              <w:end w:w="90" w:type="dxa"/>
            </w:tcMar>
          </w:tcPr>
          <w:p>
            <w:pPr>
              <w:spacing w:after="20" w:line="240" w:lineRule="auto"/>
            </w:pPr>
            <w:r/>
            <w:r>
              <w:rPr>
                <w:rFonts w:ascii="Aptos" w:hAnsi="Aptos"/>
                <w:sz w:val="16"/>
              </w:rPr>
              <w:t>Pending operational action</w:t>
            </w:r>
          </w:p>
        </w:tc>
      </w:tr>
      <w:tr>
        <w:tc>
          <w:tcPr>
            <w:tcW w:type="dxa" w:w="2952"/>
            <w:tcMar>
              <w:top w:w="90" w:type="dxa"/>
              <w:start w:w="90" w:type="dxa"/>
              <w:bottom w:w="90" w:type="dxa"/>
              <w:end w:w="90" w:type="dxa"/>
            </w:tcMar>
            <w:shd w:fill="F7FAFC"/>
          </w:tcPr>
          <w:p>
            <w:pPr>
              <w:spacing w:after="20" w:line="240" w:lineRule="auto"/>
            </w:pPr>
            <w:r/>
            <w:r>
              <w:rPr>
                <w:rFonts w:ascii="Aptos" w:hAnsi="Aptos"/>
                <w:sz w:val="16"/>
              </w:rPr>
              <w:t>A v1.0.0 tag was accidentally created earlier in AI Worker Platform.</w:t>
            </w:r>
          </w:p>
        </w:tc>
        <w:tc>
          <w:tcPr>
            <w:tcW w:type="dxa" w:w="5112"/>
            <w:tcMar>
              <w:top w:w="90" w:type="dxa"/>
              <w:start w:w="90" w:type="dxa"/>
              <w:bottom w:w="90" w:type="dxa"/>
              <w:end w:w="90" w:type="dxa"/>
            </w:tcMar>
            <w:shd w:fill="F7FAFC"/>
          </w:tcPr>
          <w:p>
            <w:pPr>
              <w:spacing w:after="20" w:line="240" w:lineRule="auto"/>
            </w:pPr>
            <w:r/>
            <w:r>
              <w:rPr>
                <w:rFonts w:ascii="Aptos" w:hAnsi="Aptos"/>
                <w:sz w:val="16"/>
              </w:rPr>
              <w:t>Check and remove it from platform remote if still present; reserve RAN v1.0.0 for the engine repository.</w:t>
            </w:r>
          </w:p>
        </w:tc>
        <w:tc>
          <w:tcPr>
            <w:tcW w:type="dxa" w:w="2304"/>
            <w:tcMar>
              <w:top w:w="90" w:type="dxa"/>
              <w:start w:w="90" w:type="dxa"/>
              <w:bottom w:w="90" w:type="dxa"/>
              <w:end w:w="90" w:type="dxa"/>
            </w:tcMar>
            <w:shd w:fill="F7FAFC"/>
          </w:tcPr>
          <w:p>
            <w:pPr>
              <w:spacing w:after="20" w:line="240" w:lineRule="auto"/>
            </w:pPr>
            <w:r/>
            <w:r>
              <w:rPr>
                <w:rFonts w:ascii="Aptos" w:hAnsi="Aptos"/>
                <w:sz w:val="16"/>
              </w:rPr>
              <w:t>Pending operational cleanup</w:t>
            </w:r>
          </w:p>
        </w:tc>
      </w:tr>
      <w:tr>
        <w:tc>
          <w:tcPr>
            <w:tcW w:type="dxa" w:w="2952"/>
            <w:tcMar>
              <w:top w:w="90" w:type="dxa"/>
              <w:start w:w="90" w:type="dxa"/>
              <w:bottom w:w="90" w:type="dxa"/>
              <w:end w:w="90" w:type="dxa"/>
            </w:tcMar>
          </w:tcPr>
          <w:p>
            <w:pPr>
              <w:spacing w:after="20" w:line="240" w:lineRule="auto"/>
            </w:pPr>
            <w:r/>
            <w:r>
              <w:rPr>
                <w:rFonts w:ascii="Aptos" w:hAnsi="Aptos"/>
                <w:sz w:val="16"/>
              </w:rPr>
              <w:t>BOM Comparison is business-relevant but not ready for v1.</w:t>
            </w:r>
          </w:p>
        </w:tc>
        <w:tc>
          <w:tcPr>
            <w:tcW w:type="dxa" w:w="5112"/>
            <w:tcMar>
              <w:top w:w="90" w:type="dxa"/>
              <w:start w:w="90" w:type="dxa"/>
              <w:bottom w:w="90" w:type="dxa"/>
              <w:end w:w="90" w:type="dxa"/>
            </w:tcMar>
          </w:tcPr>
          <w:p>
            <w:pPr>
              <w:spacing w:after="20" w:line="240" w:lineRule="auto"/>
            </w:pPr>
            <w:r/>
            <w:r>
              <w:rPr>
                <w:rFonts w:ascii="Aptos" w:hAnsi="Aptos"/>
                <w:sz w:val="16"/>
              </w:rPr>
              <w:t>Record as deferred; do not expose it as supported. Plan separate RAN Worker capability/mode with its own inputs, outputs and acceptance tests.</w:t>
            </w:r>
          </w:p>
        </w:tc>
        <w:tc>
          <w:tcPr>
            <w:tcW w:type="dxa" w:w="2304"/>
            <w:tcMar>
              <w:top w:w="90" w:type="dxa"/>
              <w:start w:w="90" w:type="dxa"/>
              <w:bottom w:w="90" w:type="dxa"/>
              <w:end w:w="90" w:type="dxa"/>
            </w:tcMar>
          </w:tcPr>
          <w:p>
            <w:pPr>
              <w:spacing w:after="20" w:line="240" w:lineRule="auto"/>
            </w:pPr>
            <w:r/>
            <w:r>
              <w:rPr>
                <w:rFonts w:ascii="Aptos" w:hAnsi="Aptos"/>
                <w:sz w:val="16"/>
              </w:rPr>
              <w:t>Deferred</w:t>
            </w:r>
          </w:p>
        </w:tc>
      </w:tr>
      <w:tr>
        <w:tc>
          <w:tcPr>
            <w:tcW w:type="dxa" w:w="2952"/>
            <w:tcMar>
              <w:top w:w="90" w:type="dxa"/>
              <w:start w:w="90" w:type="dxa"/>
              <w:bottom w:w="90" w:type="dxa"/>
              <w:end w:w="90" w:type="dxa"/>
            </w:tcMar>
            <w:shd w:fill="F7FAFC"/>
          </w:tcPr>
          <w:p>
            <w:pPr>
              <w:spacing w:after="20" w:line="240" w:lineRule="auto"/>
            </w:pPr>
            <w:r/>
            <w:r>
              <w:rPr>
                <w:rFonts w:ascii="Aptos" w:hAnsi="Aptos"/>
                <w:sz w:val="16"/>
              </w:rPr>
              <w:t>RAN engine dependencies may differ from prototype requirements.</w:t>
            </w:r>
          </w:p>
        </w:tc>
        <w:tc>
          <w:tcPr>
            <w:tcW w:type="dxa" w:w="5112"/>
            <w:tcMar>
              <w:top w:w="90" w:type="dxa"/>
              <w:start w:w="90" w:type="dxa"/>
              <w:bottom w:w="90" w:type="dxa"/>
              <w:end w:w="90" w:type="dxa"/>
            </w:tcMar>
            <w:shd w:fill="F7FAFC"/>
          </w:tcPr>
          <w:p>
            <w:pPr>
              <w:spacing w:after="20" w:line="240" w:lineRule="auto"/>
            </w:pPr>
            <w:r/>
            <w:r>
              <w:rPr>
                <w:rFonts w:ascii="Aptos" w:hAnsi="Aptos"/>
                <w:sz w:val="16"/>
              </w:rPr>
              <w:t>Determine imports from executed pipeline; add only engine-required dependencies to platform contract.</w:t>
            </w:r>
          </w:p>
        </w:tc>
        <w:tc>
          <w:tcPr>
            <w:tcW w:type="dxa" w:w="2304"/>
            <w:tcMar>
              <w:top w:w="90" w:type="dxa"/>
              <w:start w:w="90" w:type="dxa"/>
              <w:bottom w:w="90" w:type="dxa"/>
              <w:end w:w="90" w:type="dxa"/>
            </w:tcMar>
            <w:shd w:fill="F7FAFC"/>
          </w:tcPr>
          <w:p>
            <w:pPr>
              <w:spacing w:after="20" w:line="240" w:lineRule="auto"/>
            </w:pPr>
            <w:r/>
            <w:r>
              <w:rPr>
                <w:rFonts w:ascii="Aptos" w:hAnsi="Aptos"/>
                <w:sz w:val="16"/>
              </w:rPr>
              <w:t>Phase 0 verification</w:t>
            </w:r>
          </w:p>
        </w:tc>
      </w:tr>
      <w:tr>
        <w:tc>
          <w:tcPr>
            <w:tcW w:type="dxa" w:w="2952"/>
            <w:tcMar>
              <w:top w:w="90" w:type="dxa"/>
              <w:start w:w="90" w:type="dxa"/>
              <w:bottom w:w="90" w:type="dxa"/>
              <w:end w:w="90" w:type="dxa"/>
            </w:tcMar>
          </w:tcPr>
          <w:p>
            <w:pPr>
              <w:spacing w:after="20" w:line="240" w:lineRule="auto"/>
            </w:pPr>
            <w:r/>
            <w:r>
              <w:rPr>
                <w:rFonts w:ascii="Aptos" w:hAnsi="Aptos"/>
                <w:sz w:val="16"/>
              </w:rPr>
              <w:t>RAN output formats may evolve.</w:t>
            </w:r>
          </w:p>
        </w:tc>
        <w:tc>
          <w:tcPr>
            <w:tcW w:type="dxa" w:w="5112"/>
            <w:tcMar>
              <w:top w:w="90" w:type="dxa"/>
              <w:start w:w="90" w:type="dxa"/>
              <w:bottom w:w="90" w:type="dxa"/>
              <w:end w:w="90" w:type="dxa"/>
            </w:tcMar>
          </w:tcPr>
          <w:p>
            <w:pPr>
              <w:spacing w:after="20" w:line="240" w:lineRule="auto"/>
            </w:pPr>
            <w:r/>
            <w:r>
              <w:rPr>
                <w:rFonts w:ascii="Aptos" w:hAnsi="Aptos"/>
                <w:sz w:val="16"/>
              </w:rPr>
              <w:t>Use version tags, job engine metadata and logical workbook golden tests to control compatibility.</w:t>
            </w:r>
          </w:p>
        </w:tc>
        <w:tc>
          <w:tcPr>
            <w:tcW w:type="dxa" w:w="2304"/>
            <w:tcMar>
              <w:top w:w="90" w:type="dxa"/>
              <w:start w:w="90" w:type="dxa"/>
              <w:bottom w:w="90" w:type="dxa"/>
              <w:end w:w="90" w:type="dxa"/>
            </w:tcMar>
          </w:tcPr>
          <w:p>
            <w:pPr>
              <w:spacing w:after="20" w:line="240" w:lineRule="auto"/>
            </w:pPr>
            <w:r/>
            <w:r>
              <w:rPr>
                <w:rFonts w:ascii="Aptos" w:hAnsi="Aptos"/>
                <w:sz w:val="16"/>
              </w:rPr>
              <w:t>Target control</w:t>
            </w:r>
          </w:p>
        </w:tc>
      </w:tr>
    </w:tbl>
    <w:p>
      <w:pPr>
        <w:spacing w:after="60"/>
      </w:pPr>
    </w:p>
    <w:p>
      <w:r>
        <w:rPr>
          <w:rFonts w:ascii="Aptos" w:hAnsi="Aptos"/>
          <w:sz w:val="21"/>
        </w:rPr>
        <w:br w:type="page"/>
      </w:r>
    </w:p>
    <w:p>
      <w:pPr>
        <w:pStyle w:val="Heading1"/>
        <w:spacing w:before="280" w:after="100"/>
      </w:pPr>
      <w:r>
        <w:rPr>
          <w:rFonts w:ascii="Aptos" w:hAnsi="Aptos"/>
          <w:b/>
          <w:color w:val="17365D"/>
          <w:sz w:val="30"/>
        </w:rPr>
        <w:t>Appendix A. Example RAN Worker Manifest</w:t>
      </w:r>
    </w:p>
    <w:tbl>
      <w:tblPr>
        <w:tblW w:type="auto" w:w="0"/>
        <w:jc w:val="center"/>
        <w:tblLook w:firstColumn="1" w:firstRow="1" w:lastColumn="0" w:lastRow="0" w:noHBand="0" w:noVBand="1" w:val="04A0"/>
      </w:tblPr>
      <w:tblGrid>
        <w:gridCol w:w="10166"/>
      </w:tblGrid>
      <w:tr>
        <w:tc>
          <w:tcPr>
            <w:tcW w:type="dxa" w:w="10166"/>
            <w:shd w:fill="F1F4F6"/>
            <w:tcMar>
              <w:top w:w="100" w:type="dxa"/>
              <w:start w:w="130" w:type="dxa"/>
              <w:bottom w:w="100" w:type="dxa"/>
              <w:end w:w="130" w:type="dxa"/>
            </w:tcMar>
          </w:tcPr>
          <w:p>
            <w:pPr>
              <w:spacing w:after="0"/>
            </w:pPr>
            <w:r>
              <w:rPr>
                <w:rFonts w:ascii="Consolas" w:hAnsi="Consolas"/>
                <w:color w:val="303F4B"/>
                <w:sz w:val="17"/>
              </w:rPr>
              <w:t>{</w:t>
            </w:r>
            <w:r>
              <w:br/>
            </w:r>
            <w:r>
              <w:rPr>
                <w:rFonts w:ascii="Consolas" w:hAnsi="Consolas"/>
                <w:color w:val="303F4B"/>
                <w:sz w:val="17"/>
              </w:rPr>
              <w:t xml:space="preserve">  "workerId": "ran-pr",</w:t>
            </w:r>
            <w:r>
              <w:br/>
            </w:r>
            <w:r>
              <w:rPr>
                <w:rFonts w:ascii="Consolas" w:hAnsi="Consolas"/>
                <w:color w:val="303F4B"/>
                <w:sz w:val="17"/>
              </w:rPr>
              <w:t xml:space="preserve">  "displayName": "RAN PR Worker",</w:t>
            </w:r>
            <w:r>
              <w:br/>
            </w:r>
            <w:r>
              <w:rPr>
                <w:rFonts w:ascii="Consolas" w:hAnsi="Consolas"/>
                <w:color w:val="303F4B"/>
                <w:sz w:val="17"/>
              </w:rPr>
              <w:t xml:space="preserve">  "engineRepository": "ammarofficial11/create-pr-cd-ran",</w:t>
            </w:r>
            <w:r>
              <w:br/>
            </w:r>
            <w:r>
              <w:rPr>
                <w:rFonts w:ascii="Consolas" w:hAnsi="Consolas"/>
                <w:color w:val="303F4B"/>
                <w:sz w:val="17"/>
              </w:rPr>
              <w:t xml:space="preserve">  "engineVersion": "v1.0.0",</w:t>
            </w:r>
            <w:r>
              <w:br/>
            </w:r>
            <w:r>
              <w:rPr>
                <w:rFonts w:ascii="Consolas" w:hAnsi="Consolas"/>
                <w:color w:val="303F4B"/>
                <w:sz w:val="17"/>
              </w:rPr>
              <w:t xml:space="preserve">  "engineCommit": "239910e2816153339a94881597bbb95355059741",</w:t>
            </w:r>
            <w:r>
              <w:br/>
            </w:r>
            <w:r>
              <w:rPr>
                <w:rFonts w:ascii="Consolas" w:hAnsi="Consolas"/>
                <w:color w:val="303F4B"/>
                <w:sz w:val="17"/>
              </w:rPr>
              <w:t xml:space="preserve">  "capabilities": [</w:t>
            </w:r>
            <w:r>
              <w:br/>
            </w:r>
            <w:r>
              <w:rPr>
                <w:rFonts w:ascii="Consolas" w:hAnsi="Consolas"/>
                <w:color w:val="303F4B"/>
                <w:sz w:val="17"/>
              </w:rPr>
              <w:t xml:space="preserve">    "standard-pr",</w:t>
            </w:r>
            <w:r>
              <w:br/>
            </w:r>
            <w:r>
              <w:rPr>
                <w:rFonts w:ascii="Consolas" w:hAnsi="Consolas"/>
                <w:color w:val="303F4B"/>
                <w:sz w:val="17"/>
              </w:rPr>
              <w:t xml:space="preserve">    "general-item"</w:t>
            </w:r>
            <w:r>
              <w:br/>
            </w:r>
            <w:r>
              <w:rPr>
                <w:rFonts w:ascii="Consolas" w:hAnsi="Consolas"/>
                <w:color w:val="303F4B"/>
                <w:sz w:val="17"/>
              </w:rPr>
              <w:t xml:space="preserve">  ],</w:t>
            </w:r>
            <w:r>
              <w:br/>
            </w:r>
            <w:r>
              <w:rPr>
                <w:rFonts w:ascii="Consolas" w:hAnsi="Consolas"/>
                <w:color w:val="303F4B"/>
                <w:sz w:val="17"/>
              </w:rPr>
              <w:t xml:space="preserve">  "notImplemented": [</w:t>
            </w:r>
            <w:r>
              <w:br/>
            </w:r>
            <w:r>
              <w:rPr>
                <w:rFonts w:ascii="Consolas" w:hAnsi="Consolas"/>
                <w:color w:val="303F4B"/>
                <w:sz w:val="17"/>
              </w:rPr>
              <w:t xml:space="preserve">    "bom-comparison"</w:t>
            </w:r>
            <w:r>
              <w:br/>
            </w:r>
            <w:r>
              <w:rPr>
                <w:rFonts w:ascii="Consolas" w:hAnsi="Consolas"/>
                <w:color w:val="303F4B"/>
                <w:sz w:val="17"/>
              </w:rPr>
              <w:t xml:space="preserve">  ],</w:t>
            </w:r>
            <w:r>
              <w:br/>
            </w:r>
            <w:r>
              <w:rPr>
                <w:rFonts w:ascii="Consolas" w:hAnsi="Consolas"/>
                <w:color w:val="303F4B"/>
                <w:sz w:val="17"/>
              </w:rPr>
              <w:t xml:space="preserve">  "inputs": [</w:t>
            </w:r>
            <w:r>
              <w:br/>
            </w:r>
            <w:r>
              <w:rPr>
                <w:rFonts w:ascii="Consolas" w:hAnsi="Consolas"/>
                <w:color w:val="303F4B"/>
                <w:sz w:val="17"/>
              </w:rPr>
              <w:t xml:space="preserve">    "bom-workbook",</w:t>
            </w:r>
            <w:r>
              <w:br/>
            </w:r>
            <w:r>
              <w:rPr>
                <w:rFonts w:ascii="Consolas" w:hAnsi="Consolas"/>
                <w:color w:val="303F4B"/>
                <w:sz w:val="17"/>
              </w:rPr>
              <w:t xml:space="preserve">    "epms-workbook",</w:t>
            </w:r>
            <w:r>
              <w:br/>
            </w:r>
            <w:r>
              <w:rPr>
                <w:rFonts w:ascii="Consolas" w:hAnsi="Consolas"/>
                <w:color w:val="303F4B"/>
                <w:sz w:val="17"/>
              </w:rPr>
              <w:t xml:space="preserve">    "mode",</w:t>
            </w:r>
            <w:r>
              <w:br/>
            </w:r>
            <w:r>
              <w:rPr>
                <w:rFonts w:ascii="Consolas" w:hAnsi="Consolas"/>
                <w:color w:val="303F4B"/>
                <w:sz w:val="17"/>
              </w:rPr>
              <w:t xml:space="preserve">    "selected-project-when-general-item"</w:t>
            </w:r>
            <w:r>
              <w:br/>
            </w:r>
            <w:r>
              <w:rPr>
                <w:rFonts w:ascii="Consolas" w:hAnsi="Consolas"/>
                <w:color w:val="303F4B"/>
                <w:sz w:val="17"/>
              </w:rPr>
              <w:t xml:space="preserve">  ],</w:t>
            </w:r>
            <w:r>
              <w:br/>
            </w:r>
            <w:r>
              <w:rPr>
                <w:rFonts w:ascii="Consolas" w:hAnsi="Consolas"/>
                <w:color w:val="303F4B"/>
                <w:sz w:val="17"/>
              </w:rPr>
              <w:t xml:space="preserve">  "outputs": [</w:t>
            </w:r>
            <w:r>
              <w:br/>
            </w:r>
            <w:r>
              <w:rPr>
                <w:rFonts w:ascii="Consolas" w:hAnsi="Consolas"/>
                <w:color w:val="303F4B"/>
                <w:sz w:val="17"/>
              </w:rPr>
              <w:t xml:space="preserve">    "ecc-pr-workbook",</w:t>
            </w:r>
            <w:r>
              <w:br/>
            </w:r>
            <w:r>
              <w:rPr>
                <w:rFonts w:ascii="Consolas" w:hAnsi="Consolas"/>
                <w:color w:val="303F4B"/>
                <w:sz w:val="17"/>
              </w:rPr>
              <w:t xml:space="preserve">    "ecc-pr-general-item-workbook-when-applicable",</w:t>
            </w:r>
            <w:r>
              <w:br/>
            </w:r>
            <w:r>
              <w:rPr>
                <w:rFonts w:ascii="Consolas" w:hAnsi="Consolas"/>
                <w:color w:val="303F4B"/>
                <w:sz w:val="17"/>
              </w:rPr>
              <w:t xml:space="preserve">    "platform-zip"</w:t>
            </w:r>
            <w:r>
              <w:br/>
            </w:r>
            <w:r>
              <w:rPr>
                <w:rFonts w:ascii="Consolas" w:hAnsi="Consolas"/>
                <w:color w:val="303F4B"/>
                <w:sz w:val="17"/>
              </w:rPr>
              <w:t xml:space="preserve">  ],</w:t>
            </w:r>
            <w:r>
              <w:br/>
            </w:r>
            <w:r>
              <w:rPr>
                <w:rFonts w:ascii="Consolas" w:hAnsi="Consolas"/>
                <w:color w:val="303F4B"/>
                <w:sz w:val="17"/>
              </w:rPr>
              <w:t xml:space="preserve">  "compatibilityStatus": "verified-after-golden-tests"</w:t>
            </w:r>
            <w:r>
              <w:br/>
            </w:r>
            <w:r>
              <w:rPr>
                <w:rFonts w:ascii="Consolas" w:hAnsi="Consolas"/>
                <w:color w:val="303F4B"/>
                <w:sz w:val="17"/>
              </w:rPr>
              <w:t>}</w:t>
            </w:r>
          </w:p>
        </w:tc>
      </w:tr>
    </w:tbl>
    <w:p>
      <w:pPr>
        <w:spacing w:after="40"/>
      </w:pPr>
    </w:p>
    <w:p>
      <w:pPr>
        <w:pStyle w:val="Heading1"/>
        <w:spacing w:before="280" w:after="100"/>
      </w:pPr>
      <w:r>
        <w:rPr>
          <w:rFonts w:ascii="Aptos" w:hAnsi="Aptos"/>
          <w:b/>
          <w:color w:val="17365D"/>
          <w:sz w:val="30"/>
        </w:rPr>
        <w:t>Appendix B. Prototype-to-Platform Mapping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65D"/>
            <w:tcMar>
              <w:top w:w="90" w:type="dxa"/>
              <w:start w:w="90" w:type="dxa"/>
              <w:bottom w:w="90" w:type="dxa"/>
              <w:end w:w="90" w:type="dxa"/>
            </w:tcMar>
            <w:vAlign w:val="center"/>
          </w:tcPr>
          <w:p>
            <w:pPr>
              <w:jc w:val="left"/>
            </w:pPr>
            <w:r/>
            <w:r>
              <w:rPr>
                <w:rFonts w:ascii="Aptos" w:hAnsi="Aptos"/>
                <w:b/>
                <w:color w:val="FFFFFF"/>
                <w:sz w:val="18"/>
              </w:rPr>
              <w:t>RAN prototype concern</w:t>
            </w:r>
          </w:p>
        </w:tc>
        <w:tc>
          <w:tcPr>
            <w:tcW w:type="dxa" w:w="7128"/>
            <w:shd w:fill="17365D"/>
            <w:tcMar>
              <w:top w:w="90" w:type="dxa"/>
              <w:start w:w="90" w:type="dxa"/>
              <w:bottom w:w="90" w:type="dxa"/>
              <w:end w:w="90" w:type="dxa"/>
            </w:tcMar>
            <w:vAlign w:val="center"/>
          </w:tcPr>
          <w:p>
            <w:pPr>
              <w:jc w:val="left"/>
            </w:pPr>
            <w:r/>
            <w:r>
              <w:rPr>
                <w:rFonts w:ascii="Aptos" w:hAnsi="Aptos"/>
                <w:b/>
                <w:color w:val="FFFFFF"/>
                <w:sz w:val="18"/>
              </w:rPr>
              <w:t>Production platform replacement</w:t>
            </w:r>
          </w:p>
        </w:tc>
      </w:tr>
      <w:tr>
        <w:tc>
          <w:tcPr>
            <w:tcW w:type="dxa" w:w="3240"/>
            <w:tcMar>
              <w:top w:w="90" w:type="dxa"/>
              <w:start w:w="90" w:type="dxa"/>
              <w:bottom w:w="90" w:type="dxa"/>
              <w:end w:w="90" w:type="dxa"/>
            </w:tcMar>
          </w:tcPr>
          <w:p>
            <w:pPr>
              <w:spacing w:after="20" w:line="240" w:lineRule="auto"/>
            </w:pPr>
            <w:r/>
            <w:r>
              <w:rPr>
                <w:rFonts w:ascii="Aptos" w:hAnsi="Aptos"/>
                <w:sz w:val="18"/>
              </w:rPr>
              <w:t>BOM/EPMS upload controls</w:t>
            </w:r>
          </w:p>
        </w:tc>
        <w:tc>
          <w:tcPr>
            <w:tcW w:type="dxa" w:w="7128"/>
            <w:tcMar>
              <w:top w:w="90" w:type="dxa"/>
              <w:start w:w="90" w:type="dxa"/>
              <w:bottom w:w="90" w:type="dxa"/>
              <w:end w:w="90" w:type="dxa"/>
            </w:tcMar>
          </w:tcPr>
          <w:p>
            <w:pPr>
              <w:spacing w:after="20" w:line="240" w:lineRule="auto"/>
            </w:pPr>
            <w:r/>
            <w:r>
              <w:rPr>
                <w:rFonts w:ascii="Aptos" w:hAnsi="Aptos"/>
                <w:sz w:val="18"/>
              </w:rPr>
              <w:t>Vue RAN PR Worker page + shared platform upload API/validation.</w:t>
            </w:r>
          </w:p>
        </w:tc>
      </w:tr>
      <w:tr>
        <w:tc>
          <w:tcPr>
            <w:tcW w:type="dxa" w:w="3240"/>
            <w:tcMar>
              <w:top w:w="90" w:type="dxa"/>
              <w:start w:w="90" w:type="dxa"/>
              <w:bottom w:w="90" w:type="dxa"/>
              <w:end w:w="90" w:type="dxa"/>
            </w:tcMar>
            <w:shd w:fill="F7FAFC"/>
          </w:tcPr>
          <w:p>
            <w:pPr>
              <w:spacing w:after="20" w:line="240" w:lineRule="auto"/>
            </w:pPr>
            <w:r/>
            <w:r>
              <w:rPr>
                <w:rFonts w:ascii="Aptos" w:hAnsi="Aptos"/>
                <w:sz w:val="18"/>
              </w:rPr>
              <w:t>Project selector</w:t>
            </w:r>
          </w:p>
        </w:tc>
        <w:tc>
          <w:tcPr>
            <w:tcW w:type="dxa" w:w="7128"/>
            <w:tcMar>
              <w:top w:w="90" w:type="dxa"/>
              <w:start w:w="90" w:type="dxa"/>
              <w:bottom w:w="90" w:type="dxa"/>
              <w:end w:w="90" w:type="dxa"/>
            </w:tcMar>
            <w:shd w:fill="F7FAFC"/>
          </w:tcPr>
          <w:p>
            <w:pPr>
              <w:spacing w:after="20" w:line="240" w:lineRule="auto"/>
            </w:pPr>
            <w:r/>
            <w:r>
              <w:rPr>
                <w:rFonts w:ascii="Aptos" w:hAnsi="Aptos"/>
                <w:sz w:val="18"/>
              </w:rPr>
              <w:t>Platform UI populated from adapter-discovered, server-validated configuration projects.</w:t>
            </w:r>
          </w:p>
        </w:tc>
      </w:tr>
      <w:tr>
        <w:tc>
          <w:tcPr>
            <w:tcW w:type="dxa" w:w="3240"/>
            <w:tcMar>
              <w:top w:w="90" w:type="dxa"/>
              <w:start w:w="90" w:type="dxa"/>
              <w:bottom w:w="90" w:type="dxa"/>
              <w:end w:w="90" w:type="dxa"/>
            </w:tcMar>
          </w:tcPr>
          <w:p>
            <w:pPr>
              <w:spacing w:after="20" w:line="240" w:lineRule="auto"/>
            </w:pPr>
            <w:r/>
            <w:r>
              <w:rPr>
                <w:rFonts w:ascii="Aptos" w:hAnsi="Aptos"/>
                <w:sz w:val="18"/>
              </w:rPr>
              <w:t>FastAPI route</w:t>
            </w:r>
          </w:p>
        </w:tc>
        <w:tc>
          <w:tcPr>
            <w:tcW w:type="dxa" w:w="7128"/>
            <w:tcMar>
              <w:top w:w="90" w:type="dxa"/>
              <w:start w:w="90" w:type="dxa"/>
              <w:bottom w:w="90" w:type="dxa"/>
              <w:end w:w="90" w:type="dxa"/>
            </w:tcMar>
          </w:tcPr>
          <w:p>
            <w:pPr>
              <w:spacing w:after="20" w:line="240" w:lineRule="auto"/>
            </w:pPr>
            <w:r/>
            <w:r>
              <w:rPr>
                <w:rFonts w:ascii="Aptos" w:hAnsi="Aptos"/>
                <w:sz w:val="18"/>
              </w:rPr>
              <w:t>Express RAN worker route using shared authentication, job and error patterns.</w:t>
            </w:r>
          </w:p>
        </w:tc>
      </w:tr>
      <w:tr>
        <w:tc>
          <w:tcPr>
            <w:tcW w:type="dxa" w:w="3240"/>
            <w:tcMar>
              <w:top w:w="90" w:type="dxa"/>
              <w:start w:w="90" w:type="dxa"/>
              <w:bottom w:w="90" w:type="dxa"/>
              <w:end w:w="90" w:type="dxa"/>
            </w:tcMar>
            <w:shd w:fill="F7FAFC"/>
          </w:tcPr>
          <w:p>
            <w:pPr>
              <w:spacing w:after="20" w:line="240" w:lineRule="auto"/>
            </w:pPr>
            <w:r/>
            <w:r>
              <w:rPr>
                <w:rFonts w:ascii="Aptos" w:hAnsi="Aptos"/>
                <w:sz w:val="18"/>
              </w:rPr>
              <w:t>Prototype job status</w:t>
            </w:r>
          </w:p>
        </w:tc>
        <w:tc>
          <w:tcPr>
            <w:tcW w:type="dxa" w:w="7128"/>
            <w:tcMar>
              <w:top w:w="90" w:type="dxa"/>
              <w:start w:w="90" w:type="dxa"/>
              <w:bottom w:w="90" w:type="dxa"/>
              <w:end w:w="90" w:type="dxa"/>
            </w:tcMar>
            <w:shd w:fill="F7FAFC"/>
          </w:tcPr>
          <w:p>
            <w:pPr>
              <w:spacing w:after="20" w:line="240" w:lineRule="auto"/>
            </w:pPr>
            <w:r/>
            <w:r>
              <w:rPr>
                <w:rFonts w:ascii="Aptos" w:hAnsi="Aptos"/>
                <w:sz w:val="18"/>
              </w:rPr>
              <w:t>Shared platform queue, WebSocket progress and persisted job lifecycle.</w:t>
            </w:r>
          </w:p>
        </w:tc>
      </w:tr>
      <w:tr>
        <w:tc>
          <w:tcPr>
            <w:tcW w:type="dxa" w:w="3240"/>
            <w:tcMar>
              <w:top w:w="90" w:type="dxa"/>
              <w:start w:w="90" w:type="dxa"/>
              <w:bottom w:w="90" w:type="dxa"/>
              <w:end w:w="90" w:type="dxa"/>
            </w:tcMar>
          </w:tcPr>
          <w:p>
            <w:pPr>
              <w:spacing w:after="20" w:line="240" w:lineRule="auto"/>
            </w:pPr>
            <w:r/>
            <w:r>
              <w:rPr>
                <w:rFonts w:ascii="Aptos" w:hAnsi="Aptos"/>
                <w:sz w:val="18"/>
              </w:rPr>
              <w:t>Prototype audit/history</w:t>
            </w:r>
          </w:p>
        </w:tc>
        <w:tc>
          <w:tcPr>
            <w:tcW w:type="dxa" w:w="7128"/>
            <w:tcMar>
              <w:top w:w="90" w:type="dxa"/>
              <w:start w:w="90" w:type="dxa"/>
              <w:bottom w:w="90" w:type="dxa"/>
              <w:end w:w="90" w:type="dxa"/>
            </w:tcMar>
          </w:tcPr>
          <w:p>
            <w:pPr>
              <w:spacing w:after="20" w:line="240" w:lineRule="auto"/>
            </w:pPr>
            <w:r/>
            <w:r>
              <w:rPr>
                <w:rFonts w:ascii="Aptos" w:hAnsi="Aptos"/>
                <w:sz w:val="18"/>
              </w:rPr>
              <w:t>Shared job repository, history, Job Detail, warnings/reviews and audit events.</w:t>
            </w:r>
          </w:p>
        </w:tc>
      </w:tr>
      <w:tr>
        <w:tc>
          <w:tcPr>
            <w:tcW w:type="dxa" w:w="3240"/>
            <w:tcMar>
              <w:top w:w="90" w:type="dxa"/>
              <w:start w:w="90" w:type="dxa"/>
              <w:bottom w:w="90" w:type="dxa"/>
              <w:end w:w="90" w:type="dxa"/>
            </w:tcMar>
            <w:shd w:fill="F7FAFC"/>
          </w:tcPr>
          <w:p>
            <w:pPr>
              <w:spacing w:after="20" w:line="240" w:lineRule="auto"/>
            </w:pPr>
            <w:r/>
            <w:r>
              <w:rPr>
                <w:rFonts w:ascii="Aptos" w:hAnsi="Aptos"/>
                <w:sz w:val="18"/>
              </w:rPr>
              <w:t>Prototype download route</w:t>
            </w:r>
          </w:p>
        </w:tc>
        <w:tc>
          <w:tcPr>
            <w:tcW w:type="dxa" w:w="7128"/>
            <w:tcMar>
              <w:top w:w="90" w:type="dxa"/>
              <w:start w:w="90" w:type="dxa"/>
              <w:bottom w:w="90" w:type="dxa"/>
              <w:end w:w="90" w:type="dxa"/>
            </w:tcMar>
            <w:shd w:fill="F7FAFC"/>
          </w:tcPr>
          <w:p>
            <w:pPr>
              <w:spacing w:after="20" w:line="240" w:lineRule="auto"/>
            </w:pPr>
            <w:r/>
            <w:r>
              <w:rPr>
                <w:rFonts w:ascii="Aptos" w:hAnsi="Aptos"/>
                <w:sz w:val="18"/>
              </w:rPr>
              <w:t>Platform file metadata, authorized download and ZIP packaging.</w:t>
            </w:r>
          </w:p>
        </w:tc>
      </w:tr>
      <w:tr>
        <w:tc>
          <w:tcPr>
            <w:tcW w:type="dxa" w:w="3240"/>
            <w:tcMar>
              <w:top w:w="90" w:type="dxa"/>
              <w:start w:w="90" w:type="dxa"/>
              <w:bottom w:w="90" w:type="dxa"/>
              <w:end w:w="90" w:type="dxa"/>
            </w:tcMar>
          </w:tcPr>
          <w:p>
            <w:pPr>
              <w:spacing w:after="20" w:line="240" w:lineRule="auto"/>
            </w:pPr>
            <w:r/>
            <w:r>
              <w:rPr>
                <w:rFonts w:ascii="Aptos" w:hAnsi="Aptos"/>
                <w:sz w:val="18"/>
              </w:rPr>
              <w:t>Shared input/output folders</w:t>
            </w:r>
          </w:p>
        </w:tc>
        <w:tc>
          <w:tcPr>
            <w:tcW w:type="dxa" w:w="7128"/>
            <w:tcMar>
              <w:top w:w="90" w:type="dxa"/>
              <w:start w:w="90" w:type="dxa"/>
              <w:bottom w:w="90" w:type="dxa"/>
              <w:end w:w="90" w:type="dxa"/>
            </w:tcMar>
          </w:tcPr>
          <w:p>
            <w:pPr>
              <w:spacing w:after="20" w:line="240" w:lineRule="auto"/>
            </w:pPr>
            <w:r/>
            <w:r>
              <w:rPr>
                <w:rFonts w:ascii="Aptos" w:hAnsi="Aptos"/>
                <w:sz w:val="18"/>
              </w:rPr>
              <w:t>Per-job isolated workspaces managed by the platform adapter.</w:t>
            </w:r>
          </w:p>
        </w:tc>
      </w:tr>
    </w:tbl>
    <w:p>
      <w:pPr>
        <w:spacing w:after="60"/>
      </w:pPr>
    </w:p>
    <w:p>
      <w:pPr>
        <w:pStyle w:val="Heading1"/>
        <w:spacing w:before="280" w:after="100"/>
      </w:pPr>
      <w:r>
        <w:rPr>
          <w:rFonts w:ascii="Aptos" w:hAnsi="Aptos"/>
          <w:b/>
          <w:color w:val="17365D"/>
          <w:sz w:val="30"/>
        </w:rPr>
        <w:t>Appendix C. Terminology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tcMar>
              <w:top w:w="90" w:type="dxa"/>
              <w:start w:w="90" w:type="dxa"/>
              <w:bottom w:w="90" w:type="dxa"/>
              <w:end w:w="90" w:type="dxa"/>
            </w:tcMar>
            <w:vAlign w:val="center"/>
          </w:tcPr>
          <w:p>
            <w:pPr>
              <w:jc w:val="left"/>
            </w:pPr>
            <w:r/>
            <w:r>
              <w:rPr>
                <w:rFonts w:ascii="Aptos" w:hAnsi="Aptos"/>
                <w:b/>
                <w:color w:val="FFFFFF"/>
                <w:sz w:val="18"/>
              </w:rPr>
              <w:t>Term</w:t>
            </w:r>
          </w:p>
        </w:tc>
        <w:tc>
          <w:tcPr>
            <w:tcW w:type="dxa" w:w="7992"/>
            <w:shd w:fill="17365D"/>
            <w:tcMar>
              <w:top w:w="90" w:type="dxa"/>
              <w:start w:w="90" w:type="dxa"/>
              <w:bottom w:w="90" w:type="dxa"/>
              <w:end w:w="90" w:type="dxa"/>
            </w:tcMar>
            <w:vAlign w:val="center"/>
          </w:tcPr>
          <w:p>
            <w:pPr>
              <w:jc w:val="left"/>
            </w:pPr>
            <w:r/>
            <w:r>
              <w:rPr>
                <w:rFonts w:ascii="Aptos" w:hAnsi="Aptos"/>
                <w:b/>
                <w:color w:val="FFFFFF"/>
                <w:sz w:val="18"/>
              </w:rPr>
              <w:t>Meaning</w:t>
            </w:r>
          </w:p>
        </w:tc>
      </w:tr>
      <w:tr>
        <w:tc>
          <w:tcPr>
            <w:tcW w:type="dxa" w:w="2376"/>
            <w:tcMar>
              <w:top w:w="90" w:type="dxa"/>
              <w:start w:w="90" w:type="dxa"/>
              <w:bottom w:w="90" w:type="dxa"/>
              <w:end w:w="90" w:type="dxa"/>
            </w:tcMar>
          </w:tcPr>
          <w:p>
            <w:pPr>
              <w:spacing w:after="20" w:line="240" w:lineRule="auto"/>
            </w:pPr>
            <w:r/>
            <w:r>
              <w:rPr>
                <w:rFonts w:ascii="Aptos" w:hAnsi="Aptos"/>
                <w:sz w:val="18"/>
              </w:rPr>
              <w:t>Engine</w:t>
            </w:r>
          </w:p>
        </w:tc>
        <w:tc>
          <w:tcPr>
            <w:tcW w:type="dxa" w:w="7992"/>
            <w:tcMar>
              <w:top w:w="90" w:type="dxa"/>
              <w:start w:w="90" w:type="dxa"/>
              <w:bottom w:w="90" w:type="dxa"/>
              <w:end w:w="90" w:type="dxa"/>
            </w:tcMar>
          </w:tcPr>
          <w:p>
            <w:pPr>
              <w:spacing w:after="20" w:line="240" w:lineRule="auto"/>
            </w:pPr>
            <w:r/>
            <w:r>
              <w:rPr>
                <w:rFonts w:ascii="Aptos" w:hAnsi="Aptos"/>
                <w:sz w:val="18"/>
              </w:rPr>
              <w:t>Business processing source that transforms domain input into domain output.</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Skill</w:t>
            </w:r>
          </w:p>
        </w:tc>
        <w:tc>
          <w:tcPr>
            <w:tcW w:type="dxa" w:w="7992"/>
            <w:tcMar>
              <w:top w:w="90" w:type="dxa"/>
              <w:start w:w="90" w:type="dxa"/>
              <w:bottom w:w="90" w:type="dxa"/>
              <w:end w:w="90" w:type="dxa"/>
            </w:tcMar>
            <w:shd w:fill="F7FAFC"/>
          </w:tcPr>
          <w:p>
            <w:pPr>
              <w:spacing w:after="20" w:line="240" w:lineRule="auto"/>
            </w:pPr>
            <w:r/>
            <w:r>
              <w:rPr>
                <w:rFonts w:ascii="Aptos" w:hAnsi="Aptos"/>
                <w:sz w:val="18"/>
              </w:rPr>
              <w:t>Platform-recognized worker package composed of engine, manifest, adapter and registry entry.</w:t>
            </w:r>
          </w:p>
        </w:tc>
      </w:tr>
      <w:tr>
        <w:tc>
          <w:tcPr>
            <w:tcW w:type="dxa" w:w="2376"/>
            <w:tcMar>
              <w:top w:w="90" w:type="dxa"/>
              <w:start w:w="90" w:type="dxa"/>
              <w:bottom w:w="90" w:type="dxa"/>
              <w:end w:w="90" w:type="dxa"/>
            </w:tcMar>
          </w:tcPr>
          <w:p>
            <w:pPr>
              <w:spacing w:after="20" w:line="240" w:lineRule="auto"/>
            </w:pPr>
            <w:r/>
            <w:r>
              <w:rPr>
                <w:rFonts w:ascii="Aptos" w:hAnsi="Aptos"/>
                <w:sz w:val="18"/>
              </w:rPr>
              <w:t>Adapter</w:t>
            </w:r>
          </w:p>
        </w:tc>
        <w:tc>
          <w:tcPr>
            <w:tcW w:type="dxa" w:w="7992"/>
            <w:tcMar>
              <w:top w:w="90" w:type="dxa"/>
              <w:start w:w="90" w:type="dxa"/>
              <w:bottom w:w="90" w:type="dxa"/>
              <w:end w:w="90" w:type="dxa"/>
            </w:tcMar>
          </w:tcPr>
          <w:p>
            <w:pPr>
              <w:spacing w:after="20" w:line="240" w:lineRule="auto"/>
            </w:pPr>
            <w:r/>
            <w:r>
              <w:rPr>
                <w:rFonts w:ascii="Aptos" w:hAnsi="Aptos"/>
                <w:sz w:val="18"/>
              </w:rPr>
              <w:t>Platform-owned code that turns an engine into a safe, observable, isolated platform worker.</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Pinned submodule</w:t>
            </w:r>
          </w:p>
        </w:tc>
        <w:tc>
          <w:tcPr>
            <w:tcW w:type="dxa" w:w="7992"/>
            <w:tcMar>
              <w:top w:w="90" w:type="dxa"/>
              <w:start w:w="90" w:type="dxa"/>
              <w:bottom w:w="90" w:type="dxa"/>
              <w:end w:w="90" w:type="dxa"/>
            </w:tcMar>
            <w:shd w:fill="F7FAFC"/>
          </w:tcPr>
          <w:p>
            <w:pPr>
              <w:spacing w:after="20" w:line="240" w:lineRule="auto"/>
            </w:pPr>
            <w:r/>
            <w:r>
              <w:rPr>
                <w:rFonts w:ascii="Aptos" w:hAnsi="Aptos"/>
                <w:sz w:val="18"/>
              </w:rPr>
              <w:t>A Git submodule reference fixed to a specific upstream commit, rather than an automatically moving branch head.</w:t>
            </w:r>
          </w:p>
        </w:tc>
      </w:tr>
      <w:tr>
        <w:tc>
          <w:tcPr>
            <w:tcW w:type="dxa" w:w="2376"/>
            <w:tcMar>
              <w:top w:w="90" w:type="dxa"/>
              <w:start w:w="90" w:type="dxa"/>
              <w:bottom w:w="90" w:type="dxa"/>
              <w:end w:w="90" w:type="dxa"/>
            </w:tcMar>
          </w:tcPr>
          <w:p>
            <w:pPr>
              <w:spacing w:after="20" w:line="240" w:lineRule="auto"/>
            </w:pPr>
            <w:r/>
            <w:r>
              <w:rPr>
                <w:rFonts w:ascii="Aptos" w:hAnsi="Aptos"/>
                <w:sz w:val="18"/>
              </w:rPr>
              <w:t>Golden test</w:t>
            </w:r>
          </w:p>
        </w:tc>
        <w:tc>
          <w:tcPr>
            <w:tcW w:type="dxa" w:w="7992"/>
            <w:tcMar>
              <w:top w:w="90" w:type="dxa"/>
              <w:start w:w="90" w:type="dxa"/>
              <w:bottom w:w="90" w:type="dxa"/>
              <w:end w:w="90" w:type="dxa"/>
            </w:tcMar>
          </w:tcPr>
          <w:p>
            <w:pPr>
              <w:spacing w:after="20" w:line="240" w:lineRule="auto"/>
            </w:pPr>
            <w:r/>
            <w:r>
              <w:rPr>
                <w:rFonts w:ascii="Aptos" w:hAnsi="Aptos"/>
                <w:sz w:val="18"/>
              </w:rPr>
              <w:t>Regression test that compares generated business content against an approved known-correct output baseline.</w:t>
            </w:r>
          </w:p>
        </w:tc>
      </w:tr>
      <w:tr>
        <w:tc>
          <w:tcPr>
            <w:tcW w:type="dxa" w:w="2376"/>
            <w:tcMar>
              <w:top w:w="90" w:type="dxa"/>
              <w:start w:w="90" w:type="dxa"/>
              <w:bottom w:w="90" w:type="dxa"/>
              <w:end w:w="90" w:type="dxa"/>
            </w:tcMar>
            <w:shd w:fill="F7FAFC"/>
          </w:tcPr>
          <w:p>
            <w:pPr>
              <w:spacing w:after="20" w:line="240" w:lineRule="auto"/>
            </w:pPr>
            <w:r/>
            <w:r>
              <w:rPr>
                <w:rFonts w:ascii="Aptos" w:hAnsi="Aptos"/>
                <w:sz w:val="18"/>
              </w:rPr>
              <w:t>Compatibility upgrade PR</w:t>
            </w:r>
          </w:p>
        </w:tc>
        <w:tc>
          <w:tcPr>
            <w:tcW w:type="dxa" w:w="7992"/>
            <w:tcMar>
              <w:top w:w="90" w:type="dxa"/>
              <w:start w:w="90" w:type="dxa"/>
              <w:bottom w:w="90" w:type="dxa"/>
              <w:end w:w="90" w:type="dxa"/>
            </w:tcMar>
            <w:shd w:fill="F7FAFC"/>
          </w:tcPr>
          <w:p>
            <w:pPr>
              <w:spacing w:after="20" w:line="240" w:lineRule="auto"/>
            </w:pPr>
            <w:r/>
            <w:r>
              <w:rPr>
                <w:rFonts w:ascii="Aptos" w:hAnsi="Aptos"/>
                <w:sz w:val="18"/>
              </w:rPr>
              <w:t>A platform PR that moves an engine dependency from one approved upstream tag/SHA to another and proves it remains compatible.</w:t>
            </w:r>
          </w:p>
        </w:tc>
      </w:tr>
    </w:tbl>
    <w:p>
      <w:pPr>
        <w:spacing w:after="60"/>
      </w:pPr>
    </w:p>
    <w:p>
      <w:pPr>
        <w:pStyle w:val="Heading1"/>
        <w:spacing w:before="280" w:after="100"/>
      </w:pPr>
      <w:r>
        <w:rPr>
          <w:rFonts w:ascii="Aptos" w:hAnsi="Aptos"/>
          <w:b/>
          <w:color w:val="17365D"/>
          <w:sz w:val="30"/>
        </w:rPr>
        <w:t>Appendix D. Source Repositories</w:t>
      </w:r>
    </w:p>
    <w:p>
      <w:pPr>
        <w:pStyle w:val="ListBullet"/>
        <w:spacing w:after="60"/>
      </w:pPr>
      <w:r>
        <w:rPr>
          <w:rFonts w:ascii="Aptos" w:hAnsi="Aptos"/>
          <w:sz w:val="21"/>
        </w:rPr>
        <w:t>AI Worker Platform: https://github.com/DemonTweeks/ai-worker-platform</w:t>
      </w:r>
    </w:p>
    <w:p>
      <w:pPr>
        <w:pStyle w:val="ListBullet"/>
        <w:spacing w:after="60"/>
      </w:pPr>
      <w:r>
        <w:rPr>
          <w:rFonts w:ascii="Aptos" w:hAnsi="Aptos"/>
          <w:sz w:val="21"/>
        </w:rPr>
        <w:t>RAN Engine Source: https://github.com/ammarofficial11/create-pr-cd-ran</w:t>
      </w:r>
    </w:p>
    <w:p>
      <w:pPr>
        <w:pStyle w:val="ListBullet"/>
        <w:spacing w:after="60"/>
      </w:pPr>
      <w:r>
        <w:rPr>
          <w:rFonts w:ascii="Aptos" w:hAnsi="Aptos"/>
          <w:sz w:val="21"/>
        </w:rPr>
        <w:t>Unattended Development Methodology: https://github.com/Gumb-D/codex-unattended-development</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16B"/>
        <w:sz w:val="16"/>
      </w:rPr>
      <w:t xml:space="preserve">Internal working reference | v0.1 | 25 June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616B"/>
        <w:sz w:val="16"/>
      </w:rPr>
      <w:t>AI Worker Platform | Technical Architecture &amp; Business Logic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