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D69B7" w14:textId="77777777" w:rsidR="006B01AB" w:rsidRPr="006B01AB" w:rsidRDefault="006B01AB" w:rsidP="006B01AB">
      <w:pPr>
        <w:rPr>
          <w:b/>
          <w:bCs/>
          <w:sz w:val="36"/>
          <w:szCs w:val="36"/>
        </w:rPr>
      </w:pPr>
      <w:r w:rsidRPr="006B01AB">
        <w:rPr>
          <w:b/>
          <w:bCs/>
          <w:sz w:val="36"/>
          <w:szCs w:val="36"/>
        </w:rPr>
        <w:t>Section II — Review of Research Methodologies</w:t>
      </w:r>
    </w:p>
    <w:p w14:paraId="6ACD7D26" w14:textId="77777777" w:rsidR="006B01AB" w:rsidRDefault="006B01AB" w:rsidP="006B01AB">
      <w:r w:rsidRPr="006B01AB">
        <w:t>The convergence of gamification and virtual reality (VR) in educational contexts has led to novel pedagogical innovations. In this section, a comprehensive review of methodologies adopted in similar research is presented, including a critique of their design strategies, data collection techniques, and analytical frameworks. This review also maps existing knowledge and identifies research gaps that justify the proposed methodological framework of this study.</w:t>
      </w:r>
    </w:p>
    <w:p w14:paraId="5E3838FA" w14:textId="77777777" w:rsidR="00690C92" w:rsidRPr="006B01AB" w:rsidRDefault="00690C92" w:rsidP="006B01AB"/>
    <w:p w14:paraId="68471BAE" w14:textId="77777777" w:rsidR="006B01AB" w:rsidRPr="006B01AB" w:rsidRDefault="006B01AB" w:rsidP="006B01AB">
      <w:pPr>
        <w:rPr>
          <w:b/>
          <w:bCs/>
        </w:rPr>
      </w:pPr>
      <w:r w:rsidRPr="006B01AB">
        <w:rPr>
          <w:b/>
          <w:bCs/>
        </w:rPr>
        <w:t>A. Methodologies in Related Research</w:t>
      </w:r>
    </w:p>
    <w:p w14:paraId="0AFDCC3D" w14:textId="77777777" w:rsidR="006B01AB" w:rsidRPr="006B01AB" w:rsidRDefault="006B01AB" w:rsidP="006B01AB">
      <w:r w:rsidRPr="006B01AB">
        <w:t>Research studies exploring either gamification or VR in educational settings commonly adopt quantitative, qualitative, or mixed-methods designs. The choice of methodology often aligns with the overarching research questions—whether to measure cognitive gains (quantitative), explore learner experiences (qualitative), or do both (mixed methods).</w:t>
      </w:r>
    </w:p>
    <w:p w14:paraId="4590F476" w14:textId="77777777" w:rsidR="006B01AB" w:rsidRPr="006B01AB" w:rsidRDefault="006B01AB" w:rsidP="006B01AB">
      <w:pPr>
        <w:rPr>
          <w:b/>
          <w:bCs/>
        </w:rPr>
      </w:pPr>
      <w:r w:rsidRPr="006B01AB">
        <w:rPr>
          <w:b/>
          <w:bCs/>
        </w:rPr>
        <w:t>1) Hamari et al. (2014)</w:t>
      </w:r>
    </w:p>
    <w:p w14:paraId="64FF2476" w14:textId="77777777" w:rsidR="006B01AB" w:rsidRPr="006B01AB" w:rsidRDefault="006B01AB" w:rsidP="006B01AB">
      <w:r w:rsidRPr="006B01AB">
        <w:t>Hamari, Koivisto, and Sarsa [1] conducted one of the most cited reviews on gamification’s efficacy, synthesizing data from 24 studies. The methodology was meta-analytic, relying heavily on quantitative survey data to measure user motivation, behavioral change, and learning effectiveness. The strength of this study lies in its scope and statistical generalizability, but it does not cover immersive environments like VR, creating a gap in experiential engagement analysis.</w:t>
      </w:r>
    </w:p>
    <w:p w14:paraId="2B26BBA7" w14:textId="77777777" w:rsidR="006B01AB" w:rsidRPr="006B01AB" w:rsidRDefault="006B01AB" w:rsidP="006B01AB">
      <w:pPr>
        <w:rPr>
          <w:b/>
          <w:bCs/>
        </w:rPr>
      </w:pPr>
      <w:r w:rsidRPr="006B01AB">
        <w:rPr>
          <w:b/>
          <w:bCs/>
        </w:rPr>
        <w:t>2) Wouters et al. (2013)</w:t>
      </w:r>
    </w:p>
    <w:p w14:paraId="07F9C805" w14:textId="3FE43B08" w:rsidR="006B01AB" w:rsidRPr="006B01AB" w:rsidRDefault="006B01AB" w:rsidP="006B01AB">
      <w:r w:rsidRPr="006B01AB">
        <w:t>Wouters and colleagues [2] examined 38 studies on serious games, employing experimental designs to assess outcomes such as motivation, knowledge retention, and cognitive load. Pre and post-testing procedures were prominent in their methodology. This approach offered robust internal validity and controlled comparisons, yet lacked insight into learner interaction or emotional engagement</w:t>
      </w:r>
      <w:r w:rsidR="00882EBD">
        <w:t xml:space="preserve">, </w:t>
      </w:r>
      <w:r w:rsidRPr="006B01AB">
        <w:t>elements vital in VR settings.</w:t>
      </w:r>
    </w:p>
    <w:p w14:paraId="147B0CD5" w14:textId="77777777" w:rsidR="006B01AB" w:rsidRPr="006B01AB" w:rsidRDefault="006B01AB" w:rsidP="006B01AB">
      <w:pPr>
        <w:rPr>
          <w:b/>
          <w:bCs/>
        </w:rPr>
      </w:pPr>
      <w:r w:rsidRPr="006B01AB">
        <w:rPr>
          <w:b/>
          <w:bCs/>
        </w:rPr>
        <w:t>3) Bressler and Bodzin (2013)</w:t>
      </w:r>
    </w:p>
    <w:p w14:paraId="4FA816E1" w14:textId="77777777" w:rsidR="006B01AB" w:rsidRPr="006B01AB" w:rsidRDefault="006B01AB" w:rsidP="006B01AB">
      <w:r w:rsidRPr="006B01AB">
        <w:t>This study [3] implemented a quasi-experimental approach to measure the impact of mobile AR (augmented reality) and gamification in science education. Using pre-/post-tests combined with Likert-scale surveys, they measured changes in student flow, engagement, and achievement. While realistic in classroom implementation, the study had limited exploration of qualitative insights, which are essential for understanding learner behavior in immersive environments.</w:t>
      </w:r>
    </w:p>
    <w:p w14:paraId="7E8284DC" w14:textId="77777777" w:rsidR="006B01AB" w:rsidRPr="006B01AB" w:rsidRDefault="006B01AB" w:rsidP="006B01AB">
      <w:pPr>
        <w:rPr>
          <w:b/>
          <w:bCs/>
        </w:rPr>
      </w:pPr>
      <w:r w:rsidRPr="006B01AB">
        <w:rPr>
          <w:b/>
          <w:bCs/>
        </w:rPr>
        <w:t>4) Ibáñez et al. (2014)</w:t>
      </w:r>
    </w:p>
    <w:p w14:paraId="702FE4EE" w14:textId="300E157F" w:rsidR="006B01AB" w:rsidRPr="00882EBD" w:rsidRDefault="006B01AB" w:rsidP="006B01AB">
      <w:r w:rsidRPr="006B01AB">
        <w:t>Ibáñez et al. [4] adopted a mixed-methods framework to assess the effectiveness of AR-enhanced electromagnetism simulations. Their approach combined quantitative behavioral logs from VR interactions with qualitative interviews. This triangulated methodology allowed them to address both cognitive and affective aspects of learning</w:t>
      </w:r>
      <w:r w:rsidR="00882EBD">
        <w:t xml:space="preserve">, </w:t>
      </w:r>
      <w:r w:rsidRPr="006B01AB">
        <w:t>particularly important when evaluating gamified learning environments in VR.</w:t>
      </w:r>
    </w:p>
    <w:p w14:paraId="3D59464D" w14:textId="77777777" w:rsidR="00690C92" w:rsidRPr="006B01AB" w:rsidRDefault="00690C92" w:rsidP="006B01AB"/>
    <w:p w14:paraId="786E65C9" w14:textId="77777777" w:rsidR="006B01AB" w:rsidRPr="006B01AB" w:rsidRDefault="006B01AB" w:rsidP="006B01AB">
      <w:pPr>
        <w:rPr>
          <w:b/>
          <w:bCs/>
        </w:rPr>
      </w:pPr>
      <w:r w:rsidRPr="006B01AB">
        <w:rPr>
          <w:b/>
          <w:bCs/>
        </w:rPr>
        <w:lastRenderedPageBreak/>
        <w:t>5) Cheong et al. (2013)</w:t>
      </w:r>
    </w:p>
    <w:p w14:paraId="3E43BC71" w14:textId="77777777" w:rsidR="006B01AB" w:rsidRPr="006B01AB" w:rsidRDefault="006B01AB" w:rsidP="006B01AB">
      <w:r w:rsidRPr="006B01AB">
        <w:t>In another notable study, Cheong et al. [5] investigated the influence of gamified quizzes on student motivation using a mixed-methods methodology based on Keller’s ARCS model. Motivation questionnaires, focus groups, and learning outcome assessments were used. The methodology was holistic, capturing both user attitudes and academic performance; however, its scope was limited to short-term interventions.</w:t>
      </w:r>
    </w:p>
    <w:p w14:paraId="47A10E98" w14:textId="77777777" w:rsidR="006B01AB" w:rsidRPr="006B01AB" w:rsidRDefault="006B01AB" w:rsidP="006B01AB">
      <w:pPr>
        <w:rPr>
          <w:b/>
          <w:bCs/>
        </w:rPr>
      </w:pPr>
      <w:r w:rsidRPr="006B01AB">
        <w:rPr>
          <w:b/>
          <w:bCs/>
        </w:rPr>
        <w:t>B. Academic vs Non-Academic Sources</w:t>
      </w:r>
    </w:p>
    <w:p w14:paraId="08B9CB5E" w14:textId="77777777" w:rsidR="006B01AB" w:rsidRPr="006B01AB" w:rsidRDefault="006B01AB" w:rsidP="006B01AB">
      <w:r w:rsidRPr="006B01AB">
        <w:t xml:space="preserve">All cited works are peer-reviewed and published in journals such as </w:t>
      </w:r>
      <w:r w:rsidRPr="006B01AB">
        <w:rPr>
          <w:i/>
          <w:iCs/>
        </w:rPr>
        <w:t>Computers &amp; Education</w:t>
      </w:r>
      <w:r w:rsidRPr="006B01AB">
        <w:t xml:space="preserve">, </w:t>
      </w:r>
      <w:r w:rsidRPr="006B01AB">
        <w:rPr>
          <w:i/>
          <w:iCs/>
        </w:rPr>
        <w:t>Educational Technology &amp; Society</w:t>
      </w:r>
      <w:r w:rsidRPr="006B01AB">
        <w:t xml:space="preserve">, and </w:t>
      </w:r>
      <w:r w:rsidRPr="006B01AB">
        <w:rPr>
          <w:i/>
          <w:iCs/>
        </w:rPr>
        <w:t>Journal of Computer Assisted Learning</w:t>
      </w:r>
      <w:r w:rsidRPr="006B01AB">
        <w:t>. These are considered academic sources, rigorously vetted for quality and methodological accuracy. Conversely, non-academic sources like blog posts or YouTube reviews were excluded due to their lack of scholarly rigor, replicability, and peer validation.</w:t>
      </w:r>
    </w:p>
    <w:p w14:paraId="5ABB8913" w14:textId="77777777" w:rsidR="006B01AB" w:rsidRPr="006B01AB" w:rsidRDefault="006B01AB" w:rsidP="006B01AB">
      <w:pPr>
        <w:rPr>
          <w:b/>
          <w:bCs/>
        </w:rPr>
      </w:pPr>
      <w:r w:rsidRPr="006B01AB">
        <w:rPr>
          <w:b/>
          <w:bCs/>
        </w:rPr>
        <w:t>C. Comparative Methodological Analysis</w:t>
      </w:r>
    </w:p>
    <w:p w14:paraId="67867305" w14:textId="77777777" w:rsidR="006B01AB" w:rsidRDefault="006B01AB" w:rsidP="006B01AB">
      <w:r w:rsidRPr="006B01AB">
        <w:t>The table below compares methodological designs, strengths, and limitations:</w:t>
      </w:r>
    </w:p>
    <w:p w14:paraId="0F4331A4" w14:textId="3AA657E2" w:rsidR="00690C92" w:rsidRPr="006B01AB" w:rsidRDefault="00690C92" w:rsidP="006B01AB">
      <w:r w:rsidRPr="00690C92">
        <w:rPr>
          <w:noProof/>
        </w:rPr>
        <w:drawing>
          <wp:inline distT="0" distB="0" distL="0" distR="0" wp14:anchorId="1A865D5C" wp14:editId="5DCE4740">
            <wp:extent cx="5731510" cy="4324985"/>
            <wp:effectExtent l="0" t="0" r="2540" b="0"/>
            <wp:docPr id="2135875508" name="Picture 1" descr="A table of data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75508" name="Picture 1" descr="A table of data analysis&#10;&#10;AI-generated content may be incorrect."/>
                    <pic:cNvPicPr/>
                  </pic:nvPicPr>
                  <pic:blipFill>
                    <a:blip r:embed="rId5"/>
                    <a:stretch>
                      <a:fillRect/>
                    </a:stretch>
                  </pic:blipFill>
                  <pic:spPr>
                    <a:xfrm>
                      <a:off x="0" y="0"/>
                      <a:ext cx="5731510" cy="4324985"/>
                    </a:xfrm>
                    <a:prstGeom prst="rect">
                      <a:avLst/>
                    </a:prstGeom>
                  </pic:spPr>
                </pic:pic>
              </a:graphicData>
            </a:graphic>
          </wp:inline>
        </w:drawing>
      </w:r>
    </w:p>
    <w:p w14:paraId="79E5AD0F" w14:textId="77777777" w:rsidR="006B01AB" w:rsidRPr="006B01AB" w:rsidRDefault="006B01AB" w:rsidP="006B01AB">
      <w:pPr>
        <w:rPr>
          <w:b/>
          <w:bCs/>
        </w:rPr>
      </w:pPr>
      <w:r w:rsidRPr="006B01AB">
        <w:rPr>
          <w:b/>
          <w:bCs/>
        </w:rPr>
        <w:t>D. Contextualization and Identified Research Gaps</w:t>
      </w:r>
    </w:p>
    <w:p w14:paraId="7B2D01CC" w14:textId="4666BBE8" w:rsidR="006B01AB" w:rsidRDefault="006B01AB" w:rsidP="006B01AB">
      <w:r w:rsidRPr="006B01AB">
        <w:t>These studies show that while gamification and VR individually yield positive educational outcomes, there is a distinct lack of empirical research combining both</w:t>
      </w:r>
      <w:r w:rsidR="00882EBD">
        <w:t xml:space="preserve">, </w:t>
      </w:r>
      <w:r w:rsidRPr="006B01AB">
        <w:t>particularly in humanities education. The few mixed-methods studies available focus predominantly on STEM fields. Moreover, little is known about which specific gamification elements (e.g., points, badges, leaderboards) drive learning in immersive VR.</w:t>
      </w:r>
    </w:p>
    <w:p w14:paraId="10D425CF" w14:textId="0C256AA3" w:rsidR="0027643C" w:rsidRPr="0027643C" w:rsidRDefault="0027643C" w:rsidP="0027643C">
      <w:pPr>
        <w:rPr>
          <w:b/>
          <w:bCs/>
        </w:rPr>
      </w:pPr>
      <w:r>
        <w:rPr>
          <w:b/>
          <w:bCs/>
        </w:rPr>
        <w:lastRenderedPageBreak/>
        <w:t>E</w:t>
      </w:r>
      <w:r w:rsidRPr="0027643C">
        <w:rPr>
          <w:b/>
          <w:bCs/>
        </w:rPr>
        <w:t>. Literature Mapping</w:t>
      </w:r>
    </w:p>
    <w:p w14:paraId="12726DBD" w14:textId="12789D86" w:rsidR="0027643C" w:rsidRDefault="0027643C" w:rsidP="006B01AB">
      <w:r w:rsidRPr="0027643C">
        <w:t>To visualize interrelationships, the following conceptual map is provided:</w:t>
      </w:r>
    </w:p>
    <w:p w14:paraId="2D7C340A" w14:textId="088D6B03" w:rsidR="0027643C" w:rsidRPr="0027643C" w:rsidRDefault="0027643C" w:rsidP="0027643C">
      <w:r w:rsidRPr="0027643C">
        <w:rPr>
          <w:noProof/>
        </w:rPr>
        <w:drawing>
          <wp:inline distT="0" distB="0" distL="0" distR="0" wp14:anchorId="2077C2E3" wp14:editId="4F16EB3D">
            <wp:extent cx="5730534" cy="3045125"/>
            <wp:effectExtent l="0" t="0" r="3810" b="3175"/>
            <wp:docPr id="1272322819" name="Picture 2" descr="A diagram of a learn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22819" name="Picture 2" descr="A diagram of a learning proces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2735" cy="3051609"/>
                    </a:xfrm>
                    <a:prstGeom prst="rect">
                      <a:avLst/>
                    </a:prstGeom>
                    <a:noFill/>
                    <a:ln>
                      <a:noFill/>
                    </a:ln>
                  </pic:spPr>
                </pic:pic>
              </a:graphicData>
            </a:graphic>
          </wp:inline>
        </w:drawing>
      </w:r>
    </w:p>
    <w:p w14:paraId="08AAD7F0" w14:textId="48BE1EC8" w:rsidR="006B01AB" w:rsidRPr="006B01AB" w:rsidRDefault="006B01AB" w:rsidP="006B01AB"/>
    <w:p w14:paraId="1D2ACA29" w14:textId="77777777" w:rsidR="006B01AB" w:rsidRPr="006B01AB" w:rsidRDefault="006B01AB" w:rsidP="006B01AB">
      <w:pPr>
        <w:rPr>
          <w:b/>
          <w:bCs/>
          <w:sz w:val="36"/>
          <w:szCs w:val="36"/>
        </w:rPr>
      </w:pPr>
      <w:r w:rsidRPr="006B01AB">
        <w:rPr>
          <w:b/>
          <w:bCs/>
          <w:sz w:val="36"/>
          <w:szCs w:val="36"/>
        </w:rPr>
        <w:t>Section III — Reflection on the Chosen Methodology</w:t>
      </w:r>
    </w:p>
    <w:p w14:paraId="0D9A54AC" w14:textId="77777777" w:rsidR="006B01AB" w:rsidRDefault="006B01AB" w:rsidP="006B01AB">
      <w:r w:rsidRPr="006B01AB">
        <w:t>Based on the preceding review, a tailored research methodology has been devised to suit the objectives of this study. The aim is to evaluate the impact of gamification within VR learning environments, particularly concerning learner engagement and knowledge retention.</w:t>
      </w:r>
    </w:p>
    <w:p w14:paraId="76607E3D" w14:textId="77777777" w:rsidR="00882EBD" w:rsidRPr="006B01AB" w:rsidRDefault="00882EBD" w:rsidP="006B01AB"/>
    <w:p w14:paraId="74AF12CA" w14:textId="77777777" w:rsidR="006B01AB" w:rsidRPr="006B01AB" w:rsidRDefault="006B01AB" w:rsidP="006B01AB">
      <w:pPr>
        <w:rPr>
          <w:b/>
          <w:bCs/>
        </w:rPr>
      </w:pPr>
      <w:r w:rsidRPr="006B01AB">
        <w:rPr>
          <w:b/>
          <w:bCs/>
        </w:rPr>
        <w:t>A. Research Questions</w:t>
      </w:r>
    </w:p>
    <w:p w14:paraId="7B70B415" w14:textId="77777777" w:rsidR="006B01AB" w:rsidRPr="006B01AB" w:rsidRDefault="006B01AB" w:rsidP="006B01AB">
      <w:pPr>
        <w:numPr>
          <w:ilvl w:val="0"/>
          <w:numId w:val="1"/>
        </w:numPr>
      </w:pPr>
      <w:r w:rsidRPr="006B01AB">
        <w:t>How do gamification elements impact learner engagement in VR environments?</w:t>
      </w:r>
    </w:p>
    <w:p w14:paraId="2DB98EA1" w14:textId="77777777" w:rsidR="006B01AB" w:rsidRPr="006B01AB" w:rsidRDefault="006B01AB" w:rsidP="006B01AB">
      <w:pPr>
        <w:numPr>
          <w:ilvl w:val="0"/>
          <w:numId w:val="1"/>
        </w:numPr>
      </w:pPr>
      <w:r w:rsidRPr="006B01AB">
        <w:t>What are the effects of gamification on knowledge retention in VR-based learning?</w:t>
      </w:r>
    </w:p>
    <w:p w14:paraId="6D9154BB" w14:textId="56B9BC3A" w:rsidR="00882EBD" w:rsidRDefault="006B01AB" w:rsidP="00882EBD">
      <w:pPr>
        <w:numPr>
          <w:ilvl w:val="0"/>
          <w:numId w:val="1"/>
        </w:numPr>
      </w:pPr>
      <w:r w:rsidRPr="006B01AB">
        <w:t>Which gamification elements (e.g., leaderboards, points, narrative quests) are most effective in VR education?</w:t>
      </w:r>
    </w:p>
    <w:p w14:paraId="22F0F9DC" w14:textId="77777777" w:rsidR="00882EBD" w:rsidRPr="006B01AB" w:rsidRDefault="00882EBD" w:rsidP="00882EBD">
      <w:pPr>
        <w:ind w:left="360"/>
      </w:pPr>
    </w:p>
    <w:p w14:paraId="47CC5EFC" w14:textId="77777777" w:rsidR="006B01AB" w:rsidRPr="006B01AB" w:rsidRDefault="006B01AB" w:rsidP="006B01AB">
      <w:pPr>
        <w:rPr>
          <w:b/>
          <w:bCs/>
        </w:rPr>
      </w:pPr>
      <w:r w:rsidRPr="006B01AB">
        <w:rPr>
          <w:b/>
          <w:bCs/>
        </w:rPr>
        <w:t>B. Research Objectives</w:t>
      </w:r>
    </w:p>
    <w:p w14:paraId="0664CBA2" w14:textId="77777777" w:rsidR="006B01AB" w:rsidRPr="006B01AB" w:rsidRDefault="006B01AB" w:rsidP="006B01AB">
      <w:pPr>
        <w:numPr>
          <w:ilvl w:val="0"/>
          <w:numId w:val="2"/>
        </w:numPr>
      </w:pPr>
      <w:r w:rsidRPr="006B01AB">
        <w:t>Develop a gamified VR prototype for geography/history learning.</w:t>
      </w:r>
    </w:p>
    <w:p w14:paraId="63E4B069" w14:textId="77777777" w:rsidR="006B01AB" w:rsidRPr="006B01AB" w:rsidRDefault="006B01AB" w:rsidP="006B01AB">
      <w:pPr>
        <w:numPr>
          <w:ilvl w:val="0"/>
          <w:numId w:val="2"/>
        </w:numPr>
      </w:pPr>
      <w:r w:rsidRPr="006B01AB">
        <w:t>Measure changes in engagement and cognitive retention using mixed tools.</w:t>
      </w:r>
    </w:p>
    <w:p w14:paraId="57508C93" w14:textId="77777777" w:rsidR="006B01AB" w:rsidRPr="006B01AB" w:rsidRDefault="006B01AB" w:rsidP="006B01AB">
      <w:pPr>
        <w:numPr>
          <w:ilvl w:val="0"/>
          <w:numId w:val="2"/>
        </w:numPr>
      </w:pPr>
      <w:r w:rsidRPr="006B01AB">
        <w:t>Evaluate user feedback to refine gamification strategies.</w:t>
      </w:r>
    </w:p>
    <w:p w14:paraId="482DDAD6" w14:textId="77777777" w:rsidR="006B01AB" w:rsidRDefault="006B01AB" w:rsidP="006B01AB">
      <w:pPr>
        <w:numPr>
          <w:ilvl w:val="0"/>
          <w:numId w:val="2"/>
        </w:numPr>
      </w:pPr>
      <w:r w:rsidRPr="006B01AB">
        <w:t>Establish best-practice guidelines for gamified VR educational design.</w:t>
      </w:r>
    </w:p>
    <w:p w14:paraId="6043190B" w14:textId="77777777" w:rsidR="00882EBD" w:rsidRDefault="00882EBD" w:rsidP="00882EBD"/>
    <w:p w14:paraId="33CB8C4A" w14:textId="77777777" w:rsidR="00CF5D13" w:rsidRPr="006B01AB" w:rsidRDefault="00CF5D13" w:rsidP="00882EBD"/>
    <w:p w14:paraId="2231321D" w14:textId="77777777" w:rsidR="006B01AB" w:rsidRPr="006B01AB" w:rsidRDefault="006B01AB" w:rsidP="006B01AB">
      <w:pPr>
        <w:rPr>
          <w:b/>
          <w:bCs/>
        </w:rPr>
      </w:pPr>
      <w:r w:rsidRPr="006B01AB">
        <w:rPr>
          <w:b/>
          <w:bCs/>
        </w:rPr>
        <w:lastRenderedPageBreak/>
        <w:t>C. Philosophical Foundation and Paradigmatic Choice</w:t>
      </w:r>
    </w:p>
    <w:p w14:paraId="545C4B5D" w14:textId="77777777" w:rsidR="006B01AB" w:rsidRPr="006B01AB" w:rsidRDefault="006B01AB" w:rsidP="006B01AB">
      <w:r w:rsidRPr="006B01AB">
        <w:t>The study is grounded in interpretivism, focusing on learners’ subjective experiences within VR. It adopts a deductive reasoning approach, guided by hypotheses drawn from Self-Determination Theory (SDT) and Constructivist Learning Theory, which argue that meaningful engagement arises from autonomy, competence, and relatedness—principles that gamification aims to satisfy.</w:t>
      </w:r>
    </w:p>
    <w:p w14:paraId="471AAB58" w14:textId="7FA78D92" w:rsidR="00882EBD" w:rsidRPr="00882EBD" w:rsidRDefault="006B01AB" w:rsidP="006B01AB">
      <w:r w:rsidRPr="006B01AB">
        <w:t>The pragmatic paradigm justifies the use of both quantitative and qualitative tools. This aligns with the real-world, solution-oriented nature of the research problem and allows for methodological flexibility.</w:t>
      </w:r>
    </w:p>
    <w:p w14:paraId="6A517CEE" w14:textId="77777777" w:rsidR="00882EBD" w:rsidRPr="006B01AB" w:rsidRDefault="00882EBD" w:rsidP="006B01AB"/>
    <w:p w14:paraId="45BC0F11" w14:textId="77777777" w:rsidR="006B01AB" w:rsidRPr="006B01AB" w:rsidRDefault="006B01AB" w:rsidP="006B01AB">
      <w:pPr>
        <w:rPr>
          <w:b/>
          <w:bCs/>
        </w:rPr>
      </w:pPr>
      <w:r w:rsidRPr="006B01AB">
        <w:rPr>
          <w:b/>
          <w:bCs/>
        </w:rPr>
        <w:t>D. Selected Methodology and Justification</w:t>
      </w:r>
    </w:p>
    <w:p w14:paraId="5A9AEB99" w14:textId="77777777" w:rsidR="006B01AB" w:rsidRPr="00882EBD" w:rsidRDefault="006B01AB" w:rsidP="006B01AB">
      <w:r w:rsidRPr="006B01AB">
        <w:t>A mixed-methods strategy is proposed, combining experimental data with user-centered insights.</w:t>
      </w:r>
    </w:p>
    <w:p w14:paraId="0C84908E" w14:textId="4EF938FA" w:rsidR="00882EBD" w:rsidRPr="006B01AB" w:rsidRDefault="00882EBD" w:rsidP="006B01AB">
      <w:r w:rsidRPr="00882EBD">
        <w:rPr>
          <w:noProof/>
        </w:rPr>
        <w:drawing>
          <wp:inline distT="0" distB="0" distL="0" distR="0" wp14:anchorId="4A0BBEC3" wp14:editId="6CDF0E43">
            <wp:extent cx="5848350" cy="2688971"/>
            <wp:effectExtent l="0" t="0" r="0" b="0"/>
            <wp:docPr id="21064538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53873" name="Picture 1" descr="A screenshot of a computer&#10;&#10;AI-generated content may be incorrect."/>
                    <pic:cNvPicPr/>
                  </pic:nvPicPr>
                  <pic:blipFill>
                    <a:blip r:embed="rId7"/>
                    <a:stretch>
                      <a:fillRect/>
                    </a:stretch>
                  </pic:blipFill>
                  <pic:spPr>
                    <a:xfrm>
                      <a:off x="0" y="0"/>
                      <a:ext cx="5958781" cy="2739745"/>
                    </a:xfrm>
                    <a:prstGeom prst="rect">
                      <a:avLst/>
                    </a:prstGeom>
                  </pic:spPr>
                </pic:pic>
              </a:graphicData>
            </a:graphic>
          </wp:inline>
        </w:drawing>
      </w:r>
    </w:p>
    <w:p w14:paraId="580172AF" w14:textId="4A99873B" w:rsidR="00882EBD" w:rsidRPr="00882EBD" w:rsidRDefault="006B01AB" w:rsidP="006B01AB">
      <w:r w:rsidRPr="006B01AB">
        <w:t>This design facilitates triangulation, enhancing validity by confirming findings across different data types. Reliability will be ensured through repeated trials and standardized measurement tools. Transferability is addressed by detailed documentation for future replication.</w:t>
      </w:r>
    </w:p>
    <w:p w14:paraId="4C0D76C7" w14:textId="77777777" w:rsidR="00882EBD" w:rsidRPr="006B01AB" w:rsidRDefault="00882EBD" w:rsidP="006B01AB"/>
    <w:p w14:paraId="357405D3" w14:textId="77777777" w:rsidR="006B01AB" w:rsidRPr="006B01AB" w:rsidRDefault="006B01AB" w:rsidP="006B01AB">
      <w:pPr>
        <w:rPr>
          <w:b/>
          <w:bCs/>
        </w:rPr>
      </w:pPr>
      <w:r w:rsidRPr="006B01AB">
        <w:rPr>
          <w:b/>
          <w:bCs/>
        </w:rPr>
        <w:t>E. Validity, Reliability, and Transferability</w:t>
      </w:r>
    </w:p>
    <w:p w14:paraId="3F103B41" w14:textId="77777777" w:rsidR="006B01AB" w:rsidRPr="006B01AB" w:rsidRDefault="006B01AB" w:rsidP="006B01AB">
      <w:pPr>
        <w:numPr>
          <w:ilvl w:val="0"/>
          <w:numId w:val="3"/>
        </w:numPr>
      </w:pPr>
      <w:r w:rsidRPr="006B01AB">
        <w:rPr>
          <w:b/>
          <w:bCs/>
        </w:rPr>
        <w:t>Validity</w:t>
      </w:r>
      <w:r w:rsidRPr="006B01AB">
        <w:t>: Supported through construct-aligned test instruments and participant debriefings.</w:t>
      </w:r>
    </w:p>
    <w:p w14:paraId="6CBE1104" w14:textId="77777777" w:rsidR="006B01AB" w:rsidRPr="006B01AB" w:rsidRDefault="006B01AB" w:rsidP="006B01AB">
      <w:pPr>
        <w:numPr>
          <w:ilvl w:val="0"/>
          <w:numId w:val="3"/>
        </w:numPr>
      </w:pPr>
      <w:r w:rsidRPr="006B01AB">
        <w:rPr>
          <w:b/>
          <w:bCs/>
        </w:rPr>
        <w:t>Reliability</w:t>
      </w:r>
      <w:r w:rsidRPr="006B01AB">
        <w:t>: Achieved by using established instruments (e.g., validated surveys, standardized tests).</w:t>
      </w:r>
    </w:p>
    <w:p w14:paraId="529FAF94" w14:textId="77777777" w:rsidR="006B01AB" w:rsidRDefault="006B01AB" w:rsidP="006B01AB">
      <w:pPr>
        <w:numPr>
          <w:ilvl w:val="0"/>
          <w:numId w:val="3"/>
        </w:numPr>
      </w:pPr>
      <w:r w:rsidRPr="006B01AB">
        <w:rPr>
          <w:b/>
          <w:bCs/>
        </w:rPr>
        <w:t>Transferability</w:t>
      </w:r>
      <w:r w:rsidRPr="006B01AB">
        <w:t>: Ensured via transparent reporting of VR design, sample characteristics, and instrumentation.</w:t>
      </w:r>
    </w:p>
    <w:p w14:paraId="6609627B" w14:textId="77777777" w:rsidR="00CF5D13" w:rsidRPr="006B01AB" w:rsidRDefault="00CF5D13" w:rsidP="00CF5D13">
      <w:pPr>
        <w:ind w:left="720"/>
      </w:pPr>
    </w:p>
    <w:p w14:paraId="531F949C" w14:textId="77777777" w:rsidR="006B01AB" w:rsidRPr="006B01AB" w:rsidRDefault="006B01AB" w:rsidP="006B01AB">
      <w:pPr>
        <w:rPr>
          <w:b/>
          <w:bCs/>
        </w:rPr>
      </w:pPr>
      <w:r w:rsidRPr="006B01AB">
        <w:rPr>
          <w:b/>
          <w:bCs/>
        </w:rPr>
        <w:lastRenderedPageBreak/>
        <w:t>F. Ethical Considerations</w:t>
      </w:r>
    </w:p>
    <w:p w14:paraId="7D950853" w14:textId="349F59BA" w:rsidR="006B01AB" w:rsidRDefault="006B01AB" w:rsidP="007004D8">
      <w:pPr>
        <w:pStyle w:val="Default"/>
      </w:pPr>
      <w:r w:rsidRPr="006B01AB">
        <w:t xml:space="preserve">This study adheres to the </w:t>
      </w:r>
      <w:r w:rsidR="007004D8">
        <w:t xml:space="preserve">guidelines set by </w:t>
      </w:r>
      <w:r w:rsidR="007004D8">
        <w:rPr>
          <w:b/>
          <w:bCs/>
          <w:i/>
          <w:iCs/>
          <w:sz w:val="22"/>
          <w:szCs w:val="22"/>
        </w:rPr>
        <w:t xml:space="preserve">MCAST Document 074 ‘Research Ethics Policy and Procedure’ </w:t>
      </w:r>
      <w:r w:rsidRPr="006B01AB">
        <w:t>:</w:t>
      </w:r>
    </w:p>
    <w:p w14:paraId="2F33F5B9" w14:textId="77777777" w:rsidR="007004D8" w:rsidRPr="007004D8" w:rsidRDefault="007004D8" w:rsidP="007004D8">
      <w:pPr>
        <w:pStyle w:val="Default"/>
        <w:rPr>
          <w:sz w:val="22"/>
          <w:szCs w:val="22"/>
        </w:rPr>
      </w:pPr>
    </w:p>
    <w:p w14:paraId="596D4852" w14:textId="26DB4A10" w:rsidR="006B01AB" w:rsidRPr="006B01AB" w:rsidRDefault="006B01AB" w:rsidP="006B01AB">
      <w:pPr>
        <w:numPr>
          <w:ilvl w:val="0"/>
          <w:numId w:val="4"/>
        </w:numPr>
      </w:pPr>
      <w:r w:rsidRPr="006B01AB">
        <w:rPr>
          <w:b/>
          <w:bCs/>
        </w:rPr>
        <w:t>Informed Consent</w:t>
      </w:r>
      <w:r w:rsidRPr="006B01AB">
        <w:t xml:space="preserve">: Participants will be briefed and </w:t>
      </w:r>
      <w:r w:rsidR="00882EBD">
        <w:t xml:space="preserve">asked to </w:t>
      </w:r>
      <w:r w:rsidRPr="006B01AB">
        <w:t>sign consent forms.</w:t>
      </w:r>
    </w:p>
    <w:p w14:paraId="507C487B" w14:textId="77777777" w:rsidR="006B01AB" w:rsidRPr="006B01AB" w:rsidRDefault="006B01AB" w:rsidP="006B01AB">
      <w:pPr>
        <w:numPr>
          <w:ilvl w:val="0"/>
          <w:numId w:val="4"/>
        </w:numPr>
      </w:pPr>
      <w:r w:rsidRPr="006B01AB">
        <w:rPr>
          <w:b/>
          <w:bCs/>
        </w:rPr>
        <w:t>Anonymity &amp; Confidentiality</w:t>
      </w:r>
      <w:r w:rsidRPr="006B01AB">
        <w:t>: Data will be anonymized and securely stored.</w:t>
      </w:r>
    </w:p>
    <w:p w14:paraId="4AF57697" w14:textId="4C38A1A0" w:rsidR="006B01AB" w:rsidRPr="006B01AB" w:rsidRDefault="006B01AB" w:rsidP="006B01AB">
      <w:pPr>
        <w:numPr>
          <w:ilvl w:val="0"/>
          <w:numId w:val="4"/>
        </w:numPr>
      </w:pPr>
      <w:r w:rsidRPr="006B01AB">
        <w:rPr>
          <w:b/>
          <w:bCs/>
        </w:rPr>
        <w:t>Voluntary Participation</w:t>
      </w:r>
      <w:r w:rsidRPr="006B01AB">
        <w:t xml:space="preserve">: Participants may </w:t>
      </w:r>
      <w:r w:rsidR="00882EBD">
        <w:t>opt out</w:t>
      </w:r>
      <w:r w:rsidRPr="006B01AB">
        <w:t xml:space="preserve"> at any stage.</w:t>
      </w:r>
    </w:p>
    <w:p w14:paraId="45D36BE0" w14:textId="77777777" w:rsidR="006B01AB" w:rsidRPr="006B01AB" w:rsidRDefault="006B01AB" w:rsidP="006B01AB">
      <w:pPr>
        <w:numPr>
          <w:ilvl w:val="0"/>
          <w:numId w:val="4"/>
        </w:numPr>
      </w:pPr>
      <w:r w:rsidRPr="006B01AB">
        <w:rPr>
          <w:b/>
          <w:bCs/>
        </w:rPr>
        <w:t>Well-being</w:t>
      </w:r>
      <w:r w:rsidRPr="006B01AB">
        <w:t>: Emotional and cognitive strain during VR sessions will be monitored.</w:t>
      </w:r>
    </w:p>
    <w:p w14:paraId="0FA12AA8" w14:textId="77777777" w:rsidR="00882EBD" w:rsidRPr="006B01AB" w:rsidRDefault="00882EBD" w:rsidP="006B01AB"/>
    <w:p w14:paraId="1E787EA5" w14:textId="77777777" w:rsidR="006B01AB" w:rsidRPr="006B01AB" w:rsidRDefault="006B01AB" w:rsidP="006B01AB">
      <w:pPr>
        <w:rPr>
          <w:b/>
          <w:bCs/>
        </w:rPr>
      </w:pPr>
      <w:r w:rsidRPr="006B01AB">
        <w:rPr>
          <w:b/>
          <w:bCs/>
        </w:rPr>
        <w:t>References</w:t>
      </w:r>
    </w:p>
    <w:p w14:paraId="2FAB9B85" w14:textId="77777777" w:rsidR="00882EBD" w:rsidRDefault="006B01AB" w:rsidP="006B01AB">
      <w:r w:rsidRPr="006B01AB">
        <w:t xml:space="preserve">[1] J. Hamari, J. Koivisto, and H. Sarsa, “Does gamification work? — A literature review of empirical studies on gamification,” </w:t>
      </w:r>
      <w:r w:rsidRPr="006B01AB">
        <w:rPr>
          <w:i/>
          <w:iCs/>
        </w:rPr>
        <w:t>Proc. 47th Hawaii Int. Conf. Syst. Sci.</w:t>
      </w:r>
      <w:r w:rsidRPr="006B01AB">
        <w:t>, pp. 3025–3034, 2014.</w:t>
      </w:r>
    </w:p>
    <w:p w14:paraId="27CA1489" w14:textId="77777777" w:rsidR="00882EBD" w:rsidRDefault="006B01AB" w:rsidP="006B01AB">
      <w:r w:rsidRPr="006B01AB">
        <w:br/>
        <w:t xml:space="preserve">[2] P. Wouters, C. van Nimwegen, H. van Oostendorp, and E. D. van der Spek, “A meta-analysis of the cognitive and motivational effects of serious games,” </w:t>
      </w:r>
      <w:r w:rsidRPr="006B01AB">
        <w:rPr>
          <w:i/>
          <w:iCs/>
        </w:rPr>
        <w:t>Journal of Educational Psychology</w:t>
      </w:r>
      <w:r w:rsidRPr="006B01AB">
        <w:t>, vol. 105, no. 2, pp. 249–265, 2013.</w:t>
      </w:r>
    </w:p>
    <w:p w14:paraId="420D2664" w14:textId="77777777" w:rsidR="00882EBD" w:rsidRDefault="006B01AB" w:rsidP="006B01AB">
      <w:r w:rsidRPr="006B01AB">
        <w:br/>
        <w:t xml:space="preserve">[3] D. Bressler and A. Bodzin, “A mixed methods assessment of students’ flow experiences during a mobile augmented reality science game,” </w:t>
      </w:r>
      <w:r w:rsidRPr="006B01AB">
        <w:rPr>
          <w:i/>
          <w:iCs/>
        </w:rPr>
        <w:t>Journal of Computer Assisted Learning</w:t>
      </w:r>
      <w:r w:rsidRPr="006B01AB">
        <w:t>, vol. 29, no. 6, pp. 505–517, 2013.</w:t>
      </w:r>
    </w:p>
    <w:p w14:paraId="01E770B4" w14:textId="77777777" w:rsidR="00882EBD" w:rsidRDefault="006B01AB" w:rsidP="006B01AB">
      <w:r w:rsidRPr="006B01AB">
        <w:br/>
        <w:t xml:space="preserve">[4] M. B. Ibáñez, Á. Di Serio, D. Villarán, and C. Delgado Kloos, “Experimenting with electromagnetism using augmented reality: Impact on flow student experience and educational effectiveness,” </w:t>
      </w:r>
      <w:r w:rsidRPr="006B01AB">
        <w:rPr>
          <w:i/>
          <w:iCs/>
        </w:rPr>
        <w:t>Computers &amp; Education</w:t>
      </w:r>
      <w:r w:rsidRPr="006B01AB">
        <w:t>, vol. 71, pp. 1–13, 2014.</w:t>
      </w:r>
    </w:p>
    <w:p w14:paraId="0F9F3AFD" w14:textId="0D86A7FE" w:rsidR="006B01AB" w:rsidRPr="006B01AB" w:rsidRDefault="006B01AB" w:rsidP="006B01AB">
      <w:r w:rsidRPr="006B01AB">
        <w:br/>
        <w:t xml:space="preserve">[5] C. Cheong, F. Cheong, and J. Filippou, “Quick quiz: A gamified approach for enhancing learning,” </w:t>
      </w:r>
      <w:r w:rsidRPr="006B01AB">
        <w:rPr>
          <w:i/>
          <w:iCs/>
        </w:rPr>
        <w:t>Pacific Asia Conf. Information Systems</w:t>
      </w:r>
      <w:r w:rsidRPr="006B01AB">
        <w:t>, pp. 1–12, 2013.</w:t>
      </w:r>
    </w:p>
    <w:p w14:paraId="32EE6189" w14:textId="77777777" w:rsidR="007A30D2" w:rsidRDefault="007A30D2"/>
    <w:sectPr w:rsidR="007A3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A13D7"/>
    <w:multiLevelType w:val="multilevel"/>
    <w:tmpl w:val="8F0A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15BF6"/>
    <w:multiLevelType w:val="multilevel"/>
    <w:tmpl w:val="619C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B750A"/>
    <w:multiLevelType w:val="multilevel"/>
    <w:tmpl w:val="C802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B210A"/>
    <w:multiLevelType w:val="multilevel"/>
    <w:tmpl w:val="7248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340428">
    <w:abstractNumId w:val="3"/>
  </w:num>
  <w:num w:numId="2" w16cid:durableId="392042355">
    <w:abstractNumId w:val="1"/>
  </w:num>
  <w:num w:numId="3" w16cid:durableId="916326545">
    <w:abstractNumId w:val="0"/>
  </w:num>
  <w:num w:numId="4" w16cid:durableId="1733042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6B"/>
    <w:rsid w:val="001F426B"/>
    <w:rsid w:val="00245E26"/>
    <w:rsid w:val="0027643C"/>
    <w:rsid w:val="00544C50"/>
    <w:rsid w:val="00690C92"/>
    <w:rsid w:val="006B01AB"/>
    <w:rsid w:val="007004D8"/>
    <w:rsid w:val="007A30D2"/>
    <w:rsid w:val="00882EBD"/>
    <w:rsid w:val="00CF5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3D99"/>
  <w15:chartTrackingRefBased/>
  <w15:docId w15:val="{80B73C45-D6BB-4BC7-A2BB-02F6114F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4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4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26B"/>
    <w:rPr>
      <w:rFonts w:eastAsiaTheme="majorEastAsia" w:cstheme="majorBidi"/>
      <w:color w:val="272727" w:themeColor="text1" w:themeTint="D8"/>
    </w:rPr>
  </w:style>
  <w:style w:type="paragraph" w:styleId="Title">
    <w:name w:val="Title"/>
    <w:basedOn w:val="Normal"/>
    <w:next w:val="Normal"/>
    <w:link w:val="TitleChar"/>
    <w:uiPriority w:val="10"/>
    <w:qFormat/>
    <w:rsid w:val="001F4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26B"/>
    <w:pPr>
      <w:spacing w:before="160"/>
      <w:jc w:val="center"/>
    </w:pPr>
    <w:rPr>
      <w:i/>
      <w:iCs/>
      <w:color w:val="404040" w:themeColor="text1" w:themeTint="BF"/>
    </w:rPr>
  </w:style>
  <w:style w:type="character" w:customStyle="1" w:styleId="QuoteChar">
    <w:name w:val="Quote Char"/>
    <w:basedOn w:val="DefaultParagraphFont"/>
    <w:link w:val="Quote"/>
    <w:uiPriority w:val="29"/>
    <w:rsid w:val="001F426B"/>
    <w:rPr>
      <w:i/>
      <w:iCs/>
      <w:color w:val="404040" w:themeColor="text1" w:themeTint="BF"/>
    </w:rPr>
  </w:style>
  <w:style w:type="paragraph" w:styleId="ListParagraph">
    <w:name w:val="List Paragraph"/>
    <w:basedOn w:val="Normal"/>
    <w:uiPriority w:val="34"/>
    <w:qFormat/>
    <w:rsid w:val="001F426B"/>
    <w:pPr>
      <w:ind w:left="720"/>
      <w:contextualSpacing/>
    </w:pPr>
  </w:style>
  <w:style w:type="character" w:styleId="IntenseEmphasis">
    <w:name w:val="Intense Emphasis"/>
    <w:basedOn w:val="DefaultParagraphFont"/>
    <w:uiPriority w:val="21"/>
    <w:qFormat/>
    <w:rsid w:val="001F426B"/>
    <w:rPr>
      <w:i/>
      <w:iCs/>
      <w:color w:val="0F4761" w:themeColor="accent1" w:themeShade="BF"/>
    </w:rPr>
  </w:style>
  <w:style w:type="paragraph" w:styleId="IntenseQuote">
    <w:name w:val="Intense Quote"/>
    <w:basedOn w:val="Normal"/>
    <w:next w:val="Normal"/>
    <w:link w:val="IntenseQuoteChar"/>
    <w:uiPriority w:val="30"/>
    <w:qFormat/>
    <w:rsid w:val="001F4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26B"/>
    <w:rPr>
      <w:i/>
      <w:iCs/>
      <w:color w:val="0F4761" w:themeColor="accent1" w:themeShade="BF"/>
    </w:rPr>
  </w:style>
  <w:style w:type="character" w:styleId="IntenseReference">
    <w:name w:val="Intense Reference"/>
    <w:basedOn w:val="DefaultParagraphFont"/>
    <w:uiPriority w:val="32"/>
    <w:qFormat/>
    <w:rsid w:val="001F426B"/>
    <w:rPr>
      <w:b/>
      <w:bCs/>
      <w:smallCaps/>
      <w:color w:val="0F4761" w:themeColor="accent1" w:themeShade="BF"/>
      <w:spacing w:val="5"/>
    </w:rPr>
  </w:style>
  <w:style w:type="paragraph" w:customStyle="1" w:styleId="Default">
    <w:name w:val="Default"/>
    <w:rsid w:val="007004D8"/>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476726">
      <w:bodyDiv w:val="1"/>
      <w:marLeft w:val="0"/>
      <w:marRight w:val="0"/>
      <w:marTop w:val="0"/>
      <w:marBottom w:val="0"/>
      <w:divBdr>
        <w:top w:val="none" w:sz="0" w:space="0" w:color="auto"/>
        <w:left w:val="none" w:sz="0" w:space="0" w:color="auto"/>
        <w:bottom w:val="none" w:sz="0" w:space="0" w:color="auto"/>
        <w:right w:val="none" w:sz="0" w:space="0" w:color="auto"/>
      </w:divBdr>
    </w:div>
    <w:div w:id="437062513">
      <w:bodyDiv w:val="1"/>
      <w:marLeft w:val="0"/>
      <w:marRight w:val="0"/>
      <w:marTop w:val="0"/>
      <w:marBottom w:val="0"/>
      <w:divBdr>
        <w:top w:val="none" w:sz="0" w:space="0" w:color="auto"/>
        <w:left w:val="none" w:sz="0" w:space="0" w:color="auto"/>
        <w:bottom w:val="none" w:sz="0" w:space="0" w:color="auto"/>
        <w:right w:val="none" w:sz="0" w:space="0" w:color="auto"/>
      </w:divBdr>
      <w:divsChild>
        <w:div w:id="1341354324">
          <w:marLeft w:val="0"/>
          <w:marRight w:val="0"/>
          <w:marTop w:val="0"/>
          <w:marBottom w:val="0"/>
          <w:divBdr>
            <w:top w:val="none" w:sz="0" w:space="0" w:color="auto"/>
            <w:left w:val="none" w:sz="0" w:space="0" w:color="auto"/>
            <w:bottom w:val="none" w:sz="0" w:space="0" w:color="auto"/>
            <w:right w:val="none" w:sz="0" w:space="0" w:color="auto"/>
          </w:divBdr>
          <w:divsChild>
            <w:div w:id="1099369969">
              <w:marLeft w:val="0"/>
              <w:marRight w:val="0"/>
              <w:marTop w:val="0"/>
              <w:marBottom w:val="0"/>
              <w:divBdr>
                <w:top w:val="none" w:sz="0" w:space="0" w:color="auto"/>
                <w:left w:val="none" w:sz="0" w:space="0" w:color="auto"/>
                <w:bottom w:val="none" w:sz="0" w:space="0" w:color="auto"/>
                <w:right w:val="none" w:sz="0" w:space="0" w:color="auto"/>
              </w:divBdr>
            </w:div>
          </w:divsChild>
        </w:div>
        <w:div w:id="175117121">
          <w:marLeft w:val="0"/>
          <w:marRight w:val="0"/>
          <w:marTop w:val="0"/>
          <w:marBottom w:val="0"/>
          <w:divBdr>
            <w:top w:val="none" w:sz="0" w:space="0" w:color="auto"/>
            <w:left w:val="none" w:sz="0" w:space="0" w:color="auto"/>
            <w:bottom w:val="none" w:sz="0" w:space="0" w:color="auto"/>
            <w:right w:val="none" w:sz="0" w:space="0" w:color="auto"/>
          </w:divBdr>
          <w:divsChild>
            <w:div w:id="20215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5426">
      <w:bodyDiv w:val="1"/>
      <w:marLeft w:val="0"/>
      <w:marRight w:val="0"/>
      <w:marTop w:val="0"/>
      <w:marBottom w:val="0"/>
      <w:divBdr>
        <w:top w:val="none" w:sz="0" w:space="0" w:color="auto"/>
        <w:left w:val="none" w:sz="0" w:space="0" w:color="auto"/>
        <w:bottom w:val="none" w:sz="0" w:space="0" w:color="auto"/>
        <w:right w:val="none" w:sz="0" w:space="0" w:color="auto"/>
      </w:divBdr>
    </w:div>
    <w:div w:id="1072239087">
      <w:bodyDiv w:val="1"/>
      <w:marLeft w:val="0"/>
      <w:marRight w:val="0"/>
      <w:marTop w:val="0"/>
      <w:marBottom w:val="0"/>
      <w:divBdr>
        <w:top w:val="none" w:sz="0" w:space="0" w:color="auto"/>
        <w:left w:val="none" w:sz="0" w:space="0" w:color="auto"/>
        <w:bottom w:val="none" w:sz="0" w:space="0" w:color="auto"/>
        <w:right w:val="none" w:sz="0" w:space="0" w:color="auto"/>
      </w:divBdr>
    </w:div>
    <w:div w:id="1871651749">
      <w:bodyDiv w:val="1"/>
      <w:marLeft w:val="0"/>
      <w:marRight w:val="0"/>
      <w:marTop w:val="0"/>
      <w:marBottom w:val="0"/>
      <w:divBdr>
        <w:top w:val="none" w:sz="0" w:space="0" w:color="auto"/>
        <w:left w:val="none" w:sz="0" w:space="0" w:color="auto"/>
        <w:bottom w:val="none" w:sz="0" w:space="0" w:color="auto"/>
        <w:right w:val="none" w:sz="0" w:space="0" w:color="auto"/>
      </w:divBdr>
      <w:divsChild>
        <w:div w:id="771626615">
          <w:marLeft w:val="0"/>
          <w:marRight w:val="0"/>
          <w:marTop w:val="0"/>
          <w:marBottom w:val="0"/>
          <w:divBdr>
            <w:top w:val="none" w:sz="0" w:space="0" w:color="auto"/>
            <w:left w:val="none" w:sz="0" w:space="0" w:color="auto"/>
            <w:bottom w:val="none" w:sz="0" w:space="0" w:color="auto"/>
            <w:right w:val="none" w:sz="0" w:space="0" w:color="auto"/>
          </w:divBdr>
          <w:divsChild>
            <w:div w:id="1439176350">
              <w:marLeft w:val="0"/>
              <w:marRight w:val="0"/>
              <w:marTop w:val="0"/>
              <w:marBottom w:val="0"/>
              <w:divBdr>
                <w:top w:val="none" w:sz="0" w:space="0" w:color="auto"/>
                <w:left w:val="none" w:sz="0" w:space="0" w:color="auto"/>
                <w:bottom w:val="none" w:sz="0" w:space="0" w:color="auto"/>
                <w:right w:val="none" w:sz="0" w:space="0" w:color="auto"/>
              </w:divBdr>
            </w:div>
          </w:divsChild>
        </w:div>
        <w:div w:id="1682856243">
          <w:marLeft w:val="0"/>
          <w:marRight w:val="0"/>
          <w:marTop w:val="0"/>
          <w:marBottom w:val="0"/>
          <w:divBdr>
            <w:top w:val="none" w:sz="0" w:space="0" w:color="auto"/>
            <w:left w:val="none" w:sz="0" w:space="0" w:color="auto"/>
            <w:bottom w:val="none" w:sz="0" w:space="0" w:color="auto"/>
            <w:right w:val="none" w:sz="0" w:space="0" w:color="auto"/>
          </w:divBdr>
          <w:divsChild>
            <w:div w:id="1648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Zammit</dc:creator>
  <cp:keywords/>
  <dc:description/>
  <cp:lastModifiedBy>Jake Zammit</cp:lastModifiedBy>
  <cp:revision>5</cp:revision>
  <dcterms:created xsi:type="dcterms:W3CDTF">2025-04-28T12:41:00Z</dcterms:created>
  <dcterms:modified xsi:type="dcterms:W3CDTF">2025-04-28T14:16:00Z</dcterms:modified>
</cp:coreProperties>
</file>