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 w:line="312" w:lineRule="auto"/>
        <w:jc w:val="center"/>
      </w:pPr>
      <w:r>
        <w:rPr>
          <w:rFonts w:ascii="黑体" w:hAnsi="黑体" w:eastAsia="黑体"/>
          <w:b/>
          <w:sz w:val="36"/>
        </w:rPr>
        <w:t>XX大学科研经费报销实施细则</w:t>
      </w:r>
    </w:p>
    <w:p>
      <w:pPr>
        <w:spacing w:before="0" w:after="80" w:line="288" w:lineRule="auto"/>
        <w:jc w:val="center"/>
      </w:pPr>
      <w:r>
        <w:rPr>
          <w:rFonts w:ascii="宋体" w:hAnsi="宋体" w:eastAsia="宋体"/>
          <w:b w:val="0"/>
          <w:sz w:val="22"/>
        </w:rPr>
        <w:t>校发〔2024〕38号</w:t>
      </w:r>
    </w:p>
    <w:p>
      <w:pPr>
        <w:spacing w:before="0" w:after="40" w:line="288" w:lineRule="auto"/>
        <w:jc w:val="center"/>
      </w:pPr>
      <w:r>
        <w:rPr>
          <w:rFonts w:ascii="宋体" w:hAnsi="宋体" w:eastAsia="宋体"/>
          <w:b w:val="0"/>
          <w:sz w:val="21"/>
        </w:rPr>
        <w:t>2024年版    归口部门：教务处、科研院、财务处</w:t>
      </w:r>
    </w:p>
    <w:p>
      <w:pPr>
        <w:spacing w:before="0" w:after="360" w:line="288" w:lineRule="auto"/>
        <w:jc w:val="center"/>
      </w:pPr>
      <w:r>
        <w:rPr>
          <w:rFonts w:ascii="宋体" w:hAnsi="宋体" w:eastAsia="宋体"/>
          <w:b w:val="0"/>
          <w:sz w:val="21"/>
        </w:rPr>
        <w:t>施行日期：2024-05-01</w:t>
      </w:r>
    </w:p>
    <w:p>
      <w:pPr>
        <w:spacing w:before="200" w:after="80" w:line="360" w:lineRule="auto"/>
      </w:pPr>
      <w:r>
        <w:rPr>
          <w:rFonts w:ascii="黑体" w:hAnsi="黑体" w:eastAsia="黑体"/>
          <w:b/>
          <w:sz w:val="28"/>
        </w:rPr>
        <w:t>第一章  总则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第一条  为规范学校科研经费报销管理，提高资金使用效益，根据《高等学校科研经费管理办法》和学校财务管理制度，结合学校实际，制定本细则。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第二条  本细则适用于学校承担的纵向科研项目、横向科研项目、校级科研项目及人才项目经费的报销管理。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第三条  教务处、科研院负责科研项目的归口管理和预算审核，财务处负责报销审核、会计核算和资金支付，学院（研究院）负责原始票据和业务真实性的初审。</w:t>
      </w:r>
    </w:p>
    <w:p>
      <w:pPr>
        <w:spacing w:before="200" w:after="80" w:line="360" w:lineRule="auto"/>
      </w:pPr>
      <w:r>
        <w:rPr>
          <w:rFonts w:ascii="黑体" w:hAnsi="黑体" w:eastAsia="黑体"/>
          <w:b/>
          <w:sz w:val="28"/>
        </w:rPr>
        <w:t>第二章  开支范围与标准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第四条  科研经费直接费用包括设备费、材料费、测试化验加工费、燃料动力费、差旅费、会议费、国际合作与交流费、出版/文献/信息传播/知识产权事务费、劳务费、专家咨询费和其他支出。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第五条  国内差旅费按照地区和人员类别标准执行，住宿费凭合法票据在标准限额内据实报销，城市间交通费凭票据报销；伙食补助费标准为100元/人·天，市内交通费标准为80元/人·天。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第六条  主办或者承办学术会议，会议费标准为400元/人·天，开支范围包括场地租金、资料印刷、会议用餐等；参会人员的差旅费按照差旅费管理规定另行报销。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第七条  劳务费用于支付参与项目研究的研究生、博士后、访问学者以及项目聘用人员的劳务报酬。研究生劳务费标准不超过2000元/人·月，项目聘用人员凭劳动合同和完税凭证报销。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第八条  专家咨询费标准为：高级专业技术职称人员800元/人·天，其他人员500元/人·天。咨询活动应当提供邀请函、签到表和书面咨询意见。</w:t>
      </w:r>
    </w:p>
    <w:p>
      <w:pPr>
        <w:spacing w:before="120" w:after="60" w:line="288" w:lineRule="auto"/>
        <w:jc w:val="center"/>
      </w:pPr>
      <w:r>
        <w:rPr>
          <w:rFonts w:ascii="黑体" w:hAnsi="黑体" w:eastAsia="黑体"/>
          <w:b/>
          <w:sz w:val="21"/>
        </w:rPr>
        <w:t>科研经费部分支出报销标准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序号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支出项目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标准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主要凭据</w:t>
            </w:r>
          </w:p>
        </w:tc>
      </w:tr>
      <w:tr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国内差旅住宿费（一类地区）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650元/人·天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住宿发票、出差审批单</w:t>
            </w:r>
          </w:p>
        </w:tc>
      </w:tr>
      <w:tr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国内差旅住宿费（二类地区）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550元/人·天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住宿发票、出差审批单</w:t>
            </w:r>
          </w:p>
        </w:tc>
      </w:tr>
      <w:tr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伙食补助费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100元/人·天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出差审批单</w:t>
            </w:r>
          </w:p>
        </w:tc>
      </w:tr>
      <w:tr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会议费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400元/人·天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会议通知、签到表、发票</w:t>
            </w:r>
          </w:p>
        </w:tc>
      </w:tr>
      <w:tr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专家咨询费（高级职称）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800元/人·天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邀请函、签到表、咨询意见</w:t>
            </w:r>
          </w:p>
        </w:tc>
      </w:tr>
      <w:tr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研究生劳务费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不超过2000元/人·月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劳务协议、考勤记录</w:t>
            </w:r>
          </w:p>
        </w:tc>
      </w:tr>
    </w:tbl>
    <w:p/>
    <w:p>
      <w:pPr>
        <w:spacing w:before="200" w:after="80" w:line="360" w:lineRule="auto"/>
      </w:pPr>
      <w:r>
        <w:rPr>
          <w:rFonts w:ascii="黑体" w:hAnsi="黑体" w:eastAsia="黑体"/>
          <w:b/>
          <w:sz w:val="28"/>
        </w:rPr>
        <w:t>第三章  报销流程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第九条  报销票据应当合法有效，发票抬头为“XX大学”，纳税人识别号准确完整；电子发票应当通过财务系统查验并防止重复报销，单张金额1000元以上的票据应当附明细清单。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第十条  科研经费报销实行分级审批：单笔5万元以下的，由项目负责人签字、学院科研秘书审核；单笔5万元（含）至20万元的，由学院分管科研负责人审批；单笔20万元（含）至50万元的，由科研院审核、财务处复核；单笔50万元（含）以上的，报分管校领导审批。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第十一条  费用原则上应当在发生后3个月内报销，最长不得超过项目执行期结束后1个月。跨年度票据报销应当附情况说明，经科研院和财务处同意后办理。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第十二条  报销人应当通过财务网上报销系统提交申请，上传票据影像，经审批通过后按预约时间投递纸质票据，财务处审核无误后办理支付。</w:t>
      </w:r>
    </w:p>
    <w:p>
      <w:pPr>
        <w:spacing w:before="200" w:after="80" w:line="360" w:lineRule="auto"/>
      </w:pPr>
      <w:r>
        <w:rPr>
          <w:rFonts w:ascii="黑体" w:hAnsi="黑体" w:eastAsia="黑体"/>
          <w:b/>
          <w:sz w:val="28"/>
        </w:rPr>
        <w:t>第四章  监督与责任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第十三条  严禁虚开发票、虚构劳务、拆分报销、套取或者挪用科研经费。项目负责人对报销业务的真实性、合法性承担第一责任。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第十四条  科研院、财务处、审计处应当定期开展联合抽查，重点核查大额支出、劳务费和专家咨询费；发现问题的，暂停该项目报销并限期整改。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第十五条  违反本细则的，按照学校科研经费管理和教职工处分有关规定处理；涉嫌违法犯罪的，移送有关机关处理。</w:t>
      </w:r>
    </w:p>
    <w:p>
      <w:pPr>
        <w:spacing w:before="200" w:after="80" w:line="360" w:lineRule="auto"/>
      </w:pPr>
      <w:r>
        <w:rPr>
          <w:rFonts w:ascii="黑体" w:hAnsi="黑体" w:eastAsia="黑体"/>
          <w:b/>
          <w:sz w:val="28"/>
        </w:rPr>
        <w:t>第五章  附则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第十六条  本细则由科研院、财务处负责解释。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第十七条  本细则自2024年5月1日起施行，原《XX大学科研经费报销管理办法》同时废止。</w:t>
      </w:r>
    </w:p>
    <w:sectPr w:rsidR="00FC693F" w:rsidRPr="0006063C" w:rsidSect="00034616"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XX大学科研经费报销实施细则</dc:title>
  <dc:subject>校发〔2024〕38号</dc:subject>
  <dc:creator>XX大学</dc:creator>
  <cp:keywords>制度;样例;PolicyRAG</cp:keywords>
  <dc:description>2024年版，科研院、财务处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