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EB498B"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Recursividad.</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EB498B" w:rsidRDefault="00EB498B" w:rsidP="00DA2341">
      <w:pPr>
        <w:spacing w:after="0" w:line="360" w:lineRule="auto"/>
        <w:jc w:val="center"/>
        <w:rPr>
          <w:rFonts w:ascii="Times New Roman" w:eastAsia="Times New Roman" w:hAnsi="Times New Roman" w:cs="Times New Roman"/>
          <w:sz w:val="28"/>
          <w:szCs w:val="28"/>
          <w:lang w:eastAsia="es-ES"/>
        </w:rPr>
      </w:pPr>
      <w:proofErr w:type="spellStart"/>
      <w:r w:rsidRPr="00EB498B">
        <w:rPr>
          <w:rFonts w:ascii="Times New Roman" w:eastAsia="Times New Roman" w:hAnsi="Times New Roman" w:cs="Times New Roman"/>
          <w:sz w:val="28"/>
          <w:szCs w:val="28"/>
          <w:lang w:eastAsia="es-ES"/>
        </w:rPr>
        <w:t>Recursion</w:t>
      </w:r>
      <w:proofErr w:type="spellEnd"/>
      <w:r w:rsidRPr="00EB498B">
        <w:rPr>
          <w:rFonts w:ascii="Times New Roman" w:eastAsia="Times New Roman" w:hAnsi="Times New Roman" w:cs="Times New Roman"/>
          <w:sz w:val="28"/>
          <w:szCs w:val="28"/>
          <w:lang w:eastAsia="es-ES"/>
        </w:rPr>
        <w:t>.</w:t>
      </w:r>
    </w:p>
    <w:p w:rsidR="00DA2341" w:rsidRPr="00EB498B" w:rsidRDefault="00DA2341" w:rsidP="00DA2341">
      <w:pPr>
        <w:spacing w:after="0" w:line="240" w:lineRule="auto"/>
        <w:jc w:val="center"/>
        <w:rPr>
          <w:rFonts w:ascii="Times New Roman" w:eastAsia="Times New Roman" w:hAnsi="Times New Roman" w:cs="Times New Roman"/>
          <w:bCs/>
          <w:sz w:val="20"/>
          <w:szCs w:val="20"/>
          <w:lang w:eastAsia="es-ES"/>
        </w:rPr>
      </w:pPr>
    </w:p>
    <w:p w:rsidR="00EB498B"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EB498B">
        <w:rPr>
          <w:rFonts w:ascii="Times New Roman" w:eastAsia="Times New Roman" w:hAnsi="Times New Roman" w:cs="Times New Roman"/>
          <w:lang w:val="es-ES" w:eastAsia="es-ES"/>
        </w:rPr>
        <w:t xml:space="preserve">Juan Manuel Tamayo </w:t>
      </w:r>
      <w:proofErr w:type="spellStart"/>
      <w:r w:rsidR="00EB498B">
        <w:rPr>
          <w:rFonts w:ascii="Times New Roman" w:eastAsia="Times New Roman" w:hAnsi="Times New Roman" w:cs="Times New Roman"/>
          <w:lang w:val="es-ES" w:eastAsia="es-ES"/>
        </w:rPr>
        <w:t>Garcia</w:t>
      </w:r>
      <w:proofErr w:type="spellEnd"/>
      <w:r w:rsidRPr="00DA2341">
        <w:rPr>
          <w:rFonts w:ascii="Times New Roman" w:eastAsia="Times New Roman" w:hAnsi="Times New Roman" w:cs="Times New Roman"/>
          <w:lang w:val="es-ES" w:eastAsia="es-ES"/>
        </w:rPr>
        <w:t xml:space="preserve"> </w:t>
      </w:r>
    </w:p>
    <w:p w:rsidR="00DA2341" w:rsidRPr="00DA2341" w:rsidRDefault="00EB498B"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EB498B">
        <w:rPr>
          <w:rFonts w:ascii="Courier New" w:eastAsia="Times New Roman" w:hAnsi="Courier New" w:cs="Courier New"/>
          <w:sz w:val="18"/>
          <w:szCs w:val="18"/>
          <w:lang w:val="es-ES" w:eastAsia="es-ES"/>
        </w:rPr>
        <w:t>juanmanuel.tamayo@utp.edu.co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186253" w:rsidRDefault="00DA2341" w:rsidP="00186253">
      <w:pPr>
        <w:autoSpaceDE w:val="0"/>
        <w:autoSpaceDN w:val="0"/>
        <w:spacing w:before="20"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w:t>
      </w:r>
    </w:p>
    <w:p w:rsidR="00925B2F" w:rsidRPr="00DA2341" w:rsidRDefault="00925B2F" w:rsidP="00186253">
      <w:pPr>
        <w:autoSpaceDE w:val="0"/>
        <w:autoSpaceDN w:val="0"/>
        <w:spacing w:before="20" w:after="0" w:line="240" w:lineRule="auto"/>
        <w:jc w:val="both"/>
        <w:rPr>
          <w:rFonts w:ascii="Arial" w:eastAsia="Times New Roman" w:hAnsi="Arial" w:cs="Times New Roman"/>
          <w:szCs w:val="24"/>
        </w:rPr>
      </w:pPr>
    </w:p>
    <w:p w:rsidR="00DA2341" w:rsidRPr="00982A1B" w:rsidRDefault="00DA2341" w:rsidP="00DA2341">
      <w:pPr>
        <w:spacing w:after="0" w:line="240" w:lineRule="auto"/>
        <w:jc w:val="both"/>
        <w:rPr>
          <w:rFonts w:ascii="Times New Roman" w:eastAsia="Times New Roman" w:hAnsi="Times New Roman" w:cs="Times New Roman"/>
          <w:b/>
          <w:sz w:val="18"/>
          <w:szCs w:val="24"/>
          <w:lang w:eastAsia="es-ES"/>
        </w:rPr>
      </w:pPr>
      <w:r w:rsidRPr="00982A1B">
        <w:rPr>
          <w:rFonts w:ascii="Times New Roman" w:eastAsia="Times New Roman" w:hAnsi="Times New Roman" w:cs="Times New Roman"/>
          <w:b/>
          <w:i/>
          <w:sz w:val="18"/>
          <w:szCs w:val="24"/>
          <w:lang w:eastAsia="es-ES"/>
        </w:rPr>
        <w:t xml:space="preserve">Palabras clave— </w:t>
      </w:r>
      <w:r w:rsidR="00982A1B" w:rsidRPr="00982A1B">
        <w:rPr>
          <w:rFonts w:ascii="Times New Roman" w:eastAsia="Times New Roman" w:hAnsi="Times New Roman" w:cs="Times New Roman"/>
          <w:b/>
          <w:sz w:val="18"/>
          <w:szCs w:val="24"/>
          <w:lang w:eastAsia="es-ES"/>
        </w:rPr>
        <w:t xml:space="preserve"> Bucles, recursividad, </w:t>
      </w:r>
      <w:proofErr w:type="spellStart"/>
      <w:r w:rsidR="00982A1B" w:rsidRPr="00982A1B">
        <w:rPr>
          <w:rFonts w:ascii="Times New Roman" w:eastAsia="Times New Roman" w:hAnsi="Times New Roman" w:cs="Times New Roman"/>
          <w:b/>
          <w:sz w:val="18"/>
          <w:szCs w:val="24"/>
          <w:lang w:eastAsia="es-ES"/>
        </w:rPr>
        <w:t>Gödel</w:t>
      </w:r>
      <w:proofErr w:type="spellEnd"/>
      <w:r w:rsidR="00982A1B" w:rsidRPr="00982A1B">
        <w:rPr>
          <w:rFonts w:ascii="Times New Roman" w:eastAsia="Times New Roman" w:hAnsi="Times New Roman" w:cs="Times New Roman"/>
          <w:b/>
          <w:sz w:val="18"/>
          <w:szCs w:val="24"/>
          <w:lang w:eastAsia="es-ES"/>
        </w:rPr>
        <w:t xml:space="preserve">, </w:t>
      </w:r>
      <w:proofErr w:type="spellStart"/>
      <w:r w:rsidR="00982A1B">
        <w:rPr>
          <w:rFonts w:ascii="Times New Roman" w:eastAsia="Times New Roman" w:hAnsi="Times New Roman" w:cs="Times New Roman"/>
          <w:b/>
          <w:sz w:val="18"/>
          <w:szCs w:val="24"/>
          <w:lang w:eastAsia="es-ES"/>
        </w:rPr>
        <w:t>Escher</w:t>
      </w:r>
      <w:proofErr w:type="spellEnd"/>
      <w:r w:rsidR="00982A1B">
        <w:rPr>
          <w:rFonts w:ascii="Times New Roman" w:eastAsia="Times New Roman" w:hAnsi="Times New Roman" w:cs="Times New Roman"/>
          <w:b/>
          <w:sz w:val="18"/>
          <w:szCs w:val="24"/>
          <w:lang w:eastAsia="es-ES"/>
        </w:rPr>
        <w:t>, Bach</w:t>
      </w:r>
      <w:r w:rsidR="00925B2F">
        <w:rPr>
          <w:rFonts w:ascii="Times New Roman" w:eastAsia="Times New Roman" w:hAnsi="Times New Roman" w:cs="Times New Roman"/>
          <w:b/>
          <w:sz w:val="18"/>
          <w:szCs w:val="24"/>
          <w:lang w:eastAsia="es-ES"/>
        </w:rPr>
        <w:t xml:space="preserve">, bucle infinito, </w:t>
      </w:r>
      <w:proofErr w:type="spellStart"/>
      <w:r w:rsidR="00925B2F">
        <w:rPr>
          <w:rFonts w:ascii="Times New Roman" w:eastAsia="Times New Roman" w:hAnsi="Times New Roman" w:cs="Times New Roman"/>
          <w:b/>
          <w:sz w:val="18"/>
          <w:szCs w:val="24"/>
          <w:lang w:eastAsia="es-ES"/>
        </w:rPr>
        <w:t>matematicas</w:t>
      </w:r>
      <w:proofErr w:type="spellEnd"/>
      <w:r w:rsidR="00982A1B">
        <w:rPr>
          <w:rFonts w:ascii="Times New Roman" w:eastAsia="Times New Roman" w:hAnsi="Times New Roman" w:cs="Times New Roman"/>
          <w:b/>
          <w:sz w:val="18"/>
          <w:szCs w:val="24"/>
          <w:lang w:eastAsia="es-ES"/>
        </w:rPr>
        <w:t>.</w:t>
      </w:r>
    </w:p>
    <w:p w:rsidR="00DA2341" w:rsidRPr="00982A1B"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6B29DB"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6B29DB">
        <w:rPr>
          <w:rFonts w:ascii="Times New Roman" w:eastAsia="Times New Roman" w:hAnsi="Times New Roman" w:cs="Times New Roman"/>
          <w:b/>
          <w:bCs/>
          <w:i/>
          <w:iCs/>
          <w:sz w:val="18"/>
          <w:szCs w:val="18"/>
          <w:lang w:val="en-US"/>
        </w:rPr>
        <w:t>Abstract</w:t>
      </w:r>
      <w:r w:rsidRPr="006B29DB">
        <w:rPr>
          <w:rFonts w:ascii="Times New Roman" w:eastAsia="Times New Roman" w:hAnsi="Times New Roman" w:cs="Times New Roman"/>
          <w:b/>
          <w:bCs/>
          <w:sz w:val="18"/>
          <w:szCs w:val="18"/>
          <w:lang w:val="en-US"/>
        </w:rPr>
        <w:t xml:space="preserve">— </w:t>
      </w:r>
    </w:p>
    <w:p w:rsidR="00DA2341" w:rsidRPr="006B29DB"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982A1B">
        <w:rPr>
          <w:rFonts w:ascii="Times New Roman" w:eastAsia="Times New Roman" w:hAnsi="Times New Roman" w:cs="Times New Roman"/>
          <w:b/>
          <w:bCs/>
          <w:sz w:val="18"/>
          <w:szCs w:val="18"/>
          <w:lang w:val="en-US"/>
        </w:rPr>
        <w:t xml:space="preserve"> Loops, Recursion, Gödel, Escher, Bach.</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Default="00925B2F" w:rsidP="00DA234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Se dice recursividad, todo un proceso de infinidad, en el cual tres grandes personas se empeñaron en expresar el bucle infinito</w:t>
      </w:r>
      <w:r w:rsidR="00D20951">
        <w:rPr>
          <w:rFonts w:ascii="Times New Roman" w:eastAsia="Times New Roman" w:hAnsi="Times New Roman" w:cs="Times New Roman"/>
          <w:sz w:val="20"/>
          <w:szCs w:val="24"/>
          <w:lang w:val="es-ES_tradnl" w:eastAsia="es-ES"/>
        </w:rPr>
        <w:t xml:space="preserve">, tales fueron como </w:t>
      </w:r>
      <w:proofErr w:type="spellStart"/>
      <w:r w:rsidR="00D20951">
        <w:rPr>
          <w:rFonts w:ascii="Times New Roman" w:eastAsia="Times New Roman" w:hAnsi="Times New Roman" w:cs="Times New Roman"/>
          <w:sz w:val="20"/>
          <w:szCs w:val="24"/>
          <w:lang w:val="es-ES_tradnl" w:eastAsia="es-ES"/>
        </w:rPr>
        <w:t>Gödel</w:t>
      </w:r>
      <w:proofErr w:type="spellEnd"/>
      <w:r w:rsidR="00D20951">
        <w:rPr>
          <w:rFonts w:ascii="Times New Roman" w:eastAsia="Times New Roman" w:hAnsi="Times New Roman" w:cs="Times New Roman"/>
          <w:sz w:val="20"/>
          <w:szCs w:val="24"/>
          <w:lang w:val="es-ES_tradnl" w:eastAsia="es-ES"/>
        </w:rPr>
        <w:t xml:space="preserve">, </w:t>
      </w:r>
      <w:proofErr w:type="spellStart"/>
      <w:r w:rsidR="00D20951">
        <w:rPr>
          <w:rFonts w:ascii="Times New Roman" w:eastAsia="Times New Roman" w:hAnsi="Times New Roman" w:cs="Times New Roman"/>
          <w:sz w:val="20"/>
          <w:szCs w:val="24"/>
          <w:lang w:val="es-ES_tradnl" w:eastAsia="es-ES"/>
        </w:rPr>
        <w:t>Escher</w:t>
      </w:r>
      <w:proofErr w:type="spellEnd"/>
      <w:r w:rsidR="00D20951">
        <w:rPr>
          <w:rFonts w:ascii="Times New Roman" w:eastAsia="Times New Roman" w:hAnsi="Times New Roman" w:cs="Times New Roman"/>
          <w:sz w:val="20"/>
          <w:szCs w:val="24"/>
          <w:lang w:val="es-ES_tradnl" w:eastAsia="es-ES"/>
        </w:rPr>
        <w:t xml:space="preserve"> y Bach (GEB).</w:t>
      </w:r>
    </w:p>
    <w:p w:rsidR="00D20951" w:rsidRPr="00DA2341" w:rsidRDefault="00D20951" w:rsidP="00DA234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Para entender la recursividad, hay que entender la recursividad.</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B90E9A" w:rsidRDefault="00B90E9A" w:rsidP="00B90E9A">
      <w:pPr>
        <w:spacing w:after="0" w:line="240" w:lineRule="auto"/>
        <w:ind w:left="1800"/>
        <w:jc w:val="both"/>
        <w:outlineLvl w:val="2"/>
        <w:rPr>
          <w:rFonts w:ascii="Times New Roman" w:eastAsia="Times New Roman" w:hAnsi="Times New Roman" w:cs="Times New Roman"/>
          <w:bCs/>
          <w:sz w:val="20"/>
          <w:szCs w:val="20"/>
          <w:lang w:val="es-ES" w:eastAsia="es-ES"/>
        </w:rPr>
      </w:pPr>
    </w:p>
    <w:p w:rsidR="00925B2F" w:rsidRDefault="00925B2F" w:rsidP="00925B2F">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sidRPr="00925B2F">
        <w:rPr>
          <w:rFonts w:ascii="Times New Roman" w:eastAsia="Times New Roman" w:hAnsi="Times New Roman" w:cs="Times New Roman"/>
          <w:bCs/>
          <w:sz w:val="20"/>
          <w:szCs w:val="20"/>
          <w:lang w:val="es-ES" w:eastAsia="es-ES"/>
        </w:rPr>
        <w:t>Bucle infinito</w:t>
      </w:r>
    </w:p>
    <w:p w:rsidR="00925B2F" w:rsidRDefault="00925B2F" w:rsidP="00925B2F">
      <w:pPr>
        <w:spacing w:after="0" w:line="240" w:lineRule="auto"/>
        <w:jc w:val="both"/>
        <w:outlineLvl w:val="2"/>
        <w:rPr>
          <w:rFonts w:ascii="Times New Roman" w:eastAsia="Times New Roman" w:hAnsi="Times New Roman" w:cs="Times New Roman"/>
          <w:bCs/>
          <w:sz w:val="20"/>
          <w:szCs w:val="20"/>
          <w:lang w:val="es-ES" w:eastAsia="es-ES"/>
        </w:rPr>
      </w:pPr>
    </w:p>
    <w:p w:rsidR="00925B2F" w:rsidRDefault="00925B2F" w:rsidP="00925B2F">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La verdad de algo, se </w:t>
      </w:r>
      <w:r w:rsidR="00D20951">
        <w:rPr>
          <w:rFonts w:ascii="Times New Roman" w:eastAsia="Times New Roman" w:hAnsi="Times New Roman" w:cs="Times New Roman"/>
          <w:bCs/>
          <w:sz w:val="20"/>
          <w:szCs w:val="20"/>
          <w:lang w:val="es-ES" w:eastAsia="es-ES"/>
        </w:rPr>
        <w:t>encuentra</w:t>
      </w:r>
      <w:r>
        <w:rPr>
          <w:rFonts w:ascii="Times New Roman" w:eastAsia="Times New Roman" w:hAnsi="Times New Roman" w:cs="Times New Roman"/>
          <w:bCs/>
          <w:sz w:val="20"/>
          <w:szCs w:val="20"/>
          <w:lang w:val="es-ES" w:eastAsia="es-ES"/>
        </w:rPr>
        <w:t xml:space="preserve"> inmerso en sus partes, la gran verdad, es que se puede ver desde fuera, </w:t>
      </w:r>
      <w:r w:rsidR="00D20951">
        <w:rPr>
          <w:rFonts w:ascii="Times New Roman" w:eastAsia="Times New Roman" w:hAnsi="Times New Roman" w:cs="Times New Roman"/>
          <w:bCs/>
          <w:sz w:val="20"/>
          <w:szCs w:val="20"/>
          <w:lang w:val="es-ES" w:eastAsia="es-ES"/>
        </w:rPr>
        <w:t>también</w:t>
      </w:r>
      <w:r>
        <w:rPr>
          <w:rFonts w:ascii="Times New Roman" w:eastAsia="Times New Roman" w:hAnsi="Times New Roman" w:cs="Times New Roman"/>
          <w:bCs/>
          <w:sz w:val="20"/>
          <w:szCs w:val="20"/>
          <w:lang w:val="es-ES" w:eastAsia="es-ES"/>
        </w:rPr>
        <w:t xml:space="preserve"> </w:t>
      </w:r>
      <w:r w:rsidR="00D20951">
        <w:rPr>
          <w:rFonts w:ascii="Times New Roman" w:eastAsia="Times New Roman" w:hAnsi="Times New Roman" w:cs="Times New Roman"/>
          <w:bCs/>
          <w:sz w:val="20"/>
          <w:szCs w:val="20"/>
          <w:lang w:val="es-ES" w:eastAsia="es-ES"/>
        </w:rPr>
        <w:t>está</w:t>
      </w:r>
      <w:r>
        <w:rPr>
          <w:rFonts w:ascii="Times New Roman" w:eastAsia="Times New Roman" w:hAnsi="Times New Roman" w:cs="Times New Roman"/>
          <w:bCs/>
          <w:sz w:val="20"/>
          <w:szCs w:val="20"/>
          <w:lang w:val="es-ES" w:eastAsia="es-ES"/>
        </w:rPr>
        <w:t xml:space="preserve"> adentro, </w:t>
      </w:r>
      <w:r w:rsidR="00D20951">
        <w:rPr>
          <w:rFonts w:ascii="Times New Roman" w:eastAsia="Times New Roman" w:hAnsi="Times New Roman" w:cs="Times New Roman"/>
          <w:bCs/>
          <w:sz w:val="20"/>
          <w:szCs w:val="20"/>
          <w:lang w:val="es-ES" w:eastAsia="es-ES"/>
        </w:rPr>
        <w:t>lo que inicia  desde dentro, inicia desde afuera, esa es la gran verdad es, nada termina, todo comienza.</w:t>
      </w:r>
    </w:p>
    <w:p w:rsidR="00D20951" w:rsidRDefault="00D20951" w:rsidP="00925B2F">
      <w:pPr>
        <w:spacing w:after="0" w:line="240" w:lineRule="auto"/>
        <w:jc w:val="both"/>
        <w:outlineLvl w:val="2"/>
        <w:rPr>
          <w:rFonts w:ascii="Times New Roman" w:eastAsia="Times New Roman" w:hAnsi="Times New Roman" w:cs="Times New Roman"/>
          <w:bCs/>
          <w:sz w:val="20"/>
          <w:szCs w:val="20"/>
          <w:lang w:val="es-ES" w:eastAsia="es-ES"/>
        </w:rPr>
      </w:pPr>
    </w:p>
    <w:p w:rsidR="00D20951" w:rsidRDefault="00D20951" w:rsidP="00D20951">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proofErr w:type="spellStart"/>
      <w:r>
        <w:rPr>
          <w:rFonts w:ascii="Times New Roman" w:eastAsia="Times New Roman" w:hAnsi="Times New Roman" w:cs="Times New Roman"/>
          <w:bCs/>
          <w:sz w:val="20"/>
          <w:szCs w:val="20"/>
          <w:lang w:val="es-ES" w:eastAsia="es-ES"/>
        </w:rPr>
        <w:t>Gödel</w:t>
      </w:r>
      <w:proofErr w:type="spellEnd"/>
      <w:r>
        <w:rPr>
          <w:rFonts w:ascii="Times New Roman" w:eastAsia="Times New Roman" w:hAnsi="Times New Roman" w:cs="Times New Roman"/>
          <w:bCs/>
          <w:sz w:val="20"/>
          <w:szCs w:val="20"/>
          <w:lang w:val="es-ES" w:eastAsia="es-ES"/>
        </w:rPr>
        <w:t xml:space="preserve"> </w:t>
      </w:r>
    </w:p>
    <w:p w:rsidR="00D20951" w:rsidRDefault="00D20951" w:rsidP="00D20951">
      <w:pPr>
        <w:spacing w:after="0" w:line="240" w:lineRule="auto"/>
        <w:jc w:val="both"/>
        <w:outlineLvl w:val="2"/>
        <w:rPr>
          <w:rFonts w:ascii="Times New Roman" w:eastAsia="Times New Roman" w:hAnsi="Times New Roman" w:cs="Times New Roman"/>
          <w:bCs/>
          <w:sz w:val="20"/>
          <w:szCs w:val="20"/>
          <w:lang w:val="es-ES" w:eastAsia="es-ES"/>
        </w:rPr>
      </w:pPr>
    </w:p>
    <w:p w:rsidR="00D20951" w:rsidRDefault="00D20951" w:rsidP="00D20951">
      <w:pPr>
        <w:spacing w:after="0" w:line="240" w:lineRule="auto"/>
        <w:jc w:val="both"/>
        <w:outlineLvl w:val="2"/>
        <w:rPr>
          <w:rFonts w:ascii="Times New Roman" w:eastAsia="Times New Roman" w:hAnsi="Times New Roman" w:cs="Times New Roman"/>
          <w:bCs/>
          <w:sz w:val="20"/>
          <w:szCs w:val="20"/>
          <w:lang w:val="es-ES" w:eastAsia="es-ES"/>
        </w:rPr>
      </w:pPr>
      <w:proofErr w:type="spellStart"/>
      <w:r>
        <w:rPr>
          <w:rFonts w:ascii="Times New Roman" w:eastAsia="Times New Roman" w:hAnsi="Times New Roman" w:cs="Times New Roman"/>
          <w:bCs/>
          <w:sz w:val="20"/>
          <w:szCs w:val="20"/>
          <w:lang w:val="es-ES" w:eastAsia="es-ES"/>
        </w:rPr>
        <w:t>Gödel</w:t>
      </w:r>
      <w:proofErr w:type="spellEnd"/>
      <w:r>
        <w:rPr>
          <w:rFonts w:ascii="Times New Roman" w:eastAsia="Times New Roman" w:hAnsi="Times New Roman" w:cs="Times New Roman"/>
          <w:bCs/>
          <w:sz w:val="20"/>
          <w:szCs w:val="20"/>
          <w:lang w:val="es-ES" w:eastAsia="es-ES"/>
        </w:rPr>
        <w:t xml:space="preserve">, </w:t>
      </w:r>
      <w:r w:rsidRPr="00D20951">
        <w:rPr>
          <w:rFonts w:ascii="Times New Roman" w:eastAsia="Times New Roman" w:hAnsi="Times New Roman" w:cs="Times New Roman"/>
          <w:bCs/>
          <w:sz w:val="20"/>
          <w:szCs w:val="20"/>
          <w:lang w:val="es-ES" w:eastAsia="es-ES"/>
        </w:rPr>
        <w:t xml:space="preserve">Se le conoce sobre todo por sus dos teoremas de la </w:t>
      </w:r>
      <w:proofErr w:type="spellStart"/>
      <w:r w:rsidRPr="00D20951">
        <w:rPr>
          <w:rFonts w:ascii="Times New Roman" w:eastAsia="Times New Roman" w:hAnsi="Times New Roman" w:cs="Times New Roman"/>
          <w:bCs/>
          <w:sz w:val="20"/>
          <w:szCs w:val="20"/>
          <w:lang w:val="es-ES" w:eastAsia="es-ES"/>
        </w:rPr>
        <w:t>incompletitud</w:t>
      </w:r>
      <w:proofErr w:type="spellEnd"/>
      <w:r w:rsidRPr="00D20951">
        <w:rPr>
          <w:rFonts w:ascii="Times New Roman" w:eastAsia="Times New Roman" w:hAnsi="Times New Roman" w:cs="Times New Roman"/>
          <w:bCs/>
          <w:sz w:val="20"/>
          <w:szCs w:val="20"/>
          <w:lang w:val="es-ES" w:eastAsia="es-ES"/>
        </w:rPr>
        <w:t xml:space="preserve">, publicados en 1931, un año después de finalizar su doctorado en la Universidad de Viena. El más célebre establece que para todo sistema axiomático recursivo auto-consistente lo suficientemente poderoso como para describir la aritmética de los números naturales (la aritmética de </w:t>
      </w:r>
      <w:proofErr w:type="spellStart"/>
      <w:r w:rsidRPr="00D20951">
        <w:rPr>
          <w:rFonts w:ascii="Times New Roman" w:eastAsia="Times New Roman" w:hAnsi="Times New Roman" w:cs="Times New Roman"/>
          <w:bCs/>
          <w:sz w:val="20"/>
          <w:szCs w:val="20"/>
          <w:lang w:val="es-ES" w:eastAsia="es-ES"/>
        </w:rPr>
        <w:t>Peano</w:t>
      </w:r>
      <w:proofErr w:type="spellEnd"/>
      <w:r w:rsidRPr="00D20951">
        <w:rPr>
          <w:rFonts w:ascii="Times New Roman" w:eastAsia="Times New Roman" w:hAnsi="Times New Roman" w:cs="Times New Roman"/>
          <w:bCs/>
          <w:sz w:val="20"/>
          <w:szCs w:val="20"/>
          <w:lang w:val="es-ES" w:eastAsia="es-ES"/>
        </w:rPr>
        <w:t xml:space="preserve">), existen proposiciones verdaderas sobre los naturales que no pueden demostrarse a partir de los axiomas. Para demostrar este teorema, desarrolló una técnica denominada ahora numeración de </w:t>
      </w:r>
      <w:proofErr w:type="spellStart"/>
      <w:r w:rsidRPr="00D20951">
        <w:rPr>
          <w:rFonts w:ascii="Times New Roman" w:eastAsia="Times New Roman" w:hAnsi="Times New Roman" w:cs="Times New Roman"/>
          <w:bCs/>
          <w:sz w:val="20"/>
          <w:szCs w:val="20"/>
          <w:lang w:val="es-ES" w:eastAsia="es-ES"/>
        </w:rPr>
        <w:t>Gödel</w:t>
      </w:r>
      <w:proofErr w:type="spellEnd"/>
      <w:r w:rsidRPr="00D20951">
        <w:rPr>
          <w:rFonts w:ascii="Times New Roman" w:eastAsia="Times New Roman" w:hAnsi="Times New Roman" w:cs="Times New Roman"/>
          <w:bCs/>
          <w:sz w:val="20"/>
          <w:szCs w:val="20"/>
          <w:lang w:val="es-ES" w:eastAsia="es-ES"/>
        </w:rPr>
        <w:t xml:space="preserve">, que codifica expresiones </w:t>
      </w:r>
      <w:r>
        <w:rPr>
          <w:rFonts w:ascii="Times New Roman" w:eastAsia="Times New Roman" w:hAnsi="Times New Roman" w:cs="Times New Roman"/>
          <w:bCs/>
          <w:sz w:val="20"/>
          <w:szCs w:val="20"/>
          <w:lang w:val="es-ES" w:eastAsia="es-ES"/>
        </w:rPr>
        <w:t xml:space="preserve">formales como números </w:t>
      </w:r>
      <w:r w:rsidR="005A68CB">
        <w:rPr>
          <w:rFonts w:ascii="Times New Roman" w:eastAsia="Times New Roman" w:hAnsi="Times New Roman" w:cs="Times New Roman"/>
          <w:bCs/>
          <w:sz w:val="20"/>
          <w:szCs w:val="20"/>
          <w:lang w:val="es-ES" w:eastAsia="es-ES"/>
        </w:rPr>
        <w:t>naturales [</w:t>
      </w:r>
      <w:r>
        <w:rPr>
          <w:rFonts w:ascii="Times New Roman" w:eastAsia="Times New Roman" w:hAnsi="Times New Roman" w:cs="Times New Roman"/>
          <w:bCs/>
          <w:sz w:val="20"/>
          <w:szCs w:val="20"/>
          <w:lang w:val="es-ES" w:eastAsia="es-ES"/>
        </w:rPr>
        <w:t>2].</w:t>
      </w:r>
    </w:p>
    <w:p w:rsidR="005A68CB"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Los teoremas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de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son dos célebres teoremas de lógica matemática demostrados por </w:t>
      </w:r>
      <w:proofErr w:type="spellStart"/>
      <w:r w:rsidRPr="005A68CB">
        <w:rPr>
          <w:rFonts w:ascii="Times New Roman" w:eastAsia="Times New Roman" w:hAnsi="Times New Roman" w:cs="Times New Roman"/>
          <w:bCs/>
          <w:sz w:val="20"/>
          <w:szCs w:val="20"/>
          <w:lang w:val="es-ES" w:eastAsia="es-ES"/>
        </w:rPr>
        <w:t>Kurt</w:t>
      </w:r>
      <w:proofErr w:type="spellEnd"/>
      <w:r w:rsidRPr="005A68CB">
        <w:rPr>
          <w:rFonts w:ascii="Times New Roman" w:eastAsia="Times New Roman" w:hAnsi="Times New Roman" w:cs="Times New Roman"/>
          <w:bCs/>
          <w:sz w:val="20"/>
          <w:szCs w:val="20"/>
          <w:lang w:val="es-ES" w:eastAsia="es-ES"/>
        </w:rPr>
        <w:t xml:space="preserv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en 1931. Ambos están relacionados con la existencia de proposiciones indecidibles en ciertas teorías aritméticas.</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El primer teorema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afirma que, bajo ciertas condiciones, ninguna teoría matemática formal capaz de describir los números naturales y la aritmética con suficiente expresividad, es a la vez consistente y completa. Es decir, si los axiomas de dicha teoría no se contradicen entre sí, entonces existen enunciados que no se pueden probar ni refutar a partir de ellos. En particular, la conclusión del teorema se aplica siempre que la teoría aritmética en cuestión sea recursiva, esto es, una teoría en la que el proceso de deducción se pueda llevar a cabo mediante un algoritmo.</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La prueba del teorema es totalmente explícita y en ella se construye una fórmula, denotada habitualmente G en honor a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para la que dada una demostración de la misma, se puede construir una refutación, y viceversa. Sin embargo, la interpretación natural de dicha sentencia en términos de números naturales es verdadera.1​</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El segundo teorema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es un caso particular del primero: afirma que una de las sentencias indecidibles de dicha teoría es aquella que «afirma» la consistencia de la misma. Es decir, que si el sistema de axiomas en cuestión es consistente, no es posible demostrarlo mediante dichos axiomas.</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Los teoremas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de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son uno de los grandes avances de la lógica matemática, y supusieron —según la mayoría de la comunidad matemática— una respuesta negativa al segundo problema de Hilbert.1​ Los teoremas implican que los sistemas axiomáticos de primer orden tienen severas limitaciones para fundamentar las matemáticas, y supusieron un duro golpe para el llamado programa de Hilbert para la fundamentación de las matemáticas. Por otra parte, durante algún tiempo ni Hilbert ni otros de sus colaboradores fueron conscientes de la importancia del tr</w:t>
      </w:r>
      <w:r>
        <w:rPr>
          <w:rFonts w:ascii="Times New Roman" w:eastAsia="Times New Roman" w:hAnsi="Times New Roman" w:cs="Times New Roman"/>
          <w:bCs/>
          <w:sz w:val="20"/>
          <w:szCs w:val="20"/>
          <w:lang w:val="es-ES" w:eastAsia="es-ES"/>
        </w:rPr>
        <w:t xml:space="preserve">abajo de </w:t>
      </w:r>
      <w:proofErr w:type="spellStart"/>
      <w:r>
        <w:rPr>
          <w:rFonts w:ascii="Times New Roman" w:eastAsia="Times New Roman" w:hAnsi="Times New Roman" w:cs="Times New Roman"/>
          <w:bCs/>
          <w:sz w:val="20"/>
          <w:szCs w:val="20"/>
          <w:lang w:val="es-ES" w:eastAsia="es-ES"/>
        </w:rPr>
        <w:t>Gödel</w:t>
      </w:r>
      <w:proofErr w:type="spellEnd"/>
      <w:r>
        <w:rPr>
          <w:rFonts w:ascii="Times New Roman" w:eastAsia="Times New Roman" w:hAnsi="Times New Roman" w:cs="Times New Roman"/>
          <w:bCs/>
          <w:sz w:val="20"/>
          <w:szCs w:val="20"/>
          <w:lang w:val="es-ES" w:eastAsia="es-ES"/>
        </w:rPr>
        <w:t xml:space="preserve"> para su programa [3].</w:t>
      </w:r>
    </w:p>
    <w:p w:rsid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bookmarkStart w:id="0" w:name="_GoBack"/>
      <w:bookmarkEnd w:id="0"/>
    </w:p>
    <w:p w:rsidR="005A68CB"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5A68CB" w:rsidRPr="00D20951"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B90E9A" w:rsidRPr="00DA2341" w:rsidRDefault="00B90E9A" w:rsidP="00B90E9A">
      <w:pPr>
        <w:spacing w:after="0" w:line="240" w:lineRule="auto"/>
        <w:ind w:left="1800"/>
        <w:jc w:val="both"/>
        <w:outlineLvl w:val="2"/>
        <w:rPr>
          <w:rFonts w:ascii="Times New Roman" w:eastAsia="Times New Roman" w:hAnsi="Times New Roman" w:cs="Times New Roman"/>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spacing w:val="-2"/>
          <w:sz w:val="20"/>
          <w:szCs w:val="20"/>
          <w:lang w:val="es-ES" w:eastAsia="es-ES"/>
        </w:rPr>
      </w:pPr>
      <w:r w:rsidRPr="00DA2341">
        <w:rPr>
          <w:rFonts w:ascii="Times New Roman" w:eastAsia="Times New Roman" w:hAnsi="Times New Roman" w:cs="Times New Roman"/>
          <w:b/>
          <w:spacing w:val="-2"/>
          <w:sz w:val="20"/>
          <w:szCs w:val="20"/>
          <w:lang w:val="es-ES" w:eastAsia="es-ES"/>
        </w:rPr>
        <w:t xml:space="preserve">Se dará prioridad a los artículos tipo  1, 2 y 3 ya que son los de mayor impacto en la base </w:t>
      </w:r>
      <w:proofErr w:type="spellStart"/>
      <w:r w:rsidRPr="00DA2341">
        <w:rPr>
          <w:rFonts w:ascii="Times New Roman" w:eastAsia="Times New Roman" w:hAnsi="Times New Roman" w:cs="Times New Roman"/>
          <w:b/>
          <w:i/>
          <w:spacing w:val="-2"/>
          <w:sz w:val="20"/>
          <w:szCs w:val="20"/>
          <w:lang w:val="es-ES" w:eastAsia="es-ES"/>
        </w:rPr>
        <w:t>Publindex</w:t>
      </w:r>
      <w:proofErr w:type="spellEnd"/>
      <w:r w:rsidRPr="00DA2341">
        <w:rPr>
          <w:rFonts w:ascii="Times New Roman" w:eastAsia="Times New Roman" w:hAnsi="Times New Roman" w:cs="Times New Roman"/>
          <w:b/>
          <w:spacing w:val="-2"/>
          <w:sz w:val="20"/>
          <w:szCs w:val="20"/>
          <w:lang w:val="es-ES" w:eastAsia="es-ES"/>
        </w:rPr>
        <w:t xml:space="preserve"> de Colciencias.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 extensión de </w:t>
      </w:r>
      <w:r w:rsidR="008113A1">
        <w:rPr>
          <w:rFonts w:ascii="Times New Roman" w:eastAsia="Times New Roman" w:hAnsi="Times New Roman" w:cs="Times New Roman"/>
          <w:sz w:val="20"/>
          <w:szCs w:val="24"/>
          <w:lang w:val="es-ES" w:eastAsia="es-ES"/>
        </w:rPr>
        <w:t>un artículo no puede ser  mayor a diez</w:t>
      </w:r>
      <w:r w:rsidRPr="00DA2341">
        <w:rPr>
          <w:rFonts w:ascii="Times New Roman" w:eastAsia="Times New Roman" w:hAnsi="Times New Roman" w:cs="Times New Roman"/>
          <w:sz w:val="20"/>
          <w:szCs w:val="24"/>
          <w:lang w:val="es-ES" w:eastAsia="es-ES"/>
        </w:rPr>
        <w:t xml:space="preserve"> (</w:t>
      </w:r>
      <w:r w:rsidR="008113A1">
        <w:rPr>
          <w:rFonts w:ascii="Times New Roman" w:eastAsia="Times New Roman" w:hAnsi="Times New Roman" w:cs="Times New Roman"/>
          <w:sz w:val="20"/>
          <w:szCs w:val="24"/>
          <w:lang w:val="es-ES" w:eastAsia="es-ES"/>
        </w:rPr>
        <w:t>10</w:t>
      </w:r>
      <w:r w:rsidRPr="00DA2341">
        <w:rPr>
          <w:rFonts w:ascii="Times New Roman" w:eastAsia="Times New Roman" w:hAnsi="Times New Roman" w:cs="Times New Roman"/>
          <w:sz w:val="20"/>
          <w:szCs w:val="24"/>
          <w:lang w:val="es-ES" w:eastAsia="es-ES"/>
        </w:rPr>
        <w:t>) páginas a doble columna y espacio sencillo</w:t>
      </w:r>
      <w:r w:rsidR="008113A1">
        <w:rPr>
          <w:rFonts w:ascii="Times New Roman" w:eastAsia="Times New Roman" w:hAnsi="Times New Roman" w:cs="Times New Roman"/>
          <w:sz w:val="20"/>
          <w:szCs w:val="24"/>
          <w:lang w:val="es-ES" w:eastAsia="es-ES"/>
        </w:rPr>
        <w:t>, y mínimo cinco (5) páginas,</w:t>
      </w:r>
      <w:r w:rsidRPr="00DA2341">
        <w:rPr>
          <w:rFonts w:ascii="Times New Roman" w:eastAsia="Times New Roman" w:hAnsi="Times New Roman" w:cs="Times New Roman"/>
          <w:sz w:val="20"/>
          <w:szCs w:val="24"/>
          <w:lang w:val="es-ES" w:eastAsia="es-ES"/>
        </w:rPr>
        <w:t xml:space="preserve">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w:t>
      </w:r>
      <w:r w:rsidR="008113A1">
        <w:rPr>
          <w:rFonts w:ascii="Times New Roman" w:eastAsia="Times New Roman" w:hAnsi="Times New Roman" w:cs="Times New Roman"/>
          <w:sz w:val="20"/>
          <w:szCs w:val="24"/>
          <w:lang w:val="es-ES" w:eastAsia="es-ES"/>
        </w:rPr>
        <w:t xml:space="preserve"> 10 puntos, usando márgenes de 1,73 </w:t>
      </w:r>
      <w:r w:rsidRPr="00DA2341">
        <w:rPr>
          <w:rFonts w:ascii="Times New Roman" w:eastAsia="Times New Roman" w:hAnsi="Times New Roman" w:cs="Times New Roman"/>
          <w:sz w:val="20"/>
          <w:szCs w:val="24"/>
          <w:lang w:val="es-ES" w:eastAsia="es-ES"/>
        </w:rPr>
        <w:t xml:space="preserve"> centímetros en todos los costados de las páginas que deben ser de tamaño carta.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tablas deben llevar numeración arábiga y el nombre en la parte inferior de la tabla con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 9 puntos. El nombre debe tener la mejor explicación posible.</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fotografías y figuras deben ser originales,  pueden ser en blanco y negro o a color con una resolución de 150 ó 200 dpi. Deben llevar numeración arábiga de acuerdo con su orden de aparición además del nombre en la parte inferior de la figura en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 9 puntos.</w:t>
      </w:r>
      <w:r w:rsidR="008113A1">
        <w:rPr>
          <w:rFonts w:ascii="Times New Roman" w:eastAsia="Times New Roman" w:hAnsi="Times New Roman" w:cs="Times New Roman"/>
          <w:sz w:val="20"/>
          <w:szCs w:val="24"/>
          <w:lang w:val="es-ES" w:eastAsia="es-ES"/>
        </w:rPr>
        <w:t xml:space="preserve"> </w:t>
      </w:r>
      <w:r w:rsidRPr="00DA2341">
        <w:rPr>
          <w:rFonts w:ascii="Times New Roman" w:eastAsia="Times New Roman" w:hAnsi="Times New Roman" w:cs="Times New Roman"/>
          <w:sz w:val="20"/>
          <w:szCs w:val="24"/>
          <w:lang w:val="es-ES" w:eastAsia="es-ES"/>
        </w:rPr>
        <w:t>El nombre de la figura debe tener la mejor explicación posible.</w:t>
      </w:r>
    </w:p>
    <w:p w:rsidR="00B10FFE" w:rsidRDefault="00B10FFE" w:rsidP="00DA2341">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Las figuras y tablas deben estar centradas en la columna. Si</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la figura es muy larga, se puede extender hasta ocupar el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espacio de las dos columnas. Cualquier figura o tabla que se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extienda más de una columna, pero no ocupe el espacio de las</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dos columnas, se deberá mostrar centrada en la página y</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deberá estar siempre en la parte superior o inferior de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página.</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Los gráficos deben estar en color, de preferencia utilice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colores estándar de manera que puedan ser reproducidos en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cualquier sistema. Por colores estándar se entienden rojo, azul,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verde, amarillo. Trate de evitar colores complejos como azul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 xml:space="preserve">claro combinado con azul </w:t>
      </w:r>
      <w:proofErr w:type="gramStart"/>
      <w:r w:rsidRPr="00B10FFE">
        <w:rPr>
          <w:rFonts w:ascii="Times New Roman" w:eastAsia="Times New Roman" w:hAnsi="Times New Roman" w:cs="Times New Roman"/>
          <w:sz w:val="20"/>
          <w:szCs w:val="24"/>
          <w:lang w:val="es-ES" w:eastAsia="es-ES"/>
        </w:rPr>
        <w:t>mas</w:t>
      </w:r>
      <w:proofErr w:type="gramEnd"/>
      <w:r w:rsidRPr="00B10FFE">
        <w:rPr>
          <w:rFonts w:ascii="Times New Roman" w:eastAsia="Times New Roman" w:hAnsi="Times New Roman" w:cs="Times New Roman"/>
          <w:sz w:val="20"/>
          <w:szCs w:val="24"/>
          <w:lang w:val="es-ES" w:eastAsia="es-ES"/>
        </w:rPr>
        <w:t xml:space="preserve"> fuerte porque podrían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confundirse.</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Utilice colores sólidos que resalten sobre el fondo de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figura para mejorar el contraste.</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Toda figura debe acompañarse de un título en letra de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tamaño de 8 puntos, que inicia con la abreviatura “Fig.” para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indicar “Figura” y un número de secuencia.</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El nombre de la figura debe tener mayúscula solamente en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la primera palabra, independientemente de si se trata de una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palabra mayor o menor.</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El nombre de la figura se utiliza centrado en la columna, o</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página si la figura se extiende fuera de la columna. Si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descripción se extiende más de una línea, se debe mostrar de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forma justificada, como en Fig. 1.</w:t>
      </w:r>
    </w:p>
    <w:p w:rsidR="00B10FFE" w:rsidRPr="00DA2341" w:rsidRDefault="00B10FFE"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TABLA I</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TAMAÑOS DE FUENTE PARA ARTÍCULOS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54"/>
        <w:gridCol w:w="955"/>
        <w:gridCol w:w="955"/>
        <w:gridCol w:w="955"/>
      </w:tblGrid>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A</w:t>
            </w: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B</w:t>
            </w: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w:t>
            </w: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D</w:t>
            </w: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1</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2</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3</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4</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5</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6</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7</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bl>
    <w:p w:rsidR="00DA2341" w:rsidRPr="00DA2341" w:rsidRDefault="00DA2341" w:rsidP="00DA2341">
      <w:pPr>
        <w:spacing w:after="0" w:line="240" w:lineRule="auto"/>
        <w:jc w:val="both"/>
        <w:rPr>
          <w:rFonts w:ascii="Times New Roman" w:eastAsia="Times New Roman" w:hAnsi="Times New Roman" w:cs="Times New Roman"/>
          <w:sz w:val="20"/>
          <w:szCs w:val="18"/>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18"/>
          <w:lang w:val="es-ES" w:eastAsia="es-ES"/>
        </w:rPr>
      </w:pPr>
      <w:r w:rsidRPr="00DA2341">
        <w:rPr>
          <w:rFonts w:ascii="Times New Roman" w:eastAsia="Times New Roman" w:hAnsi="Times New Roman" w:cs="Times New Roman"/>
          <w:sz w:val="18"/>
          <w:szCs w:val="18"/>
          <w:lang w:val="es-ES" w:eastAsia="es-ES"/>
        </w:rPr>
        <w:t>Tabla 1. Ejemplo de tabla en artículo</w:t>
      </w:r>
      <w:r w:rsidRPr="00DA2341">
        <w:rPr>
          <w:rFonts w:ascii="Times New Roman" w:eastAsia="Times New Roman" w:hAnsi="Times New Roman" w:cs="Times New Roman"/>
          <w:sz w:val="20"/>
          <w:szCs w:val="18"/>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CO"/>
        </w:rPr>
        <w:drawing>
          <wp:inline distT="0" distB="0" distL="0" distR="0" wp14:anchorId="63708638" wp14:editId="6ED9F326">
            <wp:extent cx="2607945" cy="2032000"/>
            <wp:effectExtent l="0" t="0" r="190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7945" cy="2032000"/>
                    </a:xfrm>
                    <a:prstGeom prst="rect">
                      <a:avLst/>
                    </a:prstGeom>
                    <a:noFill/>
                    <a:ln>
                      <a:noFill/>
                    </a:ln>
                  </pic:spPr>
                </pic:pic>
              </a:graphicData>
            </a:graphic>
          </wp:inline>
        </w:drawing>
      </w:r>
    </w:p>
    <w:p w:rsidR="00DA2341" w:rsidRPr="00DA2341" w:rsidRDefault="00DA2341" w:rsidP="00DA2341">
      <w:pPr>
        <w:spacing w:after="0" w:line="240" w:lineRule="auto"/>
        <w:jc w:val="both"/>
        <w:rPr>
          <w:rFonts w:ascii="Times New Roman" w:eastAsia="Times New Roman" w:hAnsi="Times New Roman" w:cs="Times New Roman"/>
          <w:sz w:val="20"/>
          <w:szCs w:val="18"/>
          <w:lang w:val="es-ES" w:eastAsia="es-ES"/>
        </w:rPr>
      </w:pPr>
      <w:r w:rsidRPr="00DA2341">
        <w:rPr>
          <w:rFonts w:ascii="Times New Roman" w:eastAsia="Times New Roman" w:hAnsi="Times New Roman" w:cs="Times New Roman"/>
          <w:sz w:val="18"/>
          <w:szCs w:val="18"/>
          <w:lang w:val="es-ES" w:eastAsia="es-ES"/>
        </w:rPr>
        <w:t>Figura 1. Ejemplo de figura en un artículo</w:t>
      </w:r>
      <w:r w:rsidRPr="00DA2341">
        <w:rPr>
          <w:rFonts w:ascii="Times New Roman" w:eastAsia="Times New Roman" w:hAnsi="Times New Roman" w:cs="Times New Roman"/>
          <w:sz w:val="20"/>
          <w:szCs w:val="18"/>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Si en el artículo se utilizan ecuaciones, estas deberán tener numeración consecutiva, así no las cite o use en el texto. Se debe definir su procedencia.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Las conclusiones son obligatorias y deben ser claras. Deben expresar el balance final de la investigación o la aplicación del conocimiento.</w:t>
      </w: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Esta sección sigue el formato regular del resto del documento. La única observación es notar que el título no está numerado.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En esta sección se agregan agradecimientos a personas que colaboraron en el proyecto pero que no figuran como autores del </w:t>
      </w:r>
      <w:proofErr w:type="spellStart"/>
      <w:r w:rsidRPr="00DA2341">
        <w:rPr>
          <w:rFonts w:ascii="Times New Roman" w:eastAsia="Times New Roman" w:hAnsi="Times New Roman" w:cs="Times New Roman"/>
          <w:sz w:val="20"/>
          <w:szCs w:val="24"/>
          <w:lang w:val="es-ES" w:eastAsia="es-ES"/>
        </w:rPr>
        <w:t>paper</w:t>
      </w:r>
      <w:proofErr w:type="spellEnd"/>
      <w:r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Las fuentes bibliográficas deben ser citadas a lo largo del texto, deberán aparecer entre corchetes y con números arábigos. Ejemplo: Como se menciona en [1], las políticas adoptadas por...</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8113A1" w:rsidRPr="00276DC1" w:rsidRDefault="00DA2341" w:rsidP="00276DC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fuentes bibliográficas consultadas pero no citadas en el texto se colocarán al final de las referencias citadas y se numeran de la misma forma. La norma para escribir las referencias bibliográficas es como sigue: </w:t>
      </w:r>
    </w:p>
    <w:p w:rsidR="00DA2341" w:rsidRPr="00276DC1" w:rsidRDefault="00DA2341" w:rsidP="00DA2341">
      <w:pPr>
        <w:widowControl w:val="0"/>
        <w:spacing w:after="0" w:line="252" w:lineRule="auto"/>
        <w:ind w:firstLine="240"/>
        <w:jc w:val="both"/>
        <w:rPr>
          <w:rFonts w:ascii="Times New Roman" w:eastAsia="Times New Roman" w:hAnsi="Times New Roman" w:cs="Times New Roman"/>
          <w:i/>
          <w:sz w:val="20"/>
          <w:szCs w:val="20"/>
        </w:rPr>
      </w:pPr>
    </w:p>
    <w:p w:rsidR="00DA2341" w:rsidRPr="008113A1" w:rsidRDefault="00DA2341" w:rsidP="008113A1">
      <w:pPr>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Referencias</w:t>
      </w:r>
      <w:proofErr w:type="spellEnd"/>
      <w:r w:rsidRPr="008113A1">
        <w:rPr>
          <w:rFonts w:ascii="Times New Roman" w:eastAsia="Times New Roman" w:hAnsi="Times New Roman" w:cs="Times New Roman"/>
          <w:sz w:val="20"/>
          <w:szCs w:val="20"/>
          <w:u w:val="single"/>
          <w:lang w:val="en-US"/>
        </w:rPr>
        <w:t xml:space="preserve"> de </w:t>
      </w:r>
      <w:proofErr w:type="spellStart"/>
      <w:r w:rsidRPr="008113A1">
        <w:rPr>
          <w:rFonts w:ascii="Times New Roman" w:eastAsia="Times New Roman" w:hAnsi="Times New Roman" w:cs="Times New Roman"/>
          <w:sz w:val="20"/>
          <w:szCs w:val="20"/>
          <w:u w:val="single"/>
          <w:lang w:val="en-US"/>
        </w:rPr>
        <w:t>libros</w:t>
      </w:r>
      <w:proofErr w:type="spellEnd"/>
      <w:r w:rsidRPr="008113A1">
        <w:rPr>
          <w:rFonts w:ascii="Times New Roman" w:eastAsia="Times New Roman" w:hAnsi="Times New Roman" w:cs="Times New Roman"/>
          <w:sz w:val="20"/>
          <w:szCs w:val="20"/>
          <w:u w:val="single"/>
          <w:lang w:val="en-US"/>
        </w:rPr>
        <w:t>:</w:t>
      </w:r>
    </w:p>
    <w:p w:rsidR="00276DC1" w:rsidRPr="00276DC1" w:rsidRDefault="00276DC1" w:rsidP="00276DC1">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15" w:history="1">
        <w:r w:rsidRPr="00276DC1">
          <w:rPr>
            <w:rStyle w:val="Hipervnculo"/>
            <w:rFonts w:ascii="Times New Roman" w:eastAsia="Times New Roman" w:hAnsi="Times New Roman" w:cs="Times New Roman"/>
            <w:b/>
            <w:bCs/>
            <w:sz w:val="20"/>
            <w:szCs w:val="24"/>
            <w:lang w:val="en-US" w:eastAsia="es-ES"/>
          </w:rPr>
          <w:t>https://www.casadellibro.com/libro-godel-escher-bach-un-eterno-y-gracil-</w:t>
        </w:r>
        <w:r w:rsidRPr="00276DC1">
          <w:rPr>
            <w:rStyle w:val="Hipervnculo"/>
            <w:rFonts w:ascii="Times New Roman" w:eastAsia="Times New Roman" w:hAnsi="Times New Roman" w:cs="Times New Roman"/>
            <w:b/>
            <w:bCs/>
            <w:sz w:val="20"/>
            <w:szCs w:val="24"/>
            <w:lang w:val="en-US" w:eastAsia="es-ES"/>
          </w:rPr>
          <w:t>bucle/9788483830246/1160897</w:t>
        </w:r>
      </w:hyperlink>
    </w:p>
    <w:p w:rsidR="00276DC1" w:rsidRPr="00276DC1" w:rsidRDefault="00276DC1" w:rsidP="00276DC1">
      <w:pPr>
        <w:pStyle w:val="Prrafodelista"/>
        <w:spacing w:after="0" w:line="240" w:lineRule="auto"/>
        <w:jc w:val="both"/>
        <w:rPr>
          <w:rFonts w:ascii="Times New Roman" w:eastAsia="Times New Roman" w:hAnsi="Times New Roman" w:cs="Times New Roman"/>
          <w:b/>
          <w:bCs/>
          <w:sz w:val="20"/>
          <w:szCs w:val="24"/>
          <w:lang w:val="en-US" w:eastAsia="es-ES"/>
        </w:rPr>
      </w:pPr>
    </w:p>
    <w:p w:rsidR="00276DC1" w:rsidRPr="00B90E9A" w:rsidRDefault="00276DC1" w:rsidP="00DA2341">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p>
    <w:p w:rsidR="00276DC1" w:rsidRPr="00276DC1" w:rsidRDefault="00276DC1" w:rsidP="00DA2341">
      <w:pPr>
        <w:spacing w:after="0" w:line="240" w:lineRule="auto"/>
        <w:jc w:val="both"/>
        <w:rPr>
          <w:rFonts w:ascii="Times New Roman" w:eastAsia="Times New Roman" w:hAnsi="Times New Roman" w:cs="Times New Roman"/>
          <w:b/>
          <w:bCs/>
          <w:sz w:val="20"/>
          <w:szCs w:val="24"/>
          <w:lang w:val="en-U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Observaciones generales: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En el proceso de selección de artículos para publicar, se realiza una evaluación inicial para determinar si el trabajo cumple con los términos y observaciones presentadas en este documento.  En la segunda evaluación se evalúa su contenido y aporte por parte de evaluadores calificados de acuerdo al área correspondiente.</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Los artículos que no llenen los requisitos de la convocatoria en cuanto a formato, no serán  tenidos en cuenta para su publicación y serán descartados en la evaluación inicial.</w:t>
      </w: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Este documento de ejemplo, en Microsoft Word, para la elaboración de artículos para la revista SCIENTIA ET TECHNICA podrá ser descargado de la página: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27FCB" w:rsidP="00DA2341">
      <w:pPr>
        <w:spacing w:after="0" w:line="240" w:lineRule="auto"/>
        <w:jc w:val="both"/>
        <w:rPr>
          <w:rFonts w:ascii="Times New Roman" w:eastAsia="Times New Roman" w:hAnsi="Times New Roman" w:cs="Times New Roman"/>
          <w:sz w:val="20"/>
          <w:szCs w:val="24"/>
          <w:lang w:val="es-ES" w:eastAsia="es-ES"/>
        </w:rPr>
      </w:pPr>
      <w:hyperlink r:id="rId16" w:history="1">
        <w:r w:rsidR="00DA2341" w:rsidRPr="00DA2341">
          <w:rPr>
            <w:rFonts w:ascii="Times New Roman" w:eastAsia="Times New Roman" w:hAnsi="Times New Roman" w:cs="Times New Roman"/>
            <w:color w:val="0000FF"/>
            <w:sz w:val="20"/>
            <w:szCs w:val="24"/>
            <w:u w:val="single"/>
            <w:lang w:val="es-ES" w:eastAsia="es-ES"/>
          </w:rPr>
          <w:t>http://revistas.utp.edu.co/index.php/revistaciencia/pages/view/formatos</w:t>
        </w:r>
      </w:hyperlink>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Cs/>
          <w:sz w:val="20"/>
          <w:szCs w:val="24"/>
          <w:lang w:val="es-ES" w:eastAsia="es-ES"/>
        </w:rPr>
      </w:pPr>
      <w:r w:rsidRPr="00DA2341">
        <w:rPr>
          <w:rFonts w:ascii="Times New Roman" w:eastAsia="Times New Roman" w:hAnsi="Times New Roman" w:cs="Times New Roman"/>
          <w:bCs/>
          <w:sz w:val="20"/>
          <w:szCs w:val="24"/>
          <w:lang w:val="es-ES" w:eastAsia="es-ES"/>
        </w:rPr>
        <w:t xml:space="preserve">Haciendo clic en la pestaña </w:t>
      </w:r>
      <w:r w:rsidRPr="00DA2341">
        <w:rPr>
          <w:rFonts w:ascii="Times New Roman" w:eastAsia="Times New Roman" w:hAnsi="Times New Roman" w:cs="Times New Roman"/>
          <w:bCs/>
          <w:i/>
          <w:sz w:val="20"/>
          <w:szCs w:val="24"/>
          <w:lang w:val="es-ES" w:eastAsia="es-ES"/>
        </w:rPr>
        <w:t>Formatos</w:t>
      </w:r>
      <w:r w:rsidRPr="00DA2341">
        <w:rPr>
          <w:rFonts w:ascii="Times New Roman" w:eastAsia="Times New Roman" w:hAnsi="Times New Roman" w:cs="Times New Roman"/>
          <w:bCs/>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r w:rsidRPr="00DA2341">
        <w:rPr>
          <w:rFonts w:ascii="Times New Roman" w:eastAsia="Times New Roman" w:hAnsi="Times New Roman" w:cs="Times New Roman"/>
          <w:b/>
          <w:sz w:val="20"/>
          <w:szCs w:val="20"/>
          <w:lang w:val="es-ES" w:eastAsia="es-ES"/>
        </w:rPr>
        <w:t>Presentación de trabajos: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venir acompañados por los formatos de datos del autor, el cual se puede descargar en la página </w:t>
      </w:r>
      <w:r w:rsidRPr="00DA2341">
        <w:rPr>
          <w:rFonts w:ascii="Times New Roman" w:eastAsia="Times New Roman" w:hAnsi="Times New Roman" w:cs="Times New Roman"/>
          <w:i/>
          <w:sz w:val="20"/>
          <w:szCs w:val="20"/>
          <w:lang w:val="es-ES" w:eastAsia="es-ES"/>
        </w:rPr>
        <w:t>web</w:t>
      </w:r>
      <w:r w:rsidRPr="00DA2341">
        <w:rPr>
          <w:rFonts w:ascii="Times New Roman" w:eastAsia="Times New Roman" w:hAnsi="Times New Roman" w:cs="Times New Roman"/>
          <w:sz w:val="20"/>
          <w:szCs w:val="20"/>
          <w:lang w:val="es-ES" w:eastAsia="es-ES"/>
        </w:rPr>
        <w:t xml:space="preserve"> de la revista </w:t>
      </w:r>
      <w:hyperlink r:id="rId17" w:history="1">
        <w:r w:rsidRPr="00DA2341">
          <w:rPr>
            <w:rFonts w:ascii="Times New Roman" w:eastAsia="Times New Roman" w:hAnsi="Times New Roman" w:cs="Times New Roman"/>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sz w:val="20"/>
          <w:szCs w:val="20"/>
          <w:lang w:val="es-ES" w:eastAsia="es-ES"/>
        </w:rPr>
        <w:t xml:space="preserve">. </w:t>
      </w:r>
      <w:proofErr w:type="gramStart"/>
      <w:r w:rsidRPr="00DA2341">
        <w:rPr>
          <w:rFonts w:ascii="Times New Roman" w:eastAsia="Times New Roman" w:hAnsi="Times New Roman" w:cs="Times New Roman"/>
          <w:sz w:val="20"/>
          <w:szCs w:val="20"/>
          <w:lang w:val="es-ES" w:eastAsia="es-ES"/>
        </w:rPr>
        <w:t>haciendo</w:t>
      </w:r>
      <w:proofErr w:type="gramEnd"/>
      <w:r w:rsidRPr="00DA2341">
        <w:rPr>
          <w:rFonts w:ascii="Times New Roman" w:eastAsia="Times New Roman" w:hAnsi="Times New Roman" w:cs="Times New Roman"/>
          <w:sz w:val="20"/>
          <w:szCs w:val="20"/>
          <w:lang w:val="es-ES" w:eastAsia="es-ES"/>
        </w:rPr>
        <w:t xml:space="preserve"> clic en la pestaña </w:t>
      </w:r>
      <w:r w:rsidRPr="00DA2341">
        <w:rPr>
          <w:rFonts w:ascii="Times New Roman" w:eastAsia="Times New Roman" w:hAnsi="Times New Roman" w:cs="Times New Roman"/>
          <w:i/>
          <w:sz w:val="20"/>
          <w:szCs w:val="20"/>
          <w:lang w:val="es-ES" w:eastAsia="es-ES"/>
        </w:rPr>
        <w:t>Formatos</w:t>
      </w:r>
      <w:r w:rsidRPr="00DA2341">
        <w:rPr>
          <w:rFonts w:ascii="Times New Roman" w:eastAsia="Times New Roman" w:hAnsi="Times New Roman" w:cs="Times New Roman"/>
          <w:sz w:val="20"/>
          <w:szCs w:val="20"/>
          <w:lang w:val="es-ES" w:eastAsia="es-ES"/>
        </w:rPr>
        <w:t xml:space="preserve">. Estos formatos deben ser cargados en la plataforma  Open </w:t>
      </w:r>
      <w:proofErr w:type="spellStart"/>
      <w:r w:rsidRPr="00DA2341">
        <w:rPr>
          <w:rFonts w:ascii="Times New Roman" w:eastAsia="Times New Roman" w:hAnsi="Times New Roman" w:cs="Times New Roman"/>
          <w:sz w:val="20"/>
          <w:szCs w:val="20"/>
          <w:lang w:val="es-ES" w:eastAsia="es-ES"/>
        </w:rPr>
        <w:t>Journal</w:t>
      </w:r>
      <w:proofErr w:type="spellEnd"/>
      <w:r w:rsidRPr="00DA2341">
        <w:rPr>
          <w:rFonts w:ascii="Times New Roman" w:eastAsia="Times New Roman" w:hAnsi="Times New Roman" w:cs="Times New Roman"/>
          <w:sz w:val="20"/>
          <w:szCs w:val="20"/>
          <w:lang w:val="es-ES" w:eastAsia="es-ES"/>
        </w:rPr>
        <w:t xml:space="preserve"> </w:t>
      </w:r>
      <w:proofErr w:type="spellStart"/>
      <w:r w:rsidRPr="00DA2341">
        <w:rPr>
          <w:rFonts w:ascii="Times New Roman" w:eastAsia="Times New Roman" w:hAnsi="Times New Roman" w:cs="Times New Roman"/>
          <w:sz w:val="20"/>
          <w:szCs w:val="20"/>
          <w:lang w:val="es-ES" w:eastAsia="es-ES"/>
        </w:rPr>
        <w:t>Systems</w:t>
      </w:r>
      <w:proofErr w:type="spellEnd"/>
      <w:r w:rsidRPr="00DA2341">
        <w:rPr>
          <w:rFonts w:ascii="Times New Roman" w:eastAsia="Times New Roman" w:hAnsi="Times New Roman" w:cs="Times New Roman"/>
          <w:sz w:val="20"/>
          <w:szCs w:val="20"/>
          <w:lang w:val="es-ES" w:eastAsia="es-ES"/>
        </w:rPr>
        <w:t xml:space="preserve">. Los datos allí consignados serán incorporados en la Base Bibliográfica </w:t>
      </w:r>
      <w:proofErr w:type="spellStart"/>
      <w:r w:rsidRPr="00DA2341">
        <w:rPr>
          <w:rFonts w:ascii="Times New Roman" w:eastAsia="Times New Roman" w:hAnsi="Times New Roman" w:cs="Times New Roman"/>
          <w:i/>
          <w:sz w:val="20"/>
          <w:szCs w:val="20"/>
          <w:lang w:val="es-ES" w:eastAsia="es-ES"/>
        </w:rPr>
        <w:t>Publindex</w:t>
      </w:r>
      <w:proofErr w:type="spellEnd"/>
      <w:r w:rsidRPr="00DA2341">
        <w:rPr>
          <w:rFonts w:ascii="Times New Roman" w:eastAsia="Times New Roman" w:hAnsi="Times New Roman" w:cs="Times New Roman"/>
          <w:sz w:val="20"/>
          <w:szCs w:val="20"/>
          <w:lang w:val="es-ES" w:eastAsia="es-ES"/>
        </w:rPr>
        <w:t xml:space="preserve"> de Colciencias.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estar presentados en el formato de la revista, </w:t>
      </w:r>
      <w:r w:rsidRPr="00DA2341">
        <w:rPr>
          <w:rFonts w:ascii="Times New Roman" w:eastAsia="Times New Roman" w:hAnsi="Times New Roman" w:cs="Times New Roman"/>
          <w:bCs/>
          <w:sz w:val="20"/>
          <w:szCs w:val="20"/>
          <w:lang w:val="es-ES" w:eastAsia="es-ES"/>
        </w:rPr>
        <w:t xml:space="preserve">el cual se puede descargar en la página </w:t>
      </w:r>
      <w:r w:rsidRPr="00DA2341">
        <w:rPr>
          <w:rFonts w:ascii="Times New Roman" w:eastAsia="Times New Roman" w:hAnsi="Times New Roman" w:cs="Times New Roman"/>
          <w:bCs/>
          <w:i/>
          <w:sz w:val="20"/>
          <w:szCs w:val="20"/>
          <w:lang w:val="es-ES" w:eastAsia="es-ES"/>
        </w:rPr>
        <w:t>web</w:t>
      </w:r>
      <w:r w:rsidRPr="00DA2341">
        <w:rPr>
          <w:rFonts w:ascii="Times New Roman" w:eastAsia="Times New Roman" w:hAnsi="Times New Roman" w:cs="Times New Roman"/>
          <w:bCs/>
          <w:sz w:val="20"/>
          <w:szCs w:val="20"/>
          <w:lang w:val="es-ES" w:eastAsia="es-ES"/>
        </w:rPr>
        <w:t xml:space="preserve"> de la revista </w:t>
      </w:r>
      <w:hyperlink r:id="rId18" w:history="1">
        <w:r w:rsidRPr="00DA2341">
          <w:rPr>
            <w:rFonts w:ascii="Times New Roman" w:eastAsia="Times New Roman" w:hAnsi="Times New Roman" w:cs="Times New Roman"/>
            <w:bCs/>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bCs/>
          <w:sz w:val="20"/>
          <w:szCs w:val="20"/>
          <w:lang w:val="es-ES" w:eastAsia="es-ES"/>
        </w:rPr>
        <w:t xml:space="preserve">  haciendo clic en la pestaña </w:t>
      </w:r>
      <w:r w:rsidRPr="00DA2341">
        <w:rPr>
          <w:rFonts w:ascii="Times New Roman" w:eastAsia="Times New Roman" w:hAnsi="Times New Roman" w:cs="Times New Roman"/>
          <w:bCs/>
          <w:i/>
          <w:sz w:val="20"/>
          <w:szCs w:val="20"/>
          <w:lang w:val="es-ES" w:eastAsia="es-ES"/>
        </w:rPr>
        <w:t>Formatos</w:t>
      </w:r>
      <w:r w:rsidRPr="00DA2341">
        <w:rPr>
          <w:rFonts w:ascii="Times New Roman" w:eastAsia="Times New Roman" w:hAnsi="Times New Roman" w:cs="Times New Roman"/>
          <w:bCs/>
          <w:sz w:val="20"/>
          <w:szCs w:val="20"/>
          <w:lang w:val="es-ES" w:eastAsia="es-ES"/>
        </w:rPr>
        <w:t xml:space="preserve">. </w:t>
      </w:r>
      <w:r w:rsidRPr="00DA2341">
        <w:rPr>
          <w:rFonts w:ascii="Times New Roman" w:eastAsia="Times New Roman" w:hAnsi="Times New Roman" w:cs="Times New Roman"/>
          <w:sz w:val="20"/>
          <w:szCs w:val="20"/>
          <w:lang w:val="es-ES" w:eastAsia="es-ES"/>
        </w:rPr>
        <w:t xml:space="preserve">El no uso de este formato descalifica el artículo y no será tenido en cuenta en la convocatoria. </w:t>
      </w:r>
    </w:p>
    <w:p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r w:rsidRPr="00DA2341">
        <w:rPr>
          <w:rFonts w:ascii="Times New Roman" w:eastAsia="Times New Roman" w:hAnsi="Times New Roman" w:cs="Times New Roman"/>
          <w:b/>
          <w:bCs/>
          <w:sz w:val="20"/>
          <w:szCs w:val="20"/>
          <w:lang w:val="es-ES" w:eastAsia="es-ES"/>
        </w:rPr>
        <w:t>Envío de artículos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La recepción de artículos se realizará por medio de Open </w:t>
      </w:r>
      <w:proofErr w:type="spellStart"/>
      <w:r w:rsidRPr="00DA2341">
        <w:rPr>
          <w:rFonts w:ascii="Times New Roman" w:eastAsia="Times New Roman" w:hAnsi="Times New Roman" w:cs="Times New Roman"/>
          <w:sz w:val="20"/>
          <w:szCs w:val="20"/>
          <w:lang w:val="es-ES" w:eastAsia="es-ES"/>
        </w:rPr>
        <w:t>Journal</w:t>
      </w:r>
      <w:proofErr w:type="spellEnd"/>
      <w:r w:rsidRPr="00DA2341">
        <w:rPr>
          <w:rFonts w:ascii="Times New Roman" w:eastAsia="Times New Roman" w:hAnsi="Times New Roman" w:cs="Times New Roman"/>
          <w:sz w:val="20"/>
          <w:szCs w:val="20"/>
          <w:lang w:val="es-ES" w:eastAsia="es-ES"/>
        </w:rPr>
        <w:t xml:space="preserve"> </w:t>
      </w:r>
      <w:proofErr w:type="spellStart"/>
      <w:r w:rsidRPr="00DA2341">
        <w:rPr>
          <w:rFonts w:ascii="Times New Roman" w:eastAsia="Times New Roman" w:hAnsi="Times New Roman" w:cs="Times New Roman"/>
          <w:sz w:val="20"/>
          <w:szCs w:val="20"/>
          <w:lang w:val="es-ES" w:eastAsia="es-ES"/>
        </w:rPr>
        <w:t>Systems</w:t>
      </w:r>
      <w:proofErr w:type="spellEnd"/>
      <w:r w:rsidRPr="00DA2341">
        <w:rPr>
          <w:rFonts w:ascii="Times New Roman" w:eastAsia="Times New Roman" w:hAnsi="Times New Roman" w:cs="Times New Roman"/>
          <w:sz w:val="20"/>
          <w:szCs w:val="20"/>
          <w:lang w:val="es-ES" w:eastAsia="es-ES"/>
        </w:rPr>
        <w:t xml:space="preserve"> - OJS  en las fechas en que están abiertas las convocatorias.</w:t>
      </w:r>
    </w:p>
    <w:p w:rsidR="00DA2341" w:rsidRDefault="00DA2341">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276DC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FCB" w:rsidRDefault="00D27FCB" w:rsidP="001C6297">
      <w:pPr>
        <w:spacing w:after="0" w:line="240" w:lineRule="auto"/>
      </w:pPr>
      <w:r>
        <w:separator/>
      </w:r>
    </w:p>
  </w:endnote>
  <w:endnote w:type="continuationSeparator" w:id="0">
    <w:p w:rsidR="00D27FCB" w:rsidRDefault="00D27FCB"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FCB" w:rsidRDefault="00D27FCB" w:rsidP="001C6297">
      <w:pPr>
        <w:spacing w:after="0" w:line="240" w:lineRule="auto"/>
      </w:pPr>
      <w:r>
        <w:separator/>
      </w:r>
    </w:p>
  </w:footnote>
  <w:footnote w:type="continuationSeparator" w:id="0">
    <w:p w:rsidR="00D27FCB" w:rsidRDefault="00D27FCB"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5A68CB">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5A68CB">
      <w:rPr>
        <w:rStyle w:val="Nmerodepgina"/>
        <w:noProof/>
      </w:rPr>
      <w:t>9</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5068"/>
    <w:multiLevelType w:val="hybridMultilevel"/>
    <w:tmpl w:val="F93C3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EDE5FE7"/>
    <w:multiLevelType w:val="hybridMultilevel"/>
    <w:tmpl w:val="7E9EF90A"/>
    <w:lvl w:ilvl="0" w:tplc="240A0015">
      <w:start w:val="1"/>
      <w:numFmt w:val="upperLetter"/>
      <w:lvlText w:val="%1."/>
      <w:lvlJc w:val="left"/>
      <w:pPr>
        <w:ind w:left="2520" w:hanging="360"/>
      </w:p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4"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5F452C97"/>
    <w:multiLevelType w:val="hybridMultilevel"/>
    <w:tmpl w:val="9E0CB2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81046B9"/>
    <w:multiLevelType w:val="hybridMultilevel"/>
    <w:tmpl w:val="0944D464"/>
    <w:lvl w:ilvl="0" w:tplc="7AD2627C">
      <w:start w:val="1"/>
      <w:numFmt w:val="decimal"/>
      <w:lvlText w:val="[%1]."/>
      <w:lvlJc w:val="left"/>
      <w:pPr>
        <w:ind w:left="644" w:hanging="360"/>
      </w:pPr>
      <w:rPr>
        <w:rFonts w:hint="default"/>
        <w:i w:val="0"/>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8" w15:restartNumberingAfterBreak="0">
    <w:nsid w:val="787F6B30"/>
    <w:multiLevelType w:val="hybridMultilevel"/>
    <w:tmpl w:val="E344654E"/>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6"/>
  </w:num>
  <w:num w:numId="5">
    <w:abstractNumId w:val="7"/>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86253"/>
    <w:rsid w:val="001C6297"/>
    <w:rsid w:val="00235ADC"/>
    <w:rsid w:val="002659CA"/>
    <w:rsid w:val="00276DC1"/>
    <w:rsid w:val="002B2EAC"/>
    <w:rsid w:val="00556404"/>
    <w:rsid w:val="00591731"/>
    <w:rsid w:val="005A68CB"/>
    <w:rsid w:val="006B29DB"/>
    <w:rsid w:val="006E6599"/>
    <w:rsid w:val="00754584"/>
    <w:rsid w:val="008113A1"/>
    <w:rsid w:val="00834798"/>
    <w:rsid w:val="008A1666"/>
    <w:rsid w:val="00925B2F"/>
    <w:rsid w:val="009402D8"/>
    <w:rsid w:val="00982A1B"/>
    <w:rsid w:val="009914B8"/>
    <w:rsid w:val="009E18CA"/>
    <w:rsid w:val="00B10FFE"/>
    <w:rsid w:val="00B90E9A"/>
    <w:rsid w:val="00BC0D1D"/>
    <w:rsid w:val="00CC0650"/>
    <w:rsid w:val="00D20951"/>
    <w:rsid w:val="00D27FCB"/>
    <w:rsid w:val="00DA2341"/>
    <w:rsid w:val="00DD283B"/>
    <w:rsid w:val="00EB498B"/>
    <w:rsid w:val="00F2647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8F5636-3E3A-4849-A4A0-A337D117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186253"/>
    <w:rPr>
      <w:color w:val="0000FF"/>
      <w:u w:val="single"/>
    </w:rPr>
  </w:style>
  <w:style w:type="character" w:styleId="Hipervnculovisitado">
    <w:name w:val="FollowedHyperlink"/>
    <w:basedOn w:val="Fuentedeprrafopredeter"/>
    <w:uiPriority w:val="99"/>
    <w:semiHidden/>
    <w:unhideWhenUsed/>
    <w:rsid w:val="00276D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revistas.utp.edu.co/index.php/revistaciencia/pages/view/format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revistas.utp.edu.co/index.php/revistaciencia/pages/view/formatos" TargetMode="External"/><Relationship Id="rId2" Type="http://schemas.openxmlformats.org/officeDocument/2006/relationships/numbering" Target="numbering.xml"/><Relationship Id="rId16" Type="http://schemas.openxmlformats.org/officeDocument/2006/relationships/hyperlink" Target="http://revistas.utp.edu.co/index.php/revistaciencia/pages/view/format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casadellibro.com/libro-godel-escher-bach-un-eterno-y-gracil-bucle/9788483830246/1160897"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18308-1922-484C-8786-6E5833DF0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1458</Words>
  <Characters>8022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4</cp:revision>
  <dcterms:created xsi:type="dcterms:W3CDTF">2019-09-03T14:45:00Z</dcterms:created>
  <dcterms:modified xsi:type="dcterms:W3CDTF">2019-09-03T15:30:00Z</dcterms:modified>
</cp:coreProperties>
</file>