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Курсант принимает учебный вызов: разговаривает с заявителем, заполняет карточку происшествия, классифицирует происшествие и оповещает службы — в интерфейсе, повторяющем боевой. После вызова система показывает разбор с ценой каждой ошибки.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54"/>
        <w:gridCol w:w="1805"/>
        <w:gridCol w:w="2295"/>
      </w:tblGrid>
      <w:tr>
        <w:trPr>
          <w:tblHeader w:val="true"/>
        </w:trPr>
        <w:tc>
          <w:tcPr>
            <w:tcW w:w="145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8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18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18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18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18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заявителя, подготовка вызовов, сводки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четыре компонента разворачиваются на одной машине без выхода в интернет и без графического ускорителя. Обоснование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9 837 строк Rust в 51 файле, 3 995 строк TypeScript в 42 файлах, 17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реплики заявителя в разговоре, черновики учебных вызовов,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 из раздела 3.1.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классификатора;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 До этого модель на десять миллиардов параметров регулярно клала значения не в те поля, как её ни просили в подсказке.</w:t>
      </w:r>
    </w:p>
    <w:p>
      <w:pPr>
        <w:pStyle w:val="3"/>
        <w:bidi w:val="0"/>
        <w:jc w:val="left"/>
        <w:rPr/>
      </w:pPr>
      <w:r>
        <w:rPr/>
        <w:t>3.3. Оценка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живых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Статусы карточки — вывод, а не переход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Статус карточки ДДС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Это избавляет от рассинхронизации: любое изменение реагирования сразу даёт верный статус. Фоновая задача (тик 5 секунд) пересчитывает статусы и переводит карточки в «Не оповещено» и «Не завершено» при превышении нормативов; запись условная — по прежнему статусу, поэтому два экземпляра службы не могут записать переход дважды.</w:t>
      </w:r>
    </w:p>
    <w:p>
      <w:pPr>
        <w:pStyle w:val="3"/>
        <w:bidi w:val="0"/>
        <w:jc w:val="left"/>
        <w:rPr/>
      </w:pPr>
      <w:r>
        <w:rPr/>
        <w:t>3.5.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. </w:t>
      </w:r>
    </w:p>
    <w:p>
      <w:pPr>
        <w:pStyle w:val="Style27"/>
        <w:bidi w:val="0"/>
        <w:jc w:val="left"/>
        <w:rPr/>
      </w:pPr>
      <w:r>
        <w:rPr/>
        <w:t>Синтетических данных, придуманных разработчиком, в поставке нет.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своя история, свой разбор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вызовов, группы, аналитика по группе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записи, системные журналы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Занятие курсанта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</w:t>
      </w:r>
      <w:r>
        <w:rPr>
          <w:rStyle w:val="Style14"/>
        </w:rPr>
        <w:t>карточка ДДС: статусы реагирования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</w:t>
      </w:r>
      <w:r>
        <w:rPr>
          <w:rStyle w:val="Style14"/>
        </w:rPr>
        <w:t>разбор с оценкой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Ввод в карточку отправляется на сервер пакетами с задержкой;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повторяется; при отказе сервера правка снимается, а не копится молча.</w:t>
      </w:r>
    </w:p>
    <w:p>
      <w:pPr>
        <w:pStyle w:val="3"/>
        <w:bidi w:val="0"/>
        <w:jc w:val="left"/>
        <w:rPr/>
      </w:pPr>
      <w:r>
        <w:rPr/>
        <w:t>4.3. Подготовка вызовов преподавателем</w:t>
      </w:r>
    </w:p>
    <w:p>
      <w:pPr>
        <w:pStyle w:val="Style27"/>
        <w:bidi w:val="0"/>
        <w:spacing w:before="0" w:after="283"/>
        <w:jc w:val="left"/>
        <w:rPr/>
      </w:pPr>
      <w:r>
        <w:rPr/>
        <w:t>Преподаватель ведёт с моделью переписку об учебном вызове: «поменяй ФИО», «добавь вопрос про детей», «сделай первую фразу короче». Модель отвечает репликой и патчем; патч применяется к вызову, эталон пересчитывается классификатором. Переписка сохраняется между заходами.</w:t>
      </w:r>
    </w:p>
    <w:p>
      <w:pPr>
        <w:pStyle w:val="Style27"/>
        <w:bidi w:val="0"/>
        <w:spacing w:before="0" w:after="283"/>
        <w:jc w:val="left"/>
        <w:rPr/>
      </w:pPr>
      <w:r>
        <w:rPr/>
        <w:t>Готовый вызов преподаватель утверждает — до утверждения курсанты его не видят.</w:t>
      </w:r>
    </w:p>
    <w:p>
      <w:pPr>
        <w:pStyle w:val="3"/>
        <w:bidi w:val="0"/>
        <w:jc w:val="left"/>
        <w:rPr/>
      </w:pPr>
      <w:r>
        <w:rPr/>
        <w:t>4.4.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настоящей статистики занятий средствами SVG, без сторонних библиотек.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подготовка вызовов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очередь заданий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>Доменный слой не знает ни о HTTP, ни о моделях: классификатор и оценка — чистые функции над данными. Поэтому 138 серверных проверок выполняются без поднятия модели.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 — однажды это уже поймало четыре незадокументированных маршрута.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 процессора: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/>
        <w:t>Оговорка к замеру: сравнивались два прогона на одной машине при одинаковой нагрузке, а не усреднение серии. Порядок величины достоверен, вторая значащая цифра — нет.</w:t>
      </w:r>
    </w:p>
    <w:p>
      <w:pPr>
        <w:pStyle w:val="3"/>
        <w:bidi w:val="0"/>
        <w:jc w:val="left"/>
        <w:rPr/>
      </w:pPr>
      <w:r>
        <w:rPr/>
        <w:t>6.3. Ограничения решения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Распознавание и синтез речи не входят в поставку.</w:t>
      </w:r>
      <w:r>
        <w:rPr/>
        <w:t xml:space="preserve"> Разговор с заявителем ведётся текстом. Точки подключения адаптеров заложены (</w:t>
      </w:r>
      <w:r>
        <w:rPr>
          <w:rStyle w:val="Style14"/>
        </w:rPr>
        <w:t>ml/</w:t>
      </w:r>
      <w:r>
        <w:rPr/>
        <w:t xml:space="preserve">), но модели не выбраны.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 разворачивается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build --release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Наполнение данными (классификатор и учебные вызовы) выполняется отдельными командами импорта, см. </w:t>
      </w:r>
      <w:r>
        <w:rPr>
          <w:rStyle w:val="Style14"/>
        </w:rPr>
        <w:t>BACKEND.md</w:t>
      </w:r>
      <w:r>
        <w:rPr/>
        <w:t>, раздел 14.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интерфейс, классификация и оценка полностью функциональны, отсутствуют только реплики заявителя.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138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frontend &amp;&amp; npm test             # 35 сценариев в браузере</w:t>
      </w:r>
    </w:p>
    <w:p>
      <w:pPr>
        <w:pStyle w:val="Style27"/>
        <w:bidi w:val="0"/>
        <w:spacing w:before="0" w:after="283"/>
        <w:jc w:val="left"/>
        <w:rPr/>
      </w:pPr>
      <w:r>
        <w:rPr/>
        <w:t>Тестовый прогон поднимает сервер и клиент самостоятельно.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</w:t>
      </w:r>
    </w:p>
    <w:tbl>
      <w:tblPr>
        <w:tblW w:w="367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117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71"/>
        <w:gridCol w:w="3083"/>
      </w:tblGrid>
      <w:tr>
        <w:trPr>
          <w:tblHeader w:val="true"/>
        </w:trPr>
        <w:tc>
          <w:tcPr>
            <w:tcW w:w="24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4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0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Символ нумерации"/>
    <w:qFormat/>
    <w:rPr/>
  </w:style>
  <w:style w:type="character" w:styleId="Style17">
    <w:name w:val="Маркеры"/>
    <w:qFormat/>
    <w:rPr>
      <w:rFonts w:ascii="OpenSymbol" w:hAnsi="OpenSymbol" w:eastAsia="OpenSymbol" w:cs="OpenSymbol"/>
    </w:rPr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