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2"/>
        <w:gridCol w:w="1733"/>
        <w:gridCol w:w="2389"/>
      </w:tblGrid>
      <w:tr>
        <w:trPr>
          <w:tblHeader w:val="true"/>
        </w:trPr>
        <w:tc>
          <w:tcPr>
            <w:tcW w:w="14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13 877 строк Rust в 60 файлах, 5 302 строки TypeScript в 48 файлах, 25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Во время занятия курсанта модель не вызывается: ответы заявителя подготовлены заранее и выверены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4.5);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настройки, системные журналы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3"/>
        <w:bidi w:val="0"/>
        <w:jc w:val="left"/>
        <w:rPr/>
      </w:pPr>
      <w:r>
        <w:rPr/>
        <w:t>4.5.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4.6.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4.7.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229 серверных проверок</w:t>
      </w:r>
      <w:r>
        <w:rPr/>
        <w:t xml:space="preserve"> выполняются без поднятия модели.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модель не вызывается во время занятия курсанта (раздел 3.7), а подготовка вызовов и сводки идут в фоновой очереди.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что к чему относится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1699"/>
        <w:gridCol w:w="2219"/>
      </w:tblGrid>
      <w:tr>
        <w:trPr>
          <w:tblHeader w:val="true"/>
        </w:trPr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 чему относится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 нас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100 пользователях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запросы к серверу приложения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модель в этот путь не входит; подбор служб по признакам — прямой поиск по таблице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передача голоса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модели; голосового канала в текущей поставке нет (раздел 6.4)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≤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аналитические отчёты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считаются в фоновой очереди из базы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восстановление сессии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пакеты ввода повторяются, канал событий переподключается</w:t>
            </w:r>
          </w:p>
        </w:tc>
      </w:tr>
    </w:tbl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 и словесной сводки по группе.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229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frontend &amp;&amp; npm test             # 54 сценария в браузере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