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01"/>
        <w:gridCol w:w="1637"/>
        <w:gridCol w:w="2516"/>
      </w:tblGrid>
      <w:tr>
        <w:trPr>
          <w:tblHeader w:val="true"/>
        </w:trPr>
        <w:tc>
          <w:tcPr>
            <w:tcW w:w="140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0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5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4.5);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3"/>
        <w:bidi w:val="0"/>
        <w:jc w:val="left"/>
        <w:rPr/>
      </w:pPr>
      <w:r>
        <w:rPr/>
        <w:t>4.5.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4.6.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4.7.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258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что к чему относится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1699"/>
        <w:gridCol w:w="2219"/>
      </w:tblGrid>
      <w:tr>
        <w:trPr>
          <w:tblHeader w:val="true"/>
        </w:trPr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 чему относится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 нас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100 пользователях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запросы к серверу приложения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модель в этот путь не входит; подбор служб по признакам — прямой поиск по таблице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передача голоса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модели; голосового канала в текущей поставке нет (раздел 6.4)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≤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аналитические отчёты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считаются в фоновой очереди из базы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восстановление сессии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пакеты ввода повторяются, канал событий переподключается</w:t>
            </w:r>
          </w:p>
        </w:tc>
      </w:tr>
    </w:tbl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4.5).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258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55 сценариев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