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0"/>
        <w:gridCol w:w="2312"/>
        <w:gridCol w:w="2422"/>
      </w:tblGrid>
      <w:tr>
        <w:trPr>
          <w:tblHeader w:val="true"/>
        </w:trPr>
        <w:tc>
          <w:tcPr>
            <w:tcW w:w="13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служб-столбцов.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Справочник служб — как окно «Добавьте службы» боевой системы.</w:t>
      </w:r>
      <w:r>
        <w:rPr/>
        <w:t xml:space="preserve"> В нём </w:t>
      </w:r>
      <w:r>
        <w:rPr>
          <w:rStyle w:val="Style15"/>
        </w:rPr>
        <w:t>211 служб</w:t>
      </w:r>
      <w:r>
        <w:rPr/>
        <w:t xml:space="preserve"> в том же порядке и с теми же названиями, что на кадрах материалов экспертов (</w:t>
      </w:r>
      <w:r>
        <w:rPr>
          <w:rStyle w:val="Style14"/>
        </w:rPr>
        <w:t>refs/СЛУЖБЫ 112</w:t>
      </w:r>
      <w:r>
        <w:rPr/>
        <w:t xml:space="preserve">, 55 кадров; выписка — </w:t>
      </w:r>
      <w:r>
        <w:rPr>
          <w:rStyle w:val="Style14"/>
        </w:rPr>
        <w:t>backend/docs/справочники/</w:t>
      </w:r>
      <w:r>
        <w:rPr/>
        <w:t xml:space="preserve">). 172 из них — районные ДДС, префектуры, окружные «ГБУ АД», ОГДЦ, «112 Мос. обл.» и т. п. — в классификаторе столбца не имеют: автоматически не подбираются и в эталон не входят, их добавляют вручную. Двадцать столбцов классификатора, которых в окне нет («Территориальные ОИВ», «Аппарат МЭРА», «ГУП МСР» …), скрыты: их нет ни в окне, ни в автоподборе, ни в эталоне разбора — курсант не может добавить такую службу, и штрафовать за неё нельзя. В старых карточках их названия по-прежнему видны. Между двумя кадрами окна есть пропуск в съёмке — </w:t>
      </w:r>
      <w:r>
        <w:rPr>
          <w:rStyle w:val="Style14"/>
        </w:rPr>
        <w:t>OPEN-QUESTIONS.md</w:t>
      </w:r>
      <w:r>
        <w:rPr/>
        <w:t>, вопрос 23.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>, как в боевой системе (полный список передан экспертами в чате задачи): написание и порядок — дословно по кадрам выпадающего списка (</w:t>
      </w:r>
      <w:r>
        <w:rPr>
          <w:rStyle w:val="Style14"/>
        </w:rPr>
        <w:t>refs/КАРТОЧКА 112</w:t>
      </w:r>
      <w:r>
        <w:rPr/>
        <w:t xml:space="preserve">, image2…13), список открывается по фокусу целиком и сужается по вводу; быстрые плашки пустой карточки — слева направо по кадру.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4"/>
        <w:gridCol w:w="4350"/>
      </w:tblGrid>
      <w:tr>
        <w:trPr>
          <w:tblHeader w:val="true"/>
        </w:trPr>
        <w:tc>
          <w:tcPr>
            <w:tcW w:w="17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80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1081"/>
        <w:gridCol w:w="3029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0"/>
        <w:gridCol w:w="466"/>
        <w:gridCol w:w="3068"/>
      </w:tblGrid>
      <w:tr>
        <w:trPr>
          <w:tblHeader w:val="true"/>
        </w:trPr>
        <w:tc>
          <w:tcPr>
            <w:tcW w:w="25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спрашивает о каждом сведении, которого не услышал или которое доложено не так, как в карточке, — по порядку «что, где, пострадавшие, бригада, этап, службы», каждую тему один раз,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преподавателем. Во время вызова модель участвует в двух местах. Свободный вопрос заявителю (раздел 3.11): модель понимает, про какой из заготовленных фактов спросили, и выбирает его из закрытого списка. Живой заявитель на профиле с видеокартой (</w:t>
      </w:r>
      <w:r>
        <w:rPr>
          <w:rStyle w:val="Style14"/>
        </w:rPr>
        <w:t>applicant.live_model = 1</w:t>
      </w:r>
      <w:r>
        <w:rPr/>
        <w:t>, раздел 3.11): модель пересказывает своими словами уже выбранный ответ сценария, видя только раскрытые факты; реплика проверяется до показа, иначе звучит записанный ответ. На процессоре эта настройка выключена, и заявитель говорит ответами сценария. Какой факт раскрыт и как это оценивается, модель не решает ни в одном из случаев.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4"/>
        <w:gridCol w:w="2405"/>
        <w:gridCol w:w="2435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7"/>
        <w:gridCol w:w="917"/>
        <w:gridCol w:w="1905"/>
        <w:gridCol w:w="1255"/>
      </w:tblGrid>
      <w:tr>
        <w:trPr>
          <w:tblHeader w:val="true"/>
        </w:trPr>
        <w:tc>
          <w:tcPr>
            <w:tcW w:w="20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5"/>
        <w:gridCol w:w="1137"/>
        <w:gridCol w:w="1645"/>
        <w:gridCol w:w="1037"/>
      </w:tblGrid>
      <w:tr>
        <w:trPr>
          <w:tblHeader w:val="true"/>
        </w:trPr>
        <w:tc>
          <w:tcPr>
            <w:tcW w:w="23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50"/>
        <w:gridCol w:w="4274"/>
      </w:tblGrid>
      <w:tr>
        <w:trPr>
          <w:tblHeader w:val="true"/>
        </w:trPr>
        <w:tc>
          <w:tcPr>
            <w:tcW w:w="18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оператор 112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«Карточки для заполнения»: разделы «Учебные вызовы», «Экзамены», «Тренировка по частям» — только выданное преподавателем; приём вызова и заполнение карточки 112, разбор без повторного прохождения, прогноз, рекомендации, свои автоматическая и экспертная оценки. Списка происшествий у оператора 112 нет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диспетчер ДДС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происшествия», «Экзамены», «Тренировка по частям» и лента — только происшествия, выданные ему преподавателем; карточка ДДС (поля 112 — только чтение), статусы реагирования, бригада и доклады, доклад начальнику, свой разбор ДДС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учебный материал (вызовы 112 и происшествия ДДС — по описанию моделью или вручную, утверждение), группы и профили курсантов, занятия (обычное, экзамен, тренировка по частям), ход занятия по местам, веса оценки, аналитика по группе и по ученику, экспертная оценка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параметры,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Два рабочих места курсанта.</w:t>
      </w:r>
      <w:r>
        <w:rPr/>
        <w:t xml:space="preserve"> Организатор, чат 18.09: «один интерфейс, одна учётка, две мини-роли — либо пользователь заносит данные от потерпевшего, либо пользователь передаёт карточку в ДДС и там её уже принимают». У учётной записи курсанта — профиль рабочего места (</w:t>
      </w:r>
      <w:r>
        <w:rPr>
          <w:rStyle w:val="Style14"/>
        </w:rPr>
        <w:t>users.duty</w:t>
      </w:r>
      <w:r>
        <w:rPr/>
        <w:t xml:space="preserve">): </w:t>
      </w:r>
      <w:r>
        <w:rPr>
          <w:rStyle w:val="Style15"/>
        </w:rPr>
        <w:t>оператор 112</w:t>
      </w:r>
      <w:r>
        <w:rPr/>
        <w:t xml:space="preserve"> или </w:t>
      </w:r>
      <w:r>
        <w:rPr>
          <w:rStyle w:val="Style15"/>
        </w:rPr>
        <w:t>диспетчер ДДС</w:t>
      </w:r>
      <w:r>
        <w:rPr/>
        <w:t xml:space="preserve"> своей службы. Интерфейс общий, функционал разный: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1"/>
        <w:gridCol w:w="1213"/>
        <w:gridCol w:w="1360"/>
      </w:tblGrid>
      <w:tr>
        <w:trPr>
          <w:tblHeader w:val="true"/>
        </w:trPr>
        <w:tc>
          <w:tcPr>
            <w:tcW w:w="355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Действие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вызовы / Экзамены / Тренировка по частям» 112, начать выданный вызов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заявителю (кнопкой, своими словами, голосом)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заполнить и сохранить карточку 112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свои карточки в разделах, их разбор, прогноз, рекомендации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происшествия / Экзамены / Тренировка по частям» ДДС и лента выданного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отметка открытия, статусы реагирования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бригада, звонок старшему, доклады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вышестоящему начальнику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Нарушение — отказ </w:t>
      </w:r>
      <w:r>
        <w:rPr>
          <w:rStyle w:val="Style14"/>
        </w:rPr>
        <w:t>403 wrong_duty</w:t>
      </w:r>
      <w:r>
        <w:rPr/>
        <w:t xml:space="preserve"> с объяснением. Профиль сервер берёт из базы на каждом запросе и при подписке на канал событий, поэтому смена профиля действует сразу, без перевхода. Незаконченный вызов 112, начатый до перевода в ДДС, продолжить нельзя: и экран, и сервер отвечают отказом. Прямая ссылка на экран другого рабочего места показывает «Недоступно для вашего профиля», а не пустоту. В шапке у курсанта — его рабочее место («Оператор 112» или «Диспетчер ДДС · служба»).</w:t>
      </w:r>
    </w:p>
    <w:p>
      <w:pPr>
        <w:pStyle w:val="Style27"/>
        <w:bidi w:val="0"/>
        <w:spacing w:before="0" w:after="283"/>
        <w:jc w:val="left"/>
        <w:rPr/>
      </w:pPr>
      <w:r>
        <w:rPr/>
        <w:t>Профиль назначают администратор (любому курсанту, в разделе «Пользователи») и преподаватель (своим курсантам, в списке группы на странице занятий): обучающегося «могут направить на практику в одно или другое место». Диспетчеру ДДС служба обязательна — по ней отбирается его лента; оператору 112 она не нужна. Каждая смена — в журнале действий (</w:t>
      </w:r>
      <w:r>
        <w:rPr>
          <w:rStyle w:val="Style14"/>
        </w:rPr>
        <w:t>user.duty</w:t>
      </w:r>
      <w:r>
        <w:rPr/>
        <w:t>). Занятие ведётся на одном рабочем месте: вызовы 112 достаются только операторам группы, карточки ДДС — только диспетчерам по их службам; нет в группе курсантов нужного профиля — занятие не запускается и говорит почему.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«Карточки для заполнения» → выданный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Разделы курсанта</w:t>
      </w:r>
      <w:r>
        <w:rPr/>
        <w:t xml:space="preserve"> (Денис, 29.09: «оператор 112 должен видеть только карточки происшествий для заполнения»). Вместо журнала происшествий у оператора 112 — «Карточки для заполнения» с тремя разделами: «Учебные вызовы», «Экзамены» и «Тренировка по частям» (так назван блиц). В строке — дата выдачи, тема, статус цветом (серый — не начат, оранжевый — выполняется, зелёный — закончен, красный — пропущен) и балл. Законченная карточка открывается только на разбор с ошибками: повторно пройти её нельзя, и это проверяет сервер (</w:t>
      </w:r>
      <w:r>
        <w:rPr>
          <w:rStyle w:val="Style14"/>
        </w:rPr>
        <w:t>409</w:t>
      </w:r>
      <w:r>
        <w:rPr/>
        <w:t>). В экзамене начать можно только следующий по порядку вызов, балл виден после экзамена. Всё это выдаёт преподаватель — сам курсант вызов не выбирает (</w:t>
      </w:r>
      <w:r>
        <w:rPr>
          <w:rStyle w:val="Style14"/>
        </w:rPr>
        <w:t>GET /api/me/work?section=training|exam|blitz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карточке можно выбрать </w:t>
      </w:r>
      <w:r>
        <w:rPr>
          <w:rStyle w:val="Style15"/>
        </w:rPr>
        <w:t>несколько типов происшествия</w:t>
      </w:r>
      <w:r>
        <w:rPr/>
        <w:t xml:space="preserve"> — из выпадающего списка или быстрыми плашками; у каждого своя опросная карта, и </w:t>
      </w:r>
      <w:r>
        <w:rPr>
          <w:rStyle w:val="Style15"/>
        </w:rPr>
        <w:t>все уровни признаков</w:t>
      </w:r>
      <w:r>
        <w:rPr/>
        <w:t xml:space="preserve"> доходят до позиции классификатора. У карт, снятых со скриншотов (101, 104, «Взрыв»), недостающие вторые и третьи уровни дописаны из классификатора: скриншот показывал одну открытую ветку.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Диспетчеру приходят </w:t>
      </w:r>
      <w:r>
        <w:rPr>
          <w:rStyle w:val="Style15"/>
        </w:rPr>
        <w:t>только учебные происшествия, выданные преподавателем</w:t>
      </w:r>
      <w:r>
        <w:rPr/>
        <w:t xml:space="preserve"> (Денис, 29.09: «карточки, заполненные оператором 112, не должны попадать к операторам ДДС; все карточки выдаёт им только преподаватель»). Учебное происшествие — готовая карточка 112, которую преподаватель собрал сам или по описанию моделью и утвердил (</w:t>
      </w:r>
      <w:r>
        <w:rPr>
          <w:rStyle w:val="Style14"/>
        </w:rPr>
        <w:t>cards.origin = 'teacher'</w:t>
      </w:r>
      <w:r>
        <w:rPr/>
        <w:t>). Карточки курсантов 112 к диспетчеру не попадают — ни в ленту, ни по прямой ссылке, ни через занятие. Диспетчер работает с несколькими карточками одновременно, как в текущей работе: пока он занят одной, время идёт и у ожидающих. У диспетчера те же три раздела — «Учебные происшествия», «Экзамены», «Тренировка по частям», под ними лента выданного.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7"/>
        <w:gridCol w:w="4987"/>
      </w:tblGrid>
      <w:tr>
        <w:trPr>
          <w:tblHeader w:val="true"/>
        </w:trPr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происшествия преподавателя — выбранные поимённо в нужном порядке или подобранные системой по службам курсантов; карточки курсантов 112 в занятие ДДС не берутся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0"/>
        <w:gridCol w:w="1719"/>
        <w:gridCol w:w="2855"/>
      </w:tblGrid>
      <w:tr>
        <w:trPr>
          <w:tblHeader w:val="true"/>
        </w:trPr>
        <w:tc>
          <w:tcPr>
            <w:tcW w:w="15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5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  <w:r>
              <w:rPr/>
              <w:t xml:space="preserve"> (экзамен)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5–10 вызовов приёма 112 или происшествий ДДС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5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  <w:r>
              <w:rPr/>
              <w:t xml:space="preserve"> («Тренировка по частям»)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нижняя граница блица — 3 задания; «пострадавшие» относятся к сегменту «тип происшествия». У экзамена ДДС те же правила: разбор бригады скрыт до конца экзамена.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Ход занятия по местам</w:t>
      </w:r>
      <w:r>
        <w:rPr/>
        <w:t xml:space="preserve"> — страница идущего занятия, как в показанном заказчику образце. Сверху — время, число мест, кто опаздывает сейчас, «не оповещено», отказы, незавершённые и «на проверке X из Y». Места разделены на блоки </w:t>
      </w:r>
      <w:r>
        <w:rPr>
          <w:rStyle w:val="Style15"/>
        </w:rPr>
        <w:t>«Операторы 112»</w:t>
      </w:r>
      <w:r>
        <w:rPr/>
        <w:t xml:space="preserve"> и </w:t>
      </w:r>
      <w:r>
        <w:rPr>
          <w:rStyle w:val="Style15"/>
        </w:rPr>
        <w:t>«Диспетчеры ДДС»</w:t>
      </w:r>
      <w:r>
        <w:rPr/>
        <w:t>. У каждого места — ФИО, текущая карточка (номер, тема, адрес), крупный таймер против норматива (у опаздывающих красный, и красная рамка карточки), ход заполнения карточки 112 (адрес, тип, службы, описание) или текущий статус реагирования у ДДС, счётчики «Вызовов / Сохранил / Сдал» или «Открыл / Ответил / Сдал». Обновление — раз в 2,5 с, есть режим проектора (</w:t>
      </w:r>
      <w:r>
        <w:rPr>
          <w:rStyle w:val="Style14"/>
        </w:rPr>
        <w:t>GET /api/lessons/{id}/monitor</w:t>
      </w:r>
      <w:r>
        <w:rPr/>
        <w:t>).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Курсанту при заведении задаётся рабочее место — оператор 112 или диспетчер ДДС со службой (раздел 4.1); менять его могут администратор и преподаватель своей группы.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Учебный материал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Раздел «Учебный материал» — две вкладки: </w:t>
      </w:r>
      <w:r>
        <w:rPr>
          <w:rStyle w:val="Style15"/>
        </w:rPr>
        <w:t>«Вызовы 112»</w:t>
      </w:r>
      <w:r>
        <w:rPr/>
        <w:t xml:space="preserve"> и </w:t>
      </w:r>
      <w:r>
        <w:rPr>
          <w:rStyle w:val="Style15"/>
        </w:rPr>
        <w:t>«Происшествия ДДС»</w:t>
      </w:r>
      <w:r>
        <w:rPr/>
        <w:t>. Создать материал можно тремя путями: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 описанию</w:t>
      </w:r>
      <w:r>
        <w:rPr/>
        <w:t xml:space="preserve"> («Создать по описанию (ИИ)»): преподаватель пишет словами, что произошло; модель готовит черновик по строгой схеме (первая фраза, заявитель, факты с вопросами и ответами — у вызова 112; адрес, описание, тип и признаки — у происшествия ДДС);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вручную</w:t>
      </w:r>
      <w:r>
        <w:rPr/>
        <w:t xml:space="preserve"> («Собрать вручную»): форма из тех же виджетов, что карточка 112, — адрес, тип и опросная карта, факты;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из билетов — подготовка из материалов задачи (конвейер раздела 3.7). </w:t>
      </w:r>
    </w:p>
    <w:p>
      <w:pPr>
        <w:pStyle w:val="Style27"/>
        <w:bidi w:val="0"/>
        <w:jc w:val="left"/>
        <w:rPr/>
      </w:pPr>
      <w:r>
        <w:rPr/>
        <w:t xml:space="preserve">Службы и итоговый тип — и в эталоне вызова, и в происшествии — считает </w:t>
      </w:r>
      <w:r>
        <w:rPr>
          <w:rStyle w:val="Style15"/>
        </w:rPr>
        <w:t>классификатор, а не модель</w:t>
      </w:r>
      <w:r>
        <w:rPr/>
        <w:t xml:space="preserve">; вручную можно добавить службу из окна «Добавьте службы». Черновик преподаватель правит и </w:t>
      </w:r>
      <w:r>
        <w:rPr>
          <w:rStyle w:val="Style15"/>
        </w:rPr>
        <w:t>утверждает</w:t>
      </w:r>
      <w:r>
        <w:rPr/>
        <w:t>: до утверждения ни курсанты, ни составление занятия его не видят. Все утверждённые материалы выбираются при составлении занятия поимённо. Выданное в занятии происшествие больше не правится (</w:t>
      </w:r>
      <w:r>
        <w:rPr>
          <w:rStyle w:val="Style14"/>
        </w:rPr>
        <w:t>409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Вызов 112 доводится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Аналитика — </w:t>
      </w:r>
      <w:r>
        <w:rPr>
          <w:rStyle w:val="Style15"/>
        </w:rPr>
        <w:t>по группе и по отдельному ученику</w:t>
      </w:r>
      <w:r>
        <w:rPr/>
        <w:t>, для операторов 112 и диспетчеров ДДС отдельно. По группе: средний балл, время против норматива, лидеры и отстающие с тем, на чём они ошибаются, типичные ошибки группы, тепловая карта «ученик × группа проверок», прогноз. По ученику: история попыток с датами и баллами, ошибки по группам проверок, динамика балла, прогноз против факта (</w:t>
      </w:r>
      <w:r>
        <w:rPr>
          <w:rStyle w:val="Style14"/>
        </w:rPr>
        <w:t>GET /api/analytics/groups/{id}?duty=op112|dds</w:t>
      </w:r>
      <w:r>
        <w:rPr/>
        <w:t xml:space="preserve">, </w:t>
      </w:r>
      <w:r>
        <w:rPr>
          <w:rStyle w:val="Style14"/>
        </w:rPr>
        <w:t>GET /api/analytics/students/{id}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Нормативы, параметры прогноза, рекомендаций и шкалы бригады хранятся в таблице настроек, а не в коде. Администратор меняет их на вкладке «Параметры» (или через API 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3"/>
        <w:bidi w:val="0"/>
        <w:jc w:val="left"/>
        <w:rPr/>
      </w:pPr>
      <w:r>
        <w:rPr/>
        <w:t>4.9. Веса оценки</w:t>
      </w:r>
    </w:p>
    <w:p>
      <w:pPr>
        <w:pStyle w:val="Style27"/>
        <w:bidi w:val="0"/>
        <w:spacing w:before="0" w:after="283"/>
        <w:jc w:val="left"/>
        <w:rPr/>
      </w:pPr>
      <w:r>
        <w:rPr/>
        <w:t>Страница преподавателя «Веса оценки». Каждое замечание разбора — проверка: «верно» засчитывается целиком, «угадал» и «лишняя служба» — на две трети, «не заполнено» — на треть, «неверно» — ноль. Проверки разложены по семи группам, у каждой вес 0–5: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6"/>
        <w:gridCol w:w="4008"/>
      </w:tblGrid>
      <w:tr>
        <w:trPr>
          <w:tblHeader w:val="true"/>
        </w:trPr>
        <w:tc>
          <w:tcPr>
            <w:tcW w:w="21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Группа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в неё входит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 на открытие, 3 мин на первую запись, норматив набора карточки 112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Порядок статусов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статусы по порядку и по докладам бригады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причина «Не принята» и «Отказа», кому передано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Адрес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улица, дом и прочие поля адреса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 происшествия и службы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тип, итоговый тип, службы оповещения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Полнота карточки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признаки опросной карты, пострадавшие, «сказал ↔ заполнил»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Понятность текста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замечания нейросетевого анализа ручного ввода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= Σ (вес группы × зачёт проверки) / Σ весов.</w:t>
      </w:r>
      <w:r>
        <w:rPr/>
        <w:t xml:space="preserve"> Группа с весом 0 не учитывается. По умолчанию все веса 3, а «понятность текста» — 0: при равных весах формула совпадает с прежней, и включение весов старые баллы не сдвигает, а модель без решения преподавателя балл не меняет. </w:t>
      </w:r>
      <w:r>
        <w:rPr>
          <w:rStyle w:val="Style15"/>
        </w:rPr>
        <w:t>Критичная ошибка</w:t>
      </w:r>
      <w:r>
        <w:rPr/>
        <w:t xml:space="preserve"> — похожая, но другая улица («Дубнинская» вместо «Дубининской», разница в 1–2 буквы) — ограничивает балл 40 из 100.</w:t>
      </w:r>
    </w:p>
    <w:p>
      <w:pPr>
        <w:pStyle w:val="Style27"/>
        <w:bidi w:val="0"/>
        <w:spacing w:before="0" w:after="283"/>
        <w:jc w:val="left"/>
        <w:rPr/>
      </w:pPr>
      <w:r>
        <w:rPr/>
        <w:t>Ползунки пересчитывают баллы всех попыток сразу, до сохранения (</w:t>
      </w:r>
      <w:r>
        <w:rPr>
          <w:rStyle w:val="Style14"/>
        </w:rPr>
        <w:t>POST /api/grading/weights/preview</w:t>
      </w:r>
      <w:r>
        <w:rPr/>
        <w:t>): справа «средний балл было → стало», сколько попыток изменят балл, сколько станут ≥ 70, ниже — баллы учеников «было → стало». «Сохранить и пересчитать» (</w:t>
      </w:r>
      <w:r>
        <w:rPr>
          <w:rStyle w:val="Style14"/>
        </w:rPr>
        <w:t>PUT /api/grading/weights</w:t>
      </w:r>
      <w:r>
        <w:rPr/>
        <w:t xml:space="preserve">) пересчитывает все попытки и пишет в журнал действий </w:t>
      </w:r>
      <w:r>
        <w:rPr>
          <w:rStyle w:val="Style14"/>
        </w:rPr>
        <w:t>grading.weights</w:t>
      </w:r>
      <w:r>
        <w:rPr/>
        <w:t>.</w:t>
      </w:r>
    </w:p>
    <w:p>
      <w:pPr>
        <w:pStyle w:val="3"/>
        <w:bidi w:val="0"/>
        <w:jc w:val="left"/>
        <w:rPr/>
      </w:pPr>
      <w:r>
        <w:rPr/>
        <w:t>4.10. Учебный набор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Стенд наполняется скриптом </w:t>
      </w:r>
      <w:r>
        <w:rPr>
          <w:rStyle w:val="Style14"/>
        </w:rPr>
        <w:t>deploy/seed/залить.py</w:t>
      </w:r>
      <w:r>
        <w:rPr/>
        <w:t>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python3 deploy/seed/залить.py http://127.0.0.1:&lt;порт&gt; &lt;имя базы&gt;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Скрипт </w:t>
      </w:r>
      <w:r>
        <w:rPr>
          <w:rStyle w:val="Style15"/>
        </w:rPr>
        <w:t>очищает учебные данные</w:t>
      </w:r>
      <w:r>
        <w:rPr/>
        <w:t xml:space="preserve"> — карточки, вызовы, занятия, попытки, группы, учётные записи, кроме администратора (перед запуском снимите копию базы, </w:t>
      </w:r>
      <w:r>
        <w:rPr>
          <w:rStyle w:val="Style14"/>
        </w:rPr>
        <w:t>pg_dump</w:t>
      </w:r>
      <w:r>
        <w:rPr/>
        <w:t>), — и заводит заново: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преподаватель </w:t>
      </w:r>
      <w:r>
        <w:rPr>
          <w:rStyle w:val="Style14"/>
        </w:rPr>
        <w:t>teacher1</w:t>
      </w:r>
      <w:r>
        <w:rPr/>
        <w:t xml:space="preserve">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2 группы операторов 112 по 5 человек (</w:t>
      </w:r>
      <w:r>
        <w:rPr>
          <w:rStyle w:val="Style14"/>
        </w:rPr>
        <w:t>op01</w:t>
      </w:r>
      <w:r>
        <w:rPr/>
        <w:t>…</w:t>
      </w:r>
      <w:r>
        <w:rPr>
          <w:rStyle w:val="Style14"/>
        </w:rPr>
        <w:t>op10</w:t>
      </w:r>
      <w:r>
        <w:rPr/>
        <w:t>) и 2 группы диспетчеров ДДС по 5 (</w:t>
      </w:r>
      <w:r>
        <w:rPr>
          <w:rStyle w:val="Style14"/>
        </w:rPr>
        <w:t>dds01</w:t>
      </w:r>
      <w:r>
        <w:rPr/>
        <w:t>…</w:t>
      </w:r>
      <w:r>
        <w:rPr>
          <w:rStyle w:val="Style14"/>
        </w:rPr>
        <w:t>dds10</w:t>
      </w:r>
      <w:r>
        <w:rPr/>
        <w:t xml:space="preserve">; службы 101, 104, 103, ЦОДД, Мослифт / Деп. ЖКХ — внутри группы разные);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20 вызовов 112 и 20 учебных происшествий ДДС — по два на каждую из 10 тем (пожар в доме, пожар на улице, мусоропровод, газ, ДТП с пострадавшими и без, лифт, затопление, плохо человеку, человек в опасности), утверждённые и </w:t>
      </w:r>
      <w:r>
        <w:rPr>
          <w:rStyle w:val="Style15"/>
        </w:rPr>
        <w:t>никому не выданные</w:t>
      </w:r>
      <w:r>
        <w:rPr/>
        <w:t xml:space="preserve">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по 2 экзамена и 2 тренировки по частям для каждой роли — созданы, не запущены. </w:t>
      </w:r>
    </w:p>
    <w:p>
      <w:pPr>
        <w:pStyle w:val="Style27"/>
        <w:bidi w:val="0"/>
        <w:jc w:val="left"/>
        <w:rPr/>
      </w:pPr>
      <w:r>
        <w:rPr/>
        <w:t>Тексты написала модель тренажёра по описаниям тем (</w:t>
      </w:r>
      <w:r>
        <w:rPr>
          <w:rStyle w:val="Style14"/>
        </w:rPr>
        <w:t>deploy/seed/темы.json</w:t>
      </w:r>
      <w:r>
        <w:rPr/>
        <w:t xml:space="preserve"> — учебные ситуации, не реальные вызовы), признаки опросной карты заданы по дереву классификатора (</w:t>
      </w:r>
      <w:r>
        <w:rPr>
          <w:rStyle w:val="Style14"/>
        </w:rPr>
        <w:t>эталоны.json</w:t>
      </w:r>
      <w:r>
        <w:rPr/>
        <w:t xml:space="preserve">): модель у 13 из 40 не доводила их до служб. Службы считает классификатор; Мослифт и Деп. ЖКХ в лифте и затоплении добавлены вручную — в матрице они получают только копию карточки. Готовые тексты — </w:t>
      </w:r>
      <w:r>
        <w:rPr>
          <w:rStyle w:val="Style14"/>
        </w:rPr>
        <w:t>учебный-набор.json</w:t>
      </w:r>
      <w:r>
        <w:rPr/>
        <w:t xml:space="preserve">, заново их готовит </w:t>
      </w:r>
      <w:r>
        <w:rPr>
          <w:rStyle w:val="Style14"/>
        </w:rPr>
        <w:t>сгенерировать.py</w:t>
      </w:r>
      <w:r>
        <w:rPr/>
        <w:t>. Пароль всех учётных записей — как у администратора.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383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 под vLLM 0.30, скрипт запуска и флаги — </w:t>
      </w:r>
      <w:r>
        <w:rPr>
          <w:rStyle w:val="Style14"/>
        </w:rPr>
        <w:t>deploy/gpu/start-vllm.sh</w:t>
      </w:r>
      <w:r>
        <w:rPr/>
        <w:t>. Сравнивали две модели, обе с лицензией Apache 2.0:</w:t>
      </w:r>
    </w:p>
    <w:p>
      <w:pPr>
        <w:pStyle w:val="Style27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Gemma 4 26B-A4B</w:t>
      </w:r>
      <w:r>
        <w:rPr/>
        <w:t xml:space="preserve"> — смесь экспертов, на токене работают около 4 млрд параметров; квантование INT4 из официального QAT-чекпоинта (</w:t>
      </w:r>
      <w:r>
        <w:rPr>
          <w:rStyle w:val="Style14"/>
        </w:rPr>
        <w:t>cyankiwi/gemma-4-26B-A4B-it-qat-AWQ-INT4</w:t>
      </w:r>
      <w:r>
        <w:rPr/>
        <w:t xml:space="preserve">, 17 ГБ). </w:t>
      </w:r>
      <w:r>
        <w:rPr>
          <w:rStyle w:val="Style15"/>
        </w:rPr>
        <w:t>Выбрана по умолчанию</w:t>
      </w:r>
      <w:r>
        <w:rPr/>
        <w:t xml:space="preserve">: втрое быстрее и не хуже по качеству. </w:t>
      </w:r>
    </w:p>
    <w:p>
      <w:pPr>
        <w:pStyle w:val="Style27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Qwen3.8-27B</w:t>
      </w:r>
      <w:r>
        <w:rPr/>
        <w:t xml:space="preserve"> — плотная, INT4 W4A16 (</w:t>
      </w:r>
      <w:r>
        <w:rPr>
          <w:rStyle w:val="Style14"/>
        </w:rPr>
        <w:t>RedHatAI/Qwen3.8-27B-INT4</w:t>
      </w:r>
      <w:r>
        <w:rPr/>
        <w:t xml:space="preserve">, 19,5 ГБ). </w:t>
      </w:r>
    </w:p>
    <w:p>
      <w:pPr>
        <w:pStyle w:val="Style27"/>
        <w:bidi w:val="0"/>
        <w:jc w:val="left"/>
        <w:rPr/>
      </w:pPr>
      <w:r>
        <w:rPr/>
        <w:t>Замеры 28.09 на наших запросах, каждая модель одна на своей видеокарте: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1546"/>
        <w:gridCol w:w="796"/>
        <w:gridCol w:w="1771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 в секунду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с, ложных «противоречит» 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заявителю: понято из 27 / отсеяно бессмысленных из 7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 живые, 1,6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 живые,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Реплики Gemma ближе к тексту сценария (6 из 19 — дословно), у Qwen — живее, но Qwen однажды добавил от себя «огонь перекинулся на второй этаж», которого в сценарии нет. Отбраковки у обеих — на вопросах не по делу: проверка реплики требует «сути ответа» там, где ответа по сценарию нет (известный недочёт проверки).</w:t>
      </w:r>
    </w:p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9"/>
        <w:gridCol w:w="1635"/>
        <w:gridCol w:w="2450"/>
      </w:tblGrid>
      <w:tr>
        <w:trPr>
          <w:tblHeader w:val="true"/>
        </w:trPr>
        <w:tc>
          <w:tcPr>
            <w:tcW w:w="2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 учебного набора (раздел 4.10):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op01</w:t>
      </w:r>
      <w:r>
        <w:rPr/>
        <w:t>…</w:t>
      </w:r>
      <w:r>
        <w:rPr>
          <w:rStyle w:val="Style14"/>
        </w:rPr>
        <w:t>op10</w:t>
      </w:r>
      <w:r>
        <w:rPr/>
        <w:t xml:space="preserve"> (операторы 112), </w:t>
      </w:r>
      <w:r>
        <w:rPr>
          <w:rStyle w:val="Style14"/>
        </w:rPr>
        <w:t>dds01</w:t>
      </w:r>
      <w:r>
        <w:rPr/>
        <w:t>…</w:t>
      </w:r>
      <w:r>
        <w:rPr>
          <w:rStyle w:val="Style14"/>
        </w:rPr>
        <w:t>dds10</w:t>
      </w:r>
      <w:r>
        <w:rPr/>
        <w:t xml:space="preserve"> (диспетчеры ДДС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383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93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914"/>
        <w:gridCol w:w="1339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1"/>
        <w:gridCol w:w="989"/>
        <w:gridCol w:w="1213"/>
        <w:gridCol w:w="2111"/>
      </w:tblGrid>
      <w:tr>
        <w:trPr>
          <w:tblHeader w:val="true"/>
        </w:trPr>
        <w:tc>
          <w:tcPr>
            <w:tcW w:w="1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4"/>
        <w:gridCol w:w="1008"/>
        <w:gridCol w:w="1162"/>
        <w:gridCol w:w="1880"/>
      </w:tblGrid>
      <w:tr>
        <w:trPr>
          <w:tblHeader w:val="true"/>
        </w:trPr>
        <w:tc>
          <w:tcPr>
            <w:tcW w:w="20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2943"/>
      </w:tblGrid>
      <w:tr>
        <w:trPr>
          <w:tblHeader w:val="true"/>
        </w:trPr>
        <w:tc>
          <w:tcPr>
            <w:tcW w:w="31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5"/>
        <w:gridCol w:w="3689"/>
      </w:tblGrid>
      <w:tr>
        <w:trPr>
          <w:tblHeader w:val="true"/>
        </w:trPr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