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1"/>
        <w:gridCol w:w="826"/>
        <w:gridCol w:w="1802"/>
        <w:gridCol w:w="1205"/>
      </w:tblGrid>
      <w:tr>
        <w:trPr>
          <w:tblHeader w:val="true"/>
        </w:trPr>
        <w:tc>
          <w:tcPr>
            <w:tcW w:w="17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9"/>
        <w:gridCol w:w="1039"/>
        <w:gridCol w:w="1498"/>
        <w:gridCol w:w="1038"/>
      </w:tblGrid>
      <w:tr>
        <w:trPr>
          <w:tblHeader w:val="true"/>
        </w:trPr>
        <w:tc>
          <w:tcPr>
            <w:tcW w:w="197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323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ГБ): </w:t>
      </w:r>
      <w:r>
        <w:rPr>
          <w:rStyle w:val="Style15"/>
        </w:rPr>
        <w:t>Qwen3.8-27B</w:t>
      </w:r>
      <w:r>
        <w:rPr/>
        <w:t xml:space="preserve"> в квантовании INT4 (W4A16, </w:t>
      </w:r>
      <w:r>
        <w:rPr>
          <w:rStyle w:val="Style14"/>
        </w:rPr>
        <w:t>RedHatAI/Qwen3.8-27B-INT4</w:t>
      </w:r>
      <w:r>
        <w:rPr/>
        <w:t xml:space="preserve">) под vLLM 0.30, скрипт запуска и флаги — </w:t>
      </w:r>
      <w:r>
        <w:rPr>
          <w:rStyle w:val="Style14"/>
        </w:rPr>
        <w:t>deploy/gpu/start-vllm.sh</w:t>
      </w:r>
      <w:r>
        <w:rPr/>
        <w:t>. Лицензия модели — Apache 2.0.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Замеры 28.09 на наших запросах, модель одна на машине: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5"/>
        <w:gridCol w:w="1406"/>
        <w:gridCol w:w="1423"/>
      </w:tblGrid>
      <w:tr>
        <w:trPr>
          <w:tblHeader w:val="true"/>
        </w:trPr>
        <w:tc>
          <w:tcPr>
            <w:tcW w:w="27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 на описание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реплика начальника укладывается в секунды, поэтому там включается модель в каждой реплике (</w:t>
      </w:r>
      <w:r>
        <w:rPr>
          <w:rStyle w:val="Style14"/>
        </w:rPr>
        <w:t>chief.live_model = 1</w:t>
      </w:r>
      <w:r>
        <w:rPr/>
        <w:t>); на процессоре начальник спрашивает по ключевым словам, а модель разбирает доклад один раз в конце.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323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71 сценарий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