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B6A38" w14:textId="25326CCA" w:rsidR="005E39DB" w:rsidRPr="005E39DB" w:rsidRDefault="005E39DB" w:rsidP="005E39DB">
      <w:pPr>
        <w:pStyle w:val="Heading1"/>
        <w:rPr>
          <w:rFonts w:ascii="Times New Roman" w:hAnsi="Times New Roman" w:cs="Times New Roman"/>
          <w:sz w:val="28"/>
          <w:szCs w:val="28"/>
        </w:rPr>
      </w:pPr>
      <w:r w:rsidRPr="005E39DB">
        <w:rPr>
          <w:rFonts w:ascii="Times New Roman" w:hAnsi="Times New Roman" w:cs="Times New Roman"/>
          <w:sz w:val="28"/>
          <w:szCs w:val="28"/>
        </w:rPr>
        <w:t>1. Cơ sở pháp lý</w:t>
      </w:r>
    </w:p>
    <w:p w14:paraId="3E16A150" w14:textId="1A845920"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Luật Phòng, chống rửa tiền</w:t>
      </w:r>
    </w:p>
    <w:p w14:paraId="3652B9D3" w14:textId="31AF88E7"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Luật số 07/2012/QH13 về Phòng, chống rửa tiền quy định các biện pháp phòng, chống rửa tiền và trách nhiệm của các tổ chức tài chính khi phát hiện các giao dịch đáng ngờ.</w:t>
      </w:r>
    </w:p>
    <w:p w14:paraId="1EAFA0FB" w14:textId="291F28E7"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Bộ Luật Dân sự</w:t>
      </w:r>
    </w:p>
    <w:p w14:paraId="52BF820B" w14:textId="44F61ACD"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-Bộ luật Dân sự 2015, Điều 166 quy định về quyền đòi lại tài sản của chủ sở hữu.</w:t>
      </w:r>
    </w:p>
    <w:p w14:paraId="6F37BD32" w14:textId="66BB563C"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Luật Ngân hàng</w:t>
      </w:r>
    </w:p>
    <w:p w14:paraId="78567546" w14:textId="3AD373F0"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Luật Ngân hàng Nhà nước Việt Nam và Luật Các tổ chức tín dụng 2010 (sửa đổi, bổ sung 2017) quy định về trách nhiệm của các ngân hàng trong việc xử lý các giao dịch bất thường.</w:t>
      </w:r>
    </w:p>
    <w:p w14:paraId="0AA97CBD" w14:textId="5B079202" w:rsidR="005E39DB" w:rsidRPr="005E39DB" w:rsidRDefault="005E39DB" w:rsidP="005E39DB">
      <w:pPr>
        <w:pStyle w:val="Heading1"/>
        <w:rPr>
          <w:rFonts w:ascii="Times New Roman" w:hAnsi="Times New Roman" w:cs="Times New Roman"/>
          <w:sz w:val="28"/>
          <w:szCs w:val="28"/>
        </w:rPr>
      </w:pPr>
      <w:r w:rsidRPr="005E39DB">
        <w:rPr>
          <w:rFonts w:ascii="Times New Roman" w:hAnsi="Times New Roman" w:cs="Times New Roman"/>
          <w:sz w:val="28"/>
          <w:szCs w:val="28"/>
        </w:rPr>
        <w:t>2. Cách xử lý ở các ngân hàng</w:t>
      </w:r>
    </w:p>
    <w:p w14:paraId="2323082C" w14:textId="4C7930CA"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Bước 1: Kiểm tra và xác minh</w:t>
      </w:r>
    </w:p>
    <w:p w14:paraId="11FD4B97" w14:textId="54BBEAB4"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Thông báo với ngân hàng: Khi nhận được một khoản tiền không rõ nguồn gốc, chủ tài khoản nên thông báo ngay lập tức với ngân hàng để kiểm tra và xác minh nguồn gốc số tiền.</w:t>
      </w:r>
    </w:p>
    <w:p w14:paraId="4C3B4351" w14:textId="3DA18DC9"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Ngân hàng kiểm tra giao dịch: Ngân hàng sẽ tiến hành kiểm tra các chi tiết giao dịch, xác minh nguồn gốc và người gửi tiền.</w:t>
      </w:r>
    </w:p>
    <w:p w14:paraId="18924E33" w14:textId="55F92FF6"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Bước 2: Đóng băng tài khoản tạm thời</w:t>
      </w:r>
    </w:p>
    <w:p w14:paraId="3FCEB0DA" w14:textId="33741A29"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Đóng băng tài khoản: Nếu giao dịch được xác định là nghi ngờ hoặc có dấu hiệu vi phạm pháp luật, ngân hàng có thể tạm thời đóng băng tài khoản để điều tra thêm.</w:t>
      </w:r>
    </w:p>
    <w:p w14:paraId="3BC4A081" w14:textId="081C5EC1"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Bước 3: Thông báo cơ quan chức năng</w:t>
      </w:r>
    </w:p>
    <w:p w14:paraId="014E5167" w14:textId="0F9E13A0"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Thông báo cơ quan chức năng: Trong trường hợp cần thiết, ngân hàng sẽ thông báo cho các cơ quan chức năng như cơ quan công an hoặc cơ quan phòng, chống rửa tiền để tiến hành điều tra.</w:t>
      </w:r>
    </w:p>
    <w:p w14:paraId="6A9E2044" w14:textId="780C5995"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Bước 4: Hoàn trả tiền</w:t>
      </w:r>
    </w:p>
    <w:p w14:paraId="33C4810C" w14:textId="6660C205"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Hoàn trả tiền cho người gửi: Nếu xác minh được người gửi tiền và chứng minh số tiền được gửi nhầm hoặc không có dấu hiệu phạm pháp, ngân hàng sẽ phối hợp với các bên liên quan để hoàn trả số tiền về tài khoản gốc.</w:t>
      </w:r>
    </w:p>
    <w:p w14:paraId="14977890" w14:textId="2900366D" w:rsidR="005E39DB" w:rsidRPr="005E39DB" w:rsidRDefault="005E39DB" w:rsidP="005E39DB">
      <w:pPr>
        <w:pStyle w:val="Heading1"/>
        <w:rPr>
          <w:rFonts w:ascii="Times New Roman" w:hAnsi="Times New Roman" w:cs="Times New Roman"/>
          <w:sz w:val="28"/>
          <w:szCs w:val="28"/>
        </w:rPr>
      </w:pPr>
      <w:r w:rsidRPr="005E39DB">
        <w:rPr>
          <w:rFonts w:ascii="Times New Roman" w:hAnsi="Times New Roman" w:cs="Times New Roman"/>
          <w:sz w:val="28"/>
          <w:szCs w:val="28"/>
        </w:rPr>
        <w:lastRenderedPageBreak/>
        <w:t>3. Đánh giá tính đúng sai và đề xuất hoàn thiện thêm</w:t>
      </w:r>
    </w:p>
    <w:p w14:paraId="13A57A72" w14:textId="0834A9B3"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Tính đúng sai</w:t>
      </w:r>
    </w:p>
    <w:p w14:paraId="4E5726CE" w14:textId="1E66CC20"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Đúng: Việc thông báo ngay với ngân hàng và tuân thủ các quy định của pháp luật về phòng, chống rửa tiền là hoàn toàn đúng đắn. Điều này giúp đảm bảo tính minh bạch và ngăn chặn các hành vi phạm pháp có thể xảy ra.</w:t>
      </w:r>
    </w:p>
    <w:p w14:paraId="007879F1" w14:textId="592005D8"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xml:space="preserve">- </w:t>
      </w:r>
      <w:r w:rsidRPr="005E39DB">
        <w:rPr>
          <w:rFonts w:ascii="Times New Roman" w:hAnsi="Times New Roman" w:cs="Times New Roman"/>
          <w:sz w:val="28"/>
        </w:rPr>
        <w:t>S</w:t>
      </w:r>
      <w:r w:rsidRPr="005E39DB">
        <w:rPr>
          <w:rFonts w:ascii="Times New Roman" w:hAnsi="Times New Roman" w:cs="Times New Roman"/>
          <w:sz w:val="28"/>
        </w:rPr>
        <w:t>ai: Nếu không thông báo và xử lý kịp thời, chủ tài khoản có thể gặp rủi ro pháp lý nếu số tiền này liên quan đến các hoạt động bất hợp pháp.</w:t>
      </w:r>
    </w:p>
    <w:p w14:paraId="5134B24B" w14:textId="3C8D1034" w:rsidR="005E39DB" w:rsidRPr="005E39DB" w:rsidRDefault="005E39DB" w:rsidP="005E39DB">
      <w:pPr>
        <w:pStyle w:val="Heading2"/>
        <w:rPr>
          <w:rFonts w:ascii="Times New Roman" w:hAnsi="Times New Roman" w:cs="Times New Roman"/>
          <w:sz w:val="28"/>
          <w:szCs w:val="28"/>
        </w:rPr>
      </w:pPr>
      <w:r w:rsidRPr="005E39DB">
        <w:rPr>
          <w:rFonts w:ascii="Times New Roman" w:hAnsi="Times New Roman" w:cs="Times New Roman"/>
          <w:sz w:val="28"/>
          <w:szCs w:val="28"/>
        </w:rPr>
        <w:t>Hoàn thiện thêm</w:t>
      </w:r>
    </w:p>
    <w:p w14:paraId="6DA8CE02" w14:textId="1EAF3CD8"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-Nâng cao ý thức: Cần nâng cao ý thức của người dân về việc xử lý các khoản tiền không rõ nguồn gốc, đặc biệt là trong bối cảnh gia tăng các giao dịch trực tuyến và chuyển khoản ngân hàng.</w:t>
      </w:r>
    </w:p>
    <w:p w14:paraId="7FF41450" w14:textId="69651724" w:rsidR="005E39DB" w:rsidRPr="005E39DB" w:rsidRDefault="005E39DB" w:rsidP="005E39DB">
      <w:pPr>
        <w:rPr>
          <w:rFonts w:ascii="Times New Roman" w:hAnsi="Times New Roman" w:cs="Times New Roman"/>
          <w:sz w:val="28"/>
        </w:rPr>
      </w:pPr>
      <w:r w:rsidRPr="005E39DB">
        <w:rPr>
          <w:rFonts w:ascii="Times New Roman" w:hAnsi="Times New Roman" w:cs="Times New Roman"/>
          <w:sz w:val="28"/>
        </w:rPr>
        <w:t>- Hỗ trợ tư vấn: Các ngân hàng nên cung cấp dịch vụ tư vấn pháp lý cho khách hàng trong trường hợp nhận được các khoản tiền đáng ngờ.</w:t>
      </w:r>
    </w:p>
    <w:p w14:paraId="372765BC" w14:textId="2298AD0D" w:rsidR="00F53266" w:rsidRPr="005E39DB" w:rsidRDefault="005E39DB" w:rsidP="005E39DB">
      <w:pPr>
        <w:rPr>
          <w:rFonts w:ascii="Times New Roman" w:hAnsi="Times New Roman" w:cs="Times New Roman"/>
          <w:sz w:val="28"/>
        </w:rPr>
      </w:pPr>
      <w:r w:rsidRPr="005E39DB">
        <w:rPr>
          <w:rFonts w:ascii="Times New Roman" w:hAnsi="Times New Roman" w:cs="Times New Roman"/>
          <w:sz w:val="28"/>
        </w:rPr>
        <w:t>- Cơ chế thông báo nhanh: Tạo cơ chế thông báo và xác minh giao dịch nhanh chóng, minh bạch giữa các ngân hàng và cơ quan chức năng để đảm bảo xử lý kịp thời các tình huống tương tự.</w:t>
      </w:r>
    </w:p>
    <w:sectPr w:rsidR="00F53266" w:rsidRPr="005E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DB"/>
    <w:rsid w:val="000F6DDA"/>
    <w:rsid w:val="00124A71"/>
    <w:rsid w:val="00270B19"/>
    <w:rsid w:val="005E39DB"/>
    <w:rsid w:val="006060C1"/>
    <w:rsid w:val="007F44E9"/>
    <w:rsid w:val="008E6297"/>
    <w:rsid w:val="00980186"/>
    <w:rsid w:val="00BC1346"/>
    <w:rsid w:val="00BF3179"/>
    <w:rsid w:val="00C43A99"/>
    <w:rsid w:val="00CD1E7B"/>
    <w:rsid w:val="00EE6A19"/>
    <w:rsid w:val="00F5326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779"/>
  <w15:chartTrackingRefBased/>
  <w15:docId w15:val="{9710C4E5-D15B-4C4D-8DE7-728D9334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D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E39D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D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5E39DB"/>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1</cp:revision>
  <dcterms:created xsi:type="dcterms:W3CDTF">2024-05-21T07:37:00Z</dcterms:created>
  <dcterms:modified xsi:type="dcterms:W3CDTF">2024-05-21T07:41:00Z</dcterms:modified>
</cp:coreProperties>
</file>