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t>СОГЛАШЕНИЕ О НЕРАЗГЛАШЕНИИ ИНФОРМАЦИИ</w:t>
      </w:r>
    </w:p>
    <w:p>
      <w:pPr>
        <w:pStyle w:val="Normal"/>
        <w:rPr/>
      </w:pPr>
      <w:r>
        <w:rPr/>
        <w:t xml:space="preserve">г. </w:t>
      </w:r>
      <w:r>
        <w:rPr/>
        <w:t>Москва</w:t>
      </w:r>
      <w:r>
        <w:rPr/>
        <w:t xml:space="preserve">                                                               </w:t>
        <w:tab/>
        <w:tab/>
        <w:t xml:space="preserve"> </w:t>
        <w:tab/>
        <w:t>«___» ____________ 20___ г.</w:t>
      </w:r>
    </w:p>
    <w:p>
      <w:pPr>
        <w:pStyle w:val="Normal"/>
        <w:spacing w:before="0" w:after="0"/>
        <w:ind w:firstLine="708"/>
        <w:rPr>
          <w:rStyle w:val="Postbody1"/>
          <w:color w:val="000000" w:themeColor="text1"/>
          <w:sz w:val="24"/>
          <w:szCs w:val="24"/>
        </w:rPr>
      </w:pPr>
      <w:r>
        <w:rPr>
          <w:b/>
          <w:color w:val="000000" w:themeColor="text1"/>
        </w:rPr>
        <w:t>__________________,</w:t>
      </w:r>
      <w:r>
        <w:rPr>
          <w:color w:val="000000" w:themeColor="text1"/>
        </w:rPr>
        <w:t xml:space="preserve"> действующий на основании свидетельства о государственной регистрации № ______________ от _____________, именуемый в дальнейшем </w:t>
      </w:r>
      <w:r>
        <w:rPr>
          <w:b/>
          <w:color w:val="000000" w:themeColor="text1"/>
        </w:rPr>
        <w:t>«Передающая сторона»</w:t>
      </w:r>
      <w:r>
        <w:rPr>
          <w:color w:val="000000" w:themeColor="text1"/>
        </w:rPr>
        <w:t>,</w:t>
      </w:r>
      <w:r>
        <w:rPr>
          <w:rStyle w:val="Postbody1"/>
          <w:color w:val="000000" w:themeColor="text1"/>
          <w:sz w:val="24"/>
          <w:szCs w:val="24"/>
        </w:rPr>
        <w:t xml:space="preserve"> с одной стороны, и</w:t>
      </w:r>
    </w:p>
    <w:p>
      <w:pPr>
        <w:pStyle w:val="Normal"/>
        <w:spacing w:before="0" w:after="0"/>
        <w:ind w:firstLine="708"/>
        <w:rPr/>
      </w:pPr>
      <w:r>
        <w:rPr>
          <w:b/>
          <w:bCs/>
        </w:rPr>
        <w:t>___________________________</w:t>
      </w:r>
      <w:r>
        <w:rPr/>
        <w:t xml:space="preserve">, именуемое в дальнейшем </w:t>
      </w:r>
      <w:r>
        <w:rPr>
          <w:b/>
          <w:bCs/>
        </w:rPr>
        <w:t>«Принимающая сторона»</w:t>
      </w:r>
      <w:r>
        <w:rPr/>
        <w:t>, действующ</w:t>
      </w:r>
      <w:r>
        <w:rPr/>
        <w:t>ий</w:t>
      </w:r>
      <w:r>
        <w:rPr/>
        <w:t xml:space="preserve"> на основании </w:t>
      </w:r>
      <w:r>
        <w:rPr>
          <w:color w:val="000000" w:themeColor="text1"/>
        </w:rPr>
        <w:t xml:space="preserve"> свидетельства о государственной регистрации _____________________</w:t>
      </w:r>
      <w:r>
        <w:rPr/>
        <w:t>, с другой стороны, совместно именуемые «Стороны», а по отдельности «Сторона», заключили настоящее Соглашение о неразглашении (далее – Соглашение) о нижеследующем:</w:t>
      </w:r>
    </w:p>
    <w:p>
      <w:pPr>
        <w:pStyle w:val="Normal"/>
        <w:spacing w:before="0" w:after="0"/>
        <w:rPr/>
      </w:pPr>
      <w:r>
        <w:rPr/>
        <w:t> </w:t>
      </w:r>
    </w:p>
    <w:p>
      <w:pPr>
        <w:pStyle w:val="Normal"/>
        <w:spacing w:before="0" w:after="0"/>
        <w:jc w:val="center"/>
        <w:rPr>
          <w:b/>
          <w:b/>
          <w:bCs/>
        </w:rPr>
      </w:pPr>
      <w:r>
        <w:rPr>
          <w:b/>
          <w:bCs/>
        </w:rPr>
        <w:t>1. Основные понятия</w:t>
      </w:r>
    </w:p>
    <w:p>
      <w:pPr>
        <w:pStyle w:val="Normal"/>
        <w:spacing w:before="0" w:after="0"/>
        <w:ind w:firstLine="708"/>
        <w:rPr/>
      </w:pPr>
      <w:r>
        <w:rPr/>
        <w:t>1.1. Информация ограниченного доступа – любые сведения (сообщения, данные), в том числе информация, составляющая коммерческую тайну, представленные Сторонами друг другу в письменном, электронном или ином виде при условии, что любая из Сторон укажет на конфиденциальность названных сведений (сообщений, данных) письменно на бумажном носителе, в электронном сообщении, путем проставления на бумажном носителе, файле, электронном и ином сообщении информации соответствующего грифа или надписи о конфиденциальности.</w:t>
      </w:r>
    </w:p>
    <w:p>
      <w:pPr>
        <w:pStyle w:val="Normal"/>
        <w:spacing w:before="0" w:after="0"/>
        <w:ind w:firstLine="360"/>
        <w:rPr/>
      </w:pPr>
      <w:r>
        <w:rPr/>
        <w:t>1.2. Информация, не относящаяся к информации ограниченного доступа – информация, которая:</w:t>
      </w:r>
    </w:p>
    <w:p>
      <w:pPr>
        <w:pStyle w:val="Normal"/>
        <w:numPr>
          <w:ilvl w:val="0"/>
          <w:numId w:val="1"/>
        </w:numPr>
        <w:spacing w:before="0" w:after="0"/>
        <w:rPr/>
      </w:pPr>
      <w:r>
        <w:rPr/>
        <w:t>имелась в общественном доступе в момент ее раскрытия либо попадает в сферу общественного доступа способом, не нарушающим настоящее Соглашение (общедоступная информация);</w:t>
      </w:r>
    </w:p>
    <w:p>
      <w:pPr>
        <w:pStyle w:val="Normal"/>
        <w:numPr>
          <w:ilvl w:val="0"/>
          <w:numId w:val="1"/>
        </w:numPr>
        <w:spacing w:before="0" w:after="0"/>
        <w:rPr/>
      </w:pPr>
      <w:r>
        <w:rPr/>
        <w:t>не может быть отнесена к информации ограниченного доступа в соответствии с законодательством Российской Федерации.</w:t>
      </w:r>
    </w:p>
    <w:p>
      <w:pPr>
        <w:pStyle w:val="Normal"/>
        <w:spacing w:before="0" w:after="0"/>
        <w:ind w:firstLine="360"/>
        <w:rPr/>
      </w:pPr>
      <w:r>
        <w:rPr/>
        <w:t>1.3. Информация, составляющая коммерческую тайну – информация, ограниченного доступа, включающая в себя сведения любого характера (производственные, технические, экономические, организационные и другие), в том числе о результатах интеллектуальной деятельности в научно-технической сфере, а также сведения о способах осуществления профессиональной деятельности, которые имеют действительную или потенциальную коммерческую ценность в силу неизвестности их третьим лицам, к которым у третьих лиц нет свободного доступа на законном основании и в отношении которых обладателем таких сведений введен режим коммерческой тайны (секрет производства (ноу-хау).</w:t>
      </w:r>
    </w:p>
    <w:p>
      <w:pPr>
        <w:pStyle w:val="Normal"/>
        <w:spacing w:before="0" w:after="0"/>
        <w:ind w:firstLine="360"/>
        <w:rPr/>
      </w:pPr>
      <w:r>
        <w:rPr/>
        <w:t>1.4. Гриф конфиденциальности – реквизиты, свидетельствующие о конфиденциальности информации, наносимые на носители информации и (или) содержащиеся в сопроводительной документации. Информация ограниченного доступа может иметь следующие грифы конфиденциальности: «Коммерческая тайна» («К») – в отношении информации, относящейся к коммерческой тайне или «Конфиденциально» («КТ»)–в отношении иной информации ограниченного доступа.</w:t>
      </w:r>
    </w:p>
    <w:p>
      <w:pPr>
        <w:pStyle w:val="Normal"/>
        <w:spacing w:before="0" w:after="0"/>
        <w:ind w:firstLine="360"/>
        <w:rPr/>
      </w:pPr>
      <w:r>
        <w:rPr/>
        <w:t>1.5. Передающая сторона – Сторона по настоящему Соглашению, являющаяся обладателем информации ограниченного доступа, которая передает эту информацию Принимающей стороне.</w:t>
      </w:r>
    </w:p>
    <w:p>
      <w:pPr>
        <w:pStyle w:val="Normal"/>
        <w:spacing w:before="0" w:after="0"/>
        <w:ind w:firstLine="360"/>
        <w:rPr/>
      </w:pPr>
      <w:r>
        <w:rPr/>
        <w:t>1.6. Принимающая сторона – Сторона по настоящему Соглашению, которая получает от Передающей стороны информацию ограниченного доступа.</w:t>
      </w:r>
    </w:p>
    <w:p>
      <w:pPr>
        <w:pStyle w:val="Normal"/>
        <w:spacing w:before="0" w:after="0"/>
        <w:ind w:firstLine="360"/>
        <w:rPr/>
      </w:pPr>
      <w:r>
        <w:rPr/>
        <w:t>1.7. Носители информации</w:t>
      </w:r>
    </w:p>
    <w:p>
      <w:pPr>
        <w:pStyle w:val="Normal"/>
        <w:spacing w:before="0" w:after="0"/>
        <w:ind w:firstLine="360"/>
        <w:rPr/>
      </w:pPr>
      <w:r>
        <w:rPr/>
        <w:t>-материальные носители, содержащие информацию ограниченного доступа, содержащуюся ну бумаге, электронных носителях информации,</w:t>
      </w:r>
    </w:p>
    <w:p>
      <w:pPr>
        <w:pStyle w:val="Normal"/>
        <w:spacing w:before="0" w:after="0"/>
        <w:ind w:firstLine="360"/>
        <w:rPr/>
      </w:pPr>
      <w:r>
        <w:rPr/>
        <w:t>-электронные носители- электронные файлы, сообщения (передающиеся по электронной почте, социальным сетям, мессенджерам и прочими методами передачи информации без использования материальных носителей), логин и пароли доступа к облачным ресурсам, ссылки на облачные ресурсы</w:t>
      </w:r>
    </w:p>
    <w:p>
      <w:pPr>
        <w:pStyle w:val="Normal"/>
        <w:spacing w:before="0" w:after="0"/>
        <w:ind w:firstLine="360"/>
        <w:rPr/>
      </w:pPr>
      <w:r>
        <w:rPr/>
        <w:t>1.8. Режим защиты информации ограниченного доступа – комплекс правовых, организационных, технических и иных мероприятий (мер) по охране конфиденциальности информации, включая ограничение доступа к ней и носителям информации, предусмотренные настоящим Соглашением.</w:t>
      </w:r>
    </w:p>
    <w:p>
      <w:pPr>
        <w:pStyle w:val="Normal"/>
        <w:spacing w:before="0" w:after="0"/>
        <w:ind w:firstLine="360"/>
        <w:rPr/>
      </w:pPr>
      <w:r>
        <w:rPr/>
        <w:t>1.9. Разглашение информации ограниченного доступа – действие или бездействие,</w:t>
        <w:br/>
        <w:t>в результате которых информация ограниченного доступа в любой возможной форме (устной, письменной, иной форме, в том числе с использованием технических средств) становится известной третьим лицам без согласия Передающей стороны.</w:t>
      </w:r>
    </w:p>
    <w:p>
      <w:pPr>
        <w:pStyle w:val="Normal"/>
        <w:spacing w:before="0" w:after="0"/>
        <w:rPr/>
      </w:pPr>
      <w:r>
        <w:rPr/>
        <w:t> </w:t>
      </w:r>
    </w:p>
    <w:p>
      <w:pPr>
        <w:pStyle w:val="Normal"/>
        <w:spacing w:before="0" w:after="0"/>
        <w:jc w:val="center"/>
        <w:rPr>
          <w:b/>
          <w:b/>
          <w:bCs/>
        </w:rPr>
      </w:pPr>
      <w:r>
        <w:rPr>
          <w:b/>
          <w:bCs/>
        </w:rPr>
        <w:t>2. Предмет Соглашения</w:t>
      </w:r>
    </w:p>
    <w:p>
      <w:pPr>
        <w:pStyle w:val="Normal"/>
        <w:spacing w:before="0" w:after="0"/>
        <w:jc w:val="center"/>
        <w:rPr>
          <w:b/>
          <w:b/>
          <w:bCs/>
        </w:rPr>
      </w:pPr>
      <w:r>
        <w:rPr/>
      </w:r>
    </w:p>
    <w:p>
      <w:pPr>
        <w:pStyle w:val="Normal"/>
        <w:spacing w:before="0" w:after="0"/>
        <w:ind w:firstLine="708"/>
        <w:rPr/>
      </w:pPr>
      <w:r>
        <w:rPr/>
        <w:t>2.1. Предметом настоящего Соглашения является порядок и условия передачи, получения и использования Сторонами информации ограниченного доступа, которая была передана или стала известна Сторонам в ходе переговоров, исполнения обязательств по заключенным Сторонами договорам, а также предоставленная Сторонами друг другу в соответствии с условиями настоящего Соглашения.</w:t>
      </w:r>
    </w:p>
    <w:p>
      <w:pPr>
        <w:pStyle w:val="Normal"/>
        <w:spacing w:before="0" w:after="0"/>
        <w:rPr/>
      </w:pPr>
      <w:r>
        <w:rPr/>
        <w:t> </w:t>
      </w:r>
    </w:p>
    <w:p>
      <w:pPr>
        <w:pStyle w:val="Normal"/>
        <w:spacing w:before="0" w:after="0"/>
        <w:jc w:val="center"/>
        <w:rPr>
          <w:b/>
          <w:b/>
          <w:bCs/>
        </w:rPr>
      </w:pPr>
      <w:r>
        <w:rPr>
          <w:b/>
          <w:bCs/>
        </w:rPr>
        <w:t>3. Права и обязанности Сторон</w:t>
      </w:r>
    </w:p>
    <w:p>
      <w:pPr>
        <w:pStyle w:val="Normal"/>
        <w:spacing w:before="0" w:after="0"/>
        <w:jc w:val="center"/>
        <w:rPr>
          <w:b/>
          <w:b/>
          <w:bCs/>
        </w:rPr>
      </w:pPr>
      <w:r>
        <w:rPr/>
      </w:r>
    </w:p>
    <w:p>
      <w:pPr>
        <w:pStyle w:val="Normal"/>
        <w:spacing w:before="0" w:after="0"/>
        <w:ind w:left="708" w:hanging="0"/>
        <w:rPr>
          <w:i/>
          <w:i/>
          <w:iCs/>
        </w:rPr>
      </w:pPr>
      <w:r>
        <w:rPr>
          <w:i/>
          <w:iCs/>
        </w:rPr>
        <w:t>3.1. Передающая сторона имеет право:</w:t>
      </w:r>
    </w:p>
    <w:p>
      <w:pPr>
        <w:pStyle w:val="Normal"/>
        <w:spacing w:before="0" w:after="0"/>
        <w:ind w:left="708" w:hanging="0"/>
        <w:rPr>
          <w:i/>
          <w:i/>
          <w:iCs/>
        </w:rPr>
      </w:pPr>
      <w:r>
        <w:rPr/>
      </w:r>
    </w:p>
    <w:p>
      <w:pPr>
        <w:pStyle w:val="Normal"/>
        <w:widowControl/>
        <w:bidi w:val="0"/>
        <w:spacing w:lineRule="auto" w:line="259" w:before="0" w:after="0"/>
        <w:ind w:left="0" w:right="0" w:firstLine="680"/>
        <w:jc w:val="both"/>
        <w:rPr/>
      </w:pPr>
      <w:r>
        <w:rPr/>
        <w:t>3.1.1. Самостоятельно относить информацию, подлежащую передаче Принимающей стороне, к информации ограниченного доступа, в том числе к информации, составляющей коммерческую тайну и определять перечень такой информации.</w:t>
      </w:r>
    </w:p>
    <w:p>
      <w:pPr>
        <w:pStyle w:val="Normal"/>
        <w:widowControl/>
        <w:bidi w:val="0"/>
        <w:spacing w:lineRule="auto" w:line="259" w:before="0" w:after="0"/>
        <w:ind w:left="0" w:right="0" w:firstLine="680"/>
        <w:jc w:val="both"/>
        <w:rPr/>
      </w:pPr>
      <w:r>
        <w:rPr/>
        <w:t>3.1.2. Устанавливать, изменять и отменять в письменной форме режим защиты информации ограниченного доступа в отношении информации, ограниченного доступа.</w:t>
      </w:r>
    </w:p>
    <w:p>
      <w:pPr>
        <w:pStyle w:val="Normal"/>
        <w:widowControl/>
        <w:bidi w:val="0"/>
        <w:spacing w:lineRule="auto" w:line="259" w:before="0" w:after="0"/>
        <w:ind w:left="0" w:right="0" w:firstLine="680"/>
        <w:jc w:val="both"/>
        <w:rPr/>
      </w:pPr>
      <w:r>
        <w:rPr/>
        <w:t>3.1.3. Применять при необходимости средства и методы технической защиты конфиденциальности информации, ограниченного доступа, подлежащей передаче Принимающей стороне, применять другие, не противоречащие законодательству Российской Федерации меры.</w:t>
      </w:r>
    </w:p>
    <w:p>
      <w:pPr>
        <w:pStyle w:val="Normal"/>
        <w:widowControl/>
        <w:bidi w:val="0"/>
        <w:spacing w:lineRule="auto" w:line="259" w:before="0" w:after="0"/>
        <w:ind w:left="0" w:right="0" w:firstLine="680"/>
        <w:jc w:val="both"/>
        <w:rPr/>
      </w:pPr>
      <w:r>
        <w:rPr/>
        <w:t>3.1.4. Защищать в установленном законом порядке свои права в случае разглашения, незаконного получения или незаконного использования Принимающей стороной либо третьими лицами по вине Принимающей стороны информации ограниченного доступа.</w:t>
      </w:r>
    </w:p>
    <w:p>
      <w:pPr>
        <w:pStyle w:val="Normal"/>
        <w:widowControl/>
        <w:bidi w:val="0"/>
        <w:spacing w:lineRule="auto" w:line="259" w:before="0" w:after="0"/>
        <w:ind w:left="0" w:right="0" w:firstLine="680"/>
        <w:jc w:val="both"/>
        <w:rPr/>
      </w:pPr>
      <w:r>
        <w:rPr/>
        <w:t>3.1.5. Осуществлять контроль обеспечения Принимающей стороной сохранности переданной ей информации ограниченного доступа, способом, не противоречащим законодательству Российской Федерации и не создающим препятствий для осуществления Принимающей стороной своей деятельности.</w:t>
      </w:r>
    </w:p>
    <w:p>
      <w:pPr>
        <w:pStyle w:val="Normal"/>
        <w:widowControl/>
        <w:bidi w:val="0"/>
        <w:spacing w:lineRule="auto" w:line="259" w:before="0" w:after="0"/>
        <w:ind w:left="0" w:right="0" w:firstLine="680"/>
        <w:jc w:val="both"/>
        <w:rPr/>
      </w:pPr>
      <w:r>
        <w:rPr/>
        <w:t xml:space="preserve">3.1.6. </w:t>
      </w:r>
      <w:r>
        <w:rPr/>
        <w:t>Н</w:t>
      </w:r>
      <w:r>
        <w:rPr/>
        <w:t>аправить в любое время Принимающей стороне требование о необходимости:</w:t>
      </w:r>
    </w:p>
    <w:p>
      <w:pPr>
        <w:pStyle w:val="Normal"/>
        <w:widowControl/>
        <w:bidi w:val="0"/>
        <w:spacing w:lineRule="auto" w:line="259" w:before="0" w:after="0"/>
        <w:ind w:left="0" w:right="0" w:firstLine="680"/>
        <w:jc w:val="both"/>
        <w:rPr/>
      </w:pPr>
      <w:r>
        <w:rPr/>
        <w:t>- вернуть все оригиналы, предоставленных Передающей стороной, материальных носителей, содержащих информацию ограниченного доступа, а также их копии;</w:t>
      </w:r>
    </w:p>
    <w:p>
      <w:pPr>
        <w:pStyle w:val="Normal"/>
        <w:widowControl/>
        <w:bidi w:val="0"/>
        <w:spacing w:lineRule="auto" w:line="259" w:before="0" w:after="0"/>
        <w:ind w:left="0" w:right="0" w:firstLine="680"/>
        <w:jc w:val="both"/>
        <w:rPr/>
      </w:pPr>
      <w:r>
        <w:rPr/>
        <w:t>- уничтожить материальные, электронные носители, содержащие информацию ограниченного доступа.</w:t>
      </w:r>
    </w:p>
    <w:p>
      <w:pPr>
        <w:pStyle w:val="Normal"/>
        <w:widowControl/>
        <w:bidi w:val="0"/>
        <w:spacing w:lineRule="auto" w:line="259" w:before="0" w:after="0"/>
        <w:ind w:left="0" w:right="0" w:firstLine="680"/>
        <w:jc w:val="both"/>
        <w:rPr/>
      </w:pPr>
      <w:r>
        <w:rPr/>
        <w:t>3.1.7. Осуществлять иные права обладателя информации ограниченного доступа, в том числе обладателя информации, составляющей коммерческую тайну, предусмотренные законодательством Российской Федерации и договорами, заключенными с Принимающей стороной.</w:t>
      </w:r>
    </w:p>
    <w:p>
      <w:pPr>
        <w:pStyle w:val="Normal"/>
        <w:widowControl/>
        <w:bidi w:val="0"/>
        <w:spacing w:lineRule="auto" w:line="259" w:before="0" w:after="0"/>
        <w:ind w:left="0" w:right="0" w:firstLine="680"/>
        <w:jc w:val="both"/>
        <w:rPr/>
      </w:pPr>
      <w:r>
        <w:rPr/>
      </w:r>
    </w:p>
    <w:p>
      <w:pPr>
        <w:pStyle w:val="Normal"/>
        <w:widowControl/>
        <w:bidi w:val="0"/>
        <w:spacing w:lineRule="auto" w:line="259" w:before="0" w:after="0"/>
        <w:ind w:left="0" w:right="0" w:firstLine="737"/>
        <w:jc w:val="both"/>
        <w:rPr>
          <w:i/>
          <w:i/>
          <w:iCs/>
        </w:rPr>
      </w:pPr>
      <w:r>
        <w:rPr>
          <w:i/>
          <w:iCs/>
        </w:rPr>
        <w:t>3.2. Передающая сторона обязана:</w:t>
      </w:r>
    </w:p>
    <w:p>
      <w:pPr>
        <w:pStyle w:val="Normal"/>
        <w:widowControl/>
        <w:bidi w:val="0"/>
        <w:spacing w:lineRule="auto" w:line="259" w:before="0" w:after="0"/>
        <w:ind w:left="0" w:right="0" w:firstLine="737"/>
        <w:jc w:val="both"/>
        <w:rPr>
          <w:i/>
          <w:i/>
          <w:iCs/>
        </w:rPr>
      </w:pPr>
      <w:r>
        <w:rPr/>
      </w:r>
    </w:p>
    <w:p>
      <w:pPr>
        <w:pStyle w:val="Normal"/>
        <w:widowControl/>
        <w:bidi w:val="0"/>
        <w:spacing w:lineRule="auto" w:line="259" w:before="0" w:after="0"/>
        <w:ind w:left="0" w:right="0" w:firstLine="680"/>
        <w:jc w:val="both"/>
        <w:rPr/>
      </w:pPr>
      <w:r>
        <w:rPr/>
        <w:t>3.2.1. Принимать меры по охране конфиденциальности информации ограниченного доступа, подлежащей передаче Принимающей стороне в соответствии законодательством Российской Федерации и своими локальными нормативными актами.</w:t>
      </w:r>
    </w:p>
    <w:p>
      <w:pPr>
        <w:pStyle w:val="Normal"/>
        <w:widowControl/>
        <w:bidi w:val="0"/>
        <w:spacing w:lineRule="auto" w:line="259" w:before="0" w:after="0"/>
        <w:ind w:left="0" w:right="0" w:firstLine="680"/>
        <w:jc w:val="both"/>
        <w:rPr/>
      </w:pPr>
      <w:r>
        <w:rPr/>
        <w:t>3.2.2. В случае принятия решения об изменении или отмене режима защиты информации ограниченного доступа в отношении информации ограниченного доступа, переданной Принимающей стороне, письменно или по средствам ТКС (телекоммуникационные каналы связи) уведомить об этом Принимающую сторону в течение 2 рабочих дней с даты принятия такого решения.</w:t>
      </w:r>
    </w:p>
    <w:p>
      <w:pPr>
        <w:pStyle w:val="Normal"/>
        <w:widowControl/>
        <w:bidi w:val="0"/>
        <w:spacing w:lineRule="auto" w:line="259" w:before="0" w:after="0"/>
        <w:ind w:left="0" w:right="0" w:firstLine="680"/>
        <w:jc w:val="both"/>
        <w:rPr/>
      </w:pPr>
      <w:r>
        <w:rPr/>
        <w:t>3.2.3. Исполнять иные обязанности, предусмотренные законодательством Российской Федерации, и договорами, заключенными с Принимающей стороной.</w:t>
      </w:r>
    </w:p>
    <w:p>
      <w:pPr>
        <w:pStyle w:val="Normal"/>
        <w:widowControl/>
        <w:bidi w:val="0"/>
        <w:spacing w:lineRule="auto" w:line="259" w:before="0" w:after="0"/>
        <w:ind w:left="0" w:right="0" w:firstLine="680"/>
        <w:jc w:val="both"/>
        <w:rPr/>
      </w:pPr>
      <w:r>
        <w:rPr/>
      </w:r>
    </w:p>
    <w:p>
      <w:pPr>
        <w:pStyle w:val="Normal"/>
        <w:spacing w:before="0" w:after="0"/>
        <w:ind w:firstLine="708"/>
        <w:rPr>
          <w:i/>
          <w:i/>
          <w:iCs/>
        </w:rPr>
      </w:pPr>
      <w:r>
        <w:rPr>
          <w:i/>
          <w:iCs/>
        </w:rPr>
        <w:t>3.3. Принимающая сторона имеет право:</w:t>
      </w:r>
    </w:p>
    <w:p>
      <w:pPr>
        <w:pStyle w:val="Normal"/>
        <w:spacing w:before="0" w:after="0"/>
        <w:ind w:firstLine="708"/>
        <w:rPr>
          <w:i/>
          <w:i/>
          <w:iCs/>
        </w:rPr>
      </w:pPr>
      <w:r>
        <w:rPr/>
      </w:r>
    </w:p>
    <w:p>
      <w:pPr>
        <w:pStyle w:val="Normal"/>
        <w:widowControl/>
        <w:bidi w:val="0"/>
        <w:spacing w:lineRule="auto" w:line="259" w:before="0" w:after="0"/>
        <w:ind w:left="0" w:right="0" w:firstLine="680"/>
        <w:jc w:val="both"/>
        <w:rPr/>
      </w:pPr>
      <w:r>
        <w:rPr/>
        <w:t>3.3.1. Самостоятельно определять способы защиты информации ограниченного доступа, полученной от Передающей стороны, если иное не установлено законодательством Российской Федерации или соглашением с Передающей стороной;</w:t>
      </w:r>
    </w:p>
    <w:p>
      <w:pPr>
        <w:pStyle w:val="Normal"/>
        <w:widowControl/>
        <w:bidi w:val="0"/>
        <w:spacing w:lineRule="auto" w:line="259" w:before="0" w:after="0"/>
        <w:ind w:left="0" w:right="0" w:firstLine="680"/>
        <w:jc w:val="both"/>
        <w:rPr/>
      </w:pPr>
      <w:r>
        <w:rPr/>
        <w:t>3.3.2. Предоставлять информацию ограниченного доступа, полученную от Передающей стороны органам государственной власти, иным государственным органам, органам местного самоуправления, судам в порядке, предусмотренном законодательством Российской Федерации с уведомлением об этом Передающей стороны.</w:t>
      </w:r>
    </w:p>
    <w:p>
      <w:pPr>
        <w:pStyle w:val="Normal"/>
        <w:widowControl/>
        <w:bidi w:val="0"/>
        <w:spacing w:lineRule="auto" w:line="259" w:before="0" w:after="0"/>
        <w:ind w:left="0" w:right="0" w:firstLine="680"/>
        <w:jc w:val="both"/>
        <w:rPr/>
      </w:pPr>
      <w:r>
        <w:rPr/>
        <w:t>3.3.3. Предоставлять третьим лицам доступ к информации ограниченного доступа Передающей стороны с ее предварительного согласия при условии сохранения конфиденциальности этой информации, за исключением случаев, когда в соответствии с законодательством Российской Федерации такого согласия не требуется.</w:t>
      </w:r>
    </w:p>
    <w:p>
      <w:pPr>
        <w:pStyle w:val="Normal"/>
        <w:widowControl/>
        <w:bidi w:val="0"/>
        <w:spacing w:lineRule="auto" w:line="259" w:before="0" w:after="0"/>
        <w:ind w:left="0" w:right="0" w:firstLine="680"/>
        <w:jc w:val="both"/>
        <w:rPr/>
      </w:pPr>
      <w:r>
        <w:rPr/>
        <w:t>3.3.4. Осуществлять иные права, предусмотренные законодательством Российской Федерации и договорами, заключенными с Принимающей стороной.</w:t>
      </w:r>
    </w:p>
    <w:p>
      <w:pPr>
        <w:pStyle w:val="Normal"/>
        <w:widowControl/>
        <w:bidi w:val="0"/>
        <w:spacing w:lineRule="auto" w:line="259" w:before="0" w:after="0"/>
        <w:ind w:left="0" w:right="0" w:firstLine="680"/>
        <w:jc w:val="both"/>
        <w:rPr/>
      </w:pPr>
      <w:r>
        <w:rPr/>
      </w:r>
    </w:p>
    <w:p>
      <w:pPr>
        <w:pStyle w:val="Normal"/>
        <w:spacing w:before="0" w:after="0"/>
        <w:ind w:firstLine="708"/>
        <w:rPr>
          <w:i/>
          <w:i/>
          <w:iCs/>
        </w:rPr>
      </w:pPr>
      <w:r>
        <w:rPr>
          <w:i/>
          <w:iCs/>
        </w:rPr>
        <w:t>3.4. Принимающая сторона обязана:</w:t>
      </w:r>
    </w:p>
    <w:p>
      <w:pPr>
        <w:pStyle w:val="Normal"/>
        <w:spacing w:before="0" w:after="0"/>
        <w:ind w:firstLine="708"/>
        <w:rPr>
          <w:i/>
          <w:i/>
          <w:iCs/>
        </w:rPr>
      </w:pPr>
      <w:r>
        <w:rPr/>
      </w:r>
    </w:p>
    <w:p>
      <w:pPr>
        <w:pStyle w:val="Normal"/>
        <w:widowControl/>
        <w:bidi w:val="0"/>
        <w:spacing w:lineRule="auto" w:line="259" w:before="0" w:after="0"/>
        <w:ind w:left="0" w:right="0" w:firstLine="680"/>
        <w:jc w:val="both"/>
        <w:rPr/>
      </w:pPr>
      <w:r>
        <w:rPr/>
        <w:t>3.4.1. Принимать меры по охране конфиденциальности информации ограниченного доступа, полученной от Передающей стороны, в том числе в рамках гражданско-правовых и трудовых отношений в соответствии с законодательством Российской Федерации и своими локальными нормативными актами.</w:t>
      </w:r>
    </w:p>
    <w:p>
      <w:pPr>
        <w:pStyle w:val="Normal"/>
        <w:widowControl/>
        <w:tabs>
          <w:tab w:val="clear" w:pos="708"/>
          <w:tab w:val="left" w:pos="847" w:leader="none"/>
        </w:tabs>
        <w:bidi w:val="0"/>
        <w:spacing w:lineRule="auto" w:line="259" w:before="0" w:after="0"/>
        <w:ind w:left="0" w:right="0" w:firstLine="680"/>
        <w:jc w:val="both"/>
        <w:rPr/>
      </w:pPr>
      <w:r>
        <w:rPr/>
        <w:t>3.4.2. Не разглашать информацию ограниченного доступа, полученную от Передающей стороны, а также факт ее получения (включая дату, способ и другие условия передачи), за исключением случаев, предусмотренных законодательством Российской Федерации и настоящим Соглашением.</w:t>
      </w:r>
    </w:p>
    <w:p>
      <w:pPr>
        <w:pStyle w:val="Normal"/>
        <w:widowControl/>
        <w:bidi w:val="0"/>
        <w:spacing w:lineRule="auto" w:line="259" w:before="0" w:after="0"/>
        <w:ind w:left="0" w:right="0" w:firstLine="680"/>
        <w:jc w:val="both"/>
        <w:rPr/>
      </w:pPr>
      <w:r>
        <w:rPr/>
        <w:t>3.4.3. Использовать полученную от Передающей стороны информацию ограниченного доступа исключительно для целей исполнения заключенных с Передающей стороной договоров в порядке, предусмотренном настоящим Соглашением.</w:t>
      </w:r>
    </w:p>
    <w:p>
      <w:pPr>
        <w:pStyle w:val="Normal"/>
        <w:widowControl/>
        <w:bidi w:val="0"/>
        <w:spacing w:lineRule="auto" w:line="259" w:before="0" w:after="0"/>
        <w:ind w:left="0" w:right="0" w:firstLine="680"/>
        <w:jc w:val="both"/>
        <w:rPr/>
      </w:pPr>
      <w:r>
        <w:rPr/>
        <w:t>3.4.4. Знакомить с информации ограниченного доступа своих работников, доступ которых к информации ограниченного доступа необходим с целью исполнения заключенных с Передающей стороной договоров, при условии, что указанные работники примут на себя обязательства сохранять и не разглашать известную им информацию, ограниченного доступа Передающей стороны.</w:t>
      </w:r>
    </w:p>
    <w:p>
      <w:pPr>
        <w:pStyle w:val="Normal"/>
        <w:widowControl/>
        <w:bidi w:val="0"/>
        <w:spacing w:lineRule="auto" w:line="259" w:before="0" w:after="0"/>
        <w:ind w:left="0" w:right="0" w:firstLine="680"/>
        <w:jc w:val="both"/>
        <w:rPr/>
      </w:pPr>
      <w:r>
        <w:rPr/>
        <w:t>3.4.5. Сообщить Передающей стороне о допущенном Принимающей стороной либо ставшем известным Принимающей стороне факте разглашения, либо угрозы разглашения, незаконном получении или незаконном использовании информации ограниченного доступа, третьими лицами в течение 1 рабочего дня с момента, когда ей стало известно об указанных фактах по средствам ТКС.</w:t>
      </w:r>
    </w:p>
    <w:p>
      <w:pPr>
        <w:pStyle w:val="Normal"/>
        <w:widowControl/>
        <w:bidi w:val="0"/>
        <w:spacing w:lineRule="auto" w:line="259" w:before="0" w:after="0"/>
        <w:ind w:left="0" w:right="0" w:firstLine="680"/>
        <w:jc w:val="both"/>
        <w:rPr/>
      </w:pPr>
      <w:r>
        <w:rPr/>
        <w:t>3.4.6. Не копировать и не воспроизводить иными способами информацию ограниченного доступа, за исключением случаев, когда это необходимо для целей исполнения заключенных с Передающей стороной договоров. К копиям носителей информации, содержащих информацию ограниченного доступа, должны применяться те же меры по охране конфиденциальности информации, что и к их оригиналам.</w:t>
      </w:r>
    </w:p>
    <w:p>
      <w:pPr>
        <w:pStyle w:val="Normal"/>
        <w:widowControl/>
        <w:bidi w:val="0"/>
        <w:spacing w:lineRule="auto" w:line="259" w:before="0" w:after="0"/>
        <w:ind w:left="0" w:right="0" w:firstLine="680"/>
        <w:jc w:val="both"/>
        <w:rPr/>
      </w:pPr>
      <w:r>
        <w:rPr/>
        <w:t>3.4.7. В течение 1 рабочего дня с даты получения от Передающей стороны письменного уведомления о принятии решения об изменении или отмене режима защиты информации ограниченного доступа в отношении информации ограниченного доступа, полученной от Передающей стороны, принять соответствующие меры по изменению либо отмене охраны ее конфиденциальности и направить Передающей стороне подтверждение в письменной форме о выполнении этих мер.</w:t>
      </w:r>
    </w:p>
    <w:p>
      <w:pPr>
        <w:pStyle w:val="Normal"/>
        <w:widowControl/>
        <w:bidi w:val="0"/>
        <w:spacing w:lineRule="auto" w:line="259" w:before="0" w:after="0"/>
        <w:ind w:left="0" w:right="0" w:firstLine="680"/>
        <w:jc w:val="both"/>
        <w:rPr/>
      </w:pPr>
      <w:r>
        <w:rPr/>
        <w:t>3.4.8. Исполнить требование Передающей стороны, указанное в пункте 3.1.6 настоящего Соглашения, в течение 1 рабочего дня с момента его получения, о чем Передающей стороне направляется подтверждение в письменной форме и  по средствам ТКС о выполнении ее требований.</w:t>
      </w:r>
    </w:p>
    <w:p>
      <w:pPr>
        <w:pStyle w:val="Normal"/>
        <w:widowControl/>
        <w:bidi w:val="0"/>
        <w:spacing w:lineRule="auto" w:line="259" w:before="0" w:after="0"/>
        <w:ind w:left="0" w:right="0" w:firstLine="680"/>
        <w:jc w:val="both"/>
        <w:rPr/>
      </w:pPr>
      <w:r>
        <w:rPr/>
        <w:t>3.4.9. Исполнять иные обязанности, предусмотренные законодательством Российской Федерации, и договорами, заключенными с Принимающей стороной.</w:t>
      </w:r>
    </w:p>
    <w:p>
      <w:pPr>
        <w:pStyle w:val="Normal"/>
        <w:widowControl/>
        <w:bidi w:val="0"/>
        <w:spacing w:lineRule="auto" w:line="259" w:before="0" w:after="0"/>
        <w:ind w:left="0" w:right="0" w:firstLine="680"/>
        <w:jc w:val="both"/>
        <w:rPr/>
      </w:pPr>
      <w:r>
        <w:rPr/>
        <w:t>3.5. Обязательства Принимающей стороны, предусмотренные настоящим Соглашением, не распространяются на информацию, не относящуюся к информации ограниченного доступа.</w:t>
      </w:r>
    </w:p>
    <w:p>
      <w:pPr>
        <w:pStyle w:val="Normal"/>
        <w:spacing w:before="0" w:after="0"/>
        <w:ind w:left="708" w:firstLine="708"/>
        <w:jc w:val="center"/>
        <w:rPr/>
      </w:pPr>
      <w:r>
        <w:rPr/>
      </w:r>
    </w:p>
    <w:p>
      <w:pPr>
        <w:pStyle w:val="Normal"/>
        <w:spacing w:before="0" w:after="0"/>
        <w:jc w:val="center"/>
        <w:rPr>
          <w:b/>
          <w:b/>
          <w:bCs/>
        </w:rPr>
      </w:pPr>
      <w:r>
        <w:rPr>
          <w:b/>
          <w:bCs/>
        </w:rPr>
        <w:t>4. Способы передачи информации ограниченного доступа</w:t>
      </w:r>
    </w:p>
    <w:p>
      <w:pPr>
        <w:pStyle w:val="Normal"/>
        <w:spacing w:before="0" w:after="0"/>
        <w:jc w:val="center"/>
        <w:rPr>
          <w:b/>
          <w:b/>
          <w:bCs/>
        </w:rPr>
      </w:pPr>
      <w:r>
        <w:rPr/>
      </w:r>
    </w:p>
    <w:p>
      <w:pPr>
        <w:pStyle w:val="Normal"/>
        <w:spacing w:before="0" w:after="0"/>
        <w:ind w:firstLine="708"/>
        <w:rPr/>
      </w:pPr>
      <w:r>
        <w:rPr/>
        <w:t>4.1. Передача информации ограниченного доступа, в том числе информации, составляющей коммерческую тайну, в форме электронного документа может осуществляться с использованием:</w:t>
      </w:r>
    </w:p>
    <w:p>
      <w:pPr>
        <w:pStyle w:val="Normal"/>
        <w:widowControl/>
        <w:numPr>
          <w:ilvl w:val="0"/>
          <w:numId w:val="0"/>
        </w:numPr>
        <w:bidi w:val="0"/>
        <w:spacing w:lineRule="auto" w:line="259" w:before="0" w:after="0"/>
        <w:ind w:left="777" w:right="0" w:hanging="0"/>
        <w:jc w:val="both"/>
        <w:rPr/>
      </w:pPr>
      <w:r>
        <w:rPr/>
        <w:t>- информационной системы общего пользования;</w:t>
      </w:r>
    </w:p>
    <w:p>
      <w:pPr>
        <w:pStyle w:val="Normal"/>
        <w:widowControl/>
        <w:numPr>
          <w:ilvl w:val="0"/>
          <w:numId w:val="0"/>
        </w:numPr>
        <w:bidi w:val="0"/>
        <w:spacing w:lineRule="auto" w:line="259" w:before="0" w:after="0"/>
        <w:ind w:left="777" w:right="0" w:hanging="0"/>
        <w:jc w:val="both"/>
        <w:rPr/>
      </w:pPr>
      <w:r>
        <w:rPr/>
        <w:t>- информационной системы Передающей стороны.</w:t>
      </w:r>
    </w:p>
    <w:p>
      <w:pPr>
        <w:pStyle w:val="Normal"/>
        <w:spacing w:before="0" w:after="0"/>
        <w:ind w:firstLine="708"/>
        <w:rPr/>
      </w:pPr>
      <w:r>
        <w:rPr/>
        <w:t>4.2. Каждая Сторона гарантирует отсутствие вирусов и всех других типов вредоносных программ в передаваемых электронных носителях и отправляемых в электронном виде документах, сообщениях (в том числе во вложенных файлах).</w:t>
      </w:r>
    </w:p>
    <w:p>
      <w:pPr>
        <w:pStyle w:val="Normal"/>
        <w:spacing w:before="0" w:after="0"/>
        <w:rPr/>
      </w:pPr>
      <w:r>
        <w:rPr/>
      </w:r>
    </w:p>
    <w:p>
      <w:pPr>
        <w:pStyle w:val="Normal"/>
        <w:spacing w:before="0" w:after="0"/>
        <w:jc w:val="center"/>
        <w:rPr>
          <w:b/>
          <w:b/>
          <w:bCs/>
        </w:rPr>
      </w:pPr>
      <w:r>
        <w:rPr>
          <w:b/>
          <w:bCs/>
        </w:rPr>
        <w:t>5. Предоставление информации ограниченного доступа государственным органам и органам местного самоуправления</w:t>
      </w:r>
    </w:p>
    <w:p>
      <w:pPr>
        <w:pStyle w:val="Normal"/>
        <w:spacing w:before="0" w:after="0"/>
        <w:jc w:val="center"/>
        <w:rPr>
          <w:b/>
          <w:b/>
          <w:bCs/>
        </w:rPr>
      </w:pPr>
      <w:r>
        <w:rPr/>
      </w:r>
    </w:p>
    <w:p>
      <w:pPr>
        <w:pStyle w:val="Normal"/>
        <w:spacing w:before="0" w:after="0"/>
        <w:ind w:firstLine="708"/>
        <w:rPr/>
      </w:pPr>
      <w:r>
        <w:rPr/>
        <w:t>5.1. Информация ограниченного доступа, запрашиваемая уполномоченными на то органами государственной власти, иными государственными органами или органами местного самоуправления может быть передана указанным органам только, когда обязанность по ее предоставлению установлена законом, и при условии, что поступивший запрос оформлен в соответствии с требованиями законодательства Российской Федерации.</w:t>
      </w:r>
    </w:p>
    <w:p>
      <w:pPr>
        <w:pStyle w:val="Normal"/>
        <w:spacing w:before="0" w:after="0"/>
        <w:ind w:firstLine="708"/>
        <w:rPr/>
      </w:pPr>
      <w:r>
        <w:rPr/>
        <w:t>5.2. Принимающая сторона до предоставления информации ограниченного доступа органам государственной власти, иным государственным органам или органам местного самоуправления обязана уведомить Передающую сторону о поступлении к ней соответствующего запроса. Уведомление о получении запроса должно быть представлено Принимающей стороной в письменном виде и по средствам ТКС с приложением копии запроса органа государственной власти, иного государственного органа или органами местного самоуправления о предоставлении информации ограниченного доступа.</w:t>
      </w:r>
    </w:p>
    <w:p>
      <w:pPr>
        <w:pStyle w:val="Normal"/>
        <w:spacing w:before="0" w:after="0"/>
        <w:rPr/>
      </w:pPr>
      <w:r>
        <w:rPr/>
        <w:t> </w:t>
      </w:r>
    </w:p>
    <w:p>
      <w:pPr>
        <w:pStyle w:val="Normal"/>
        <w:spacing w:before="0" w:after="0"/>
        <w:jc w:val="center"/>
        <w:rPr>
          <w:b/>
          <w:b/>
          <w:bCs/>
        </w:rPr>
      </w:pPr>
      <w:r>
        <w:rPr>
          <w:b/>
          <w:bCs/>
        </w:rPr>
        <w:t>6. Ответственность Сторон</w:t>
      </w:r>
    </w:p>
    <w:p>
      <w:pPr>
        <w:pStyle w:val="Normal"/>
        <w:spacing w:before="0" w:after="0"/>
        <w:jc w:val="center"/>
        <w:rPr>
          <w:b/>
          <w:b/>
          <w:bCs/>
        </w:rPr>
      </w:pPr>
      <w:r>
        <w:rPr/>
      </w:r>
    </w:p>
    <w:p>
      <w:pPr>
        <w:pStyle w:val="Normal"/>
        <w:spacing w:before="0" w:after="0"/>
        <w:ind w:firstLine="708"/>
        <w:rPr/>
      </w:pPr>
      <w:r>
        <w:rPr/>
        <w:t>6.1. Стороны несут ответственность в соответствии с законодательством Российской Федерации за любые действия, совершенные с нарушением требований настоящего Соглашения, и приведшие к разглашению информации ограниченного доступа.</w:t>
      </w:r>
    </w:p>
    <w:p>
      <w:pPr>
        <w:pStyle w:val="Normal"/>
        <w:spacing w:before="0" w:after="0"/>
        <w:ind w:firstLine="708"/>
        <w:rPr/>
      </w:pPr>
      <w:r>
        <w:rPr/>
        <w:t>6.2. В случае разглашения информации ограниченного доступа Принимающей стороной без получения письменного разрешения на такое разглашение Передающей стороны или утраты Информации ограниченного доступа, Принимающая сторона обязана возместить Передающей стороне причиненные убытки в полном объеме.</w:t>
      </w:r>
    </w:p>
    <w:p>
      <w:pPr>
        <w:pStyle w:val="Normal"/>
        <w:spacing w:before="0" w:after="0"/>
        <w:ind w:firstLine="708"/>
        <w:rPr/>
      </w:pPr>
      <w:r>
        <w:rPr/>
        <w:t>6.3. Принимающая сторона несет ответственность перед Передающей стороной за разглашение своими работниками информации ограниченного доступа.</w:t>
      </w:r>
    </w:p>
    <w:p>
      <w:pPr>
        <w:pStyle w:val="Normal"/>
        <w:spacing w:before="0" w:after="0"/>
        <w:ind w:firstLine="708"/>
        <w:rPr/>
      </w:pPr>
      <w:r>
        <w:rPr/>
        <w:t>6.4. Стороны освобождаются от ответственности за неисполнение или ненадлежащее исполнение своих обязательств по настоящему Соглашению, если докажут, что надлежащее исполнение оказалось невозможным вследствие непреодолимой силы, то есть вследствие чрезвычайных и непредотвратимых при данных условиях обстоятельств.</w:t>
      </w:r>
    </w:p>
    <w:p>
      <w:pPr>
        <w:pStyle w:val="Normal"/>
        <w:spacing w:before="0" w:after="0"/>
        <w:ind w:firstLine="708"/>
        <w:rPr/>
      </w:pPr>
      <w:r>
        <w:rPr/>
        <w:t>6.5. Сторона, подвергшаяся действию непреодолимой силы, обязана в течение 10 (десяти) дней уведомить другую Сторону о характере, предполагаемой продолжительности действия непреодолимой силы, а также о том, выполнению каких обязанностей по настоящему Соглашению она препятствует, и представить доказательства наступления таких обстоятельств. В случае отсутствия уведомления, Сторона, подвергшаяся действию непреодолимой силы, не может в дальнейшем ссылаться на действие непреодолимой силы, как на основание, освобождающее ее от ответственности.</w:t>
      </w:r>
    </w:p>
    <w:p>
      <w:pPr>
        <w:pStyle w:val="Normal"/>
        <w:spacing w:before="0" w:after="0"/>
        <w:rPr/>
      </w:pPr>
      <w:r>
        <w:rPr/>
        <w:t> </w:t>
      </w:r>
    </w:p>
    <w:p>
      <w:pPr>
        <w:pStyle w:val="Normal"/>
        <w:spacing w:before="0" w:after="0"/>
        <w:jc w:val="center"/>
        <w:rPr>
          <w:b/>
          <w:b/>
          <w:bCs/>
        </w:rPr>
      </w:pPr>
      <w:r>
        <w:rPr>
          <w:b/>
          <w:bCs/>
        </w:rPr>
        <w:t>7. Срок действия Соглашения</w:t>
      </w:r>
    </w:p>
    <w:p>
      <w:pPr>
        <w:pStyle w:val="Normal"/>
        <w:spacing w:before="0" w:after="0"/>
        <w:ind w:firstLine="708"/>
        <w:rPr/>
      </w:pPr>
      <w:r>
        <w:rPr/>
        <w:t>7.1. Соглашение вступает в силу с момента его подписания Сторонами и действует до ___________ 20___ года.</w:t>
      </w:r>
    </w:p>
    <w:p>
      <w:pPr>
        <w:pStyle w:val="Normal"/>
        <w:spacing w:before="0" w:after="0"/>
        <w:ind w:firstLine="708"/>
        <w:rPr/>
      </w:pPr>
      <w:r>
        <w:rPr/>
        <w:t>7.2. Соглашение может быть досрочно расторгнуто по соглашению Сторон, а также по иным основаниям и в порядке, предусмотренном законодательством Российской Федерации.</w:t>
      </w:r>
    </w:p>
    <w:p>
      <w:pPr>
        <w:pStyle w:val="Normal"/>
        <w:spacing w:before="0" w:after="0"/>
        <w:ind w:firstLine="708"/>
        <w:rPr/>
      </w:pPr>
      <w:r>
        <w:rPr/>
        <w:t>7.3. Любая из Сторон вправе отказаться от исполнения настоящего Соглашения, известив письменно об этом другую Сторону не менее чем за 15 (пятнадцать) календарных дней.</w:t>
      </w:r>
    </w:p>
    <w:p>
      <w:pPr>
        <w:pStyle w:val="Normal"/>
        <w:spacing w:before="0" w:after="0"/>
        <w:ind w:firstLine="708"/>
        <w:rPr/>
      </w:pPr>
      <w:r>
        <w:rPr/>
        <w:t>7.4. При досрочном прекращении настоящего Соглашения или по истечении срока его действия Принимающая сторона по требованию Передающей стороны в течение 3 (трех) рабочих дней с момента получения такого требования обязана вернуть Передающей стороне, вернуть все оригиналы, предоставленных Передающей стороной, материальных носителей, содержащих информацию ограниченного доступа, а также их копии или уничтожить материальные носители, содержащие информацию ограниченного доступа. В случае уничтожения по требованию Передающей стороны материальных носителей, содержащих информацию ограниченного доступа, Принимающая сторона в тот же срок должна направить в письменной форме Передающей стороне подтверждение о выполнении указания Передающей стороны.</w:t>
      </w:r>
    </w:p>
    <w:p>
      <w:pPr>
        <w:pStyle w:val="Normal"/>
        <w:spacing w:before="0" w:after="0"/>
        <w:rPr/>
      </w:pPr>
      <w:r>
        <w:rPr/>
        <w:t> </w:t>
      </w:r>
    </w:p>
    <w:p>
      <w:pPr>
        <w:pStyle w:val="Normal"/>
        <w:spacing w:before="0" w:after="0"/>
        <w:jc w:val="center"/>
        <w:rPr>
          <w:b/>
          <w:b/>
          <w:bCs/>
        </w:rPr>
      </w:pPr>
      <w:r>
        <w:rPr>
          <w:b/>
          <w:bCs/>
        </w:rPr>
        <w:t>8. Обеспечение конфиденциальности информации ограниченного доступа в случае реорганизации или ликвидации одной из Сторон</w:t>
      </w:r>
    </w:p>
    <w:p>
      <w:pPr>
        <w:pStyle w:val="Normal"/>
        <w:spacing w:before="0" w:after="0"/>
        <w:jc w:val="center"/>
        <w:rPr>
          <w:b/>
          <w:b/>
          <w:bCs/>
        </w:rPr>
      </w:pPr>
      <w:r>
        <w:rPr/>
      </w:r>
    </w:p>
    <w:p>
      <w:pPr>
        <w:pStyle w:val="Normal"/>
        <w:spacing w:before="0" w:after="0"/>
        <w:ind w:firstLine="708"/>
        <w:rPr/>
      </w:pPr>
      <w:r>
        <w:rPr/>
        <w:t>8.1. В случае принятия решения реорганизации или ликвидации одной из Сторон реорганизуемая или ликвидируемая Сторона обязана в течение 5 (пяти) рабочих дней с момента принятия такого решения направить другой Стороне письменное уведомление  об этом. В случае принятия решения реорганизации Стороны в названном уведомлении должно содержаться указание на правопреемников реорганизуемой Стороны.</w:t>
      </w:r>
    </w:p>
    <w:p>
      <w:pPr>
        <w:pStyle w:val="Normal"/>
        <w:spacing w:before="0" w:after="0"/>
        <w:ind w:firstLine="708"/>
        <w:rPr/>
      </w:pPr>
      <w:r>
        <w:rPr/>
        <w:t>8.2. В период реорганизации одной из Сторон меры по охране конфиденциальности информации ограниченного доступа остаются таким же, как до начала реорганизации, если Передающая сторона не направит соответствующему органу (лицу), осуществляющему реорганизацию Принимающей стороны, письменное требование о совершении действий, предусмотренных пунктом 3.1.6 настоящего Соглашения. Требование Передающей стороны должно быть исполнено в сроки, указанные в пункте 3.4.8 настоящего Соглашения.</w:t>
      </w:r>
    </w:p>
    <w:p>
      <w:pPr>
        <w:pStyle w:val="Normal"/>
        <w:spacing w:before="0" w:after="0"/>
        <w:ind w:firstLine="708"/>
        <w:rPr/>
      </w:pPr>
      <w:r>
        <w:rPr/>
        <w:t>8.3. После реорганизации одной из Сторон правопреемником Стороны применяются такие же меры по охране конфиденциальности информации ограниченного доступа, как до реорганизации.</w:t>
      </w:r>
    </w:p>
    <w:p>
      <w:pPr>
        <w:pStyle w:val="Normal"/>
        <w:spacing w:before="0" w:after="0"/>
        <w:ind w:firstLine="708"/>
        <w:rPr/>
      </w:pPr>
      <w:r>
        <w:rPr/>
        <w:t>8.4. В случае ликвидации Принимающей стороны Передающая сторона вправе направить соответствующему органу (лицу), осуществляющему ликвидацию Принимающей стороны, письменное требование о совершении действий, предусмотренных пунктом 3.1.6 настоящего Соглашения. Требование Передающей стороны должно быть исполнено в сроки, указанные в пункте 3.4.8 настоящего Соглашения.</w:t>
      </w:r>
    </w:p>
    <w:p>
      <w:pPr>
        <w:pStyle w:val="Normal"/>
        <w:spacing w:before="0" w:after="0"/>
        <w:rPr/>
      </w:pPr>
      <w:r>
        <w:rPr/>
        <w:t> </w:t>
      </w:r>
    </w:p>
    <w:p>
      <w:pPr>
        <w:pStyle w:val="Normal"/>
        <w:spacing w:before="0" w:after="0"/>
        <w:jc w:val="center"/>
        <w:rPr>
          <w:b/>
          <w:b/>
          <w:bCs/>
        </w:rPr>
      </w:pPr>
      <w:r>
        <w:rPr>
          <w:b/>
          <w:bCs/>
        </w:rPr>
        <w:t>9. Порядок разрешения споров</w:t>
      </w:r>
    </w:p>
    <w:p>
      <w:pPr>
        <w:pStyle w:val="Normal"/>
        <w:spacing w:before="0" w:after="0"/>
        <w:jc w:val="center"/>
        <w:rPr>
          <w:b/>
          <w:b/>
          <w:bCs/>
        </w:rPr>
      </w:pPr>
      <w:r>
        <w:rPr/>
      </w:r>
    </w:p>
    <w:p>
      <w:pPr>
        <w:pStyle w:val="Normal"/>
        <w:spacing w:before="0" w:after="0"/>
        <w:ind w:firstLine="708"/>
        <w:rPr/>
      </w:pPr>
      <w:r>
        <w:rPr/>
        <w:t>9.1. Все споры и разногласия, которые могут возникнуть между Сторонами из настоящего Соглашения или в связи с ним, разрешаются ими путем переговоров.</w:t>
      </w:r>
    </w:p>
    <w:p>
      <w:pPr>
        <w:pStyle w:val="Normal"/>
        <w:spacing w:before="0" w:after="0"/>
        <w:ind w:firstLine="708"/>
        <w:rPr/>
      </w:pPr>
      <w:r>
        <w:rPr/>
        <w:t>9.2. Стороны предусматривают обязательный досудебный порядок урегулирования споров путем направления претензий. Претензия оформляется в письменной форме и направляется той Стороне, которая допустила нарушение условий настоящего соглашения. Срок рассмотрения претензий не может превышать 15 (пятнадцати) рабочих дней со дня их получения.</w:t>
      </w:r>
    </w:p>
    <w:p>
      <w:pPr>
        <w:pStyle w:val="Normal"/>
        <w:spacing w:before="0" w:after="0"/>
        <w:ind w:firstLine="708"/>
        <w:rPr/>
      </w:pPr>
      <w:r>
        <w:rPr/>
        <w:t xml:space="preserve">9.3. При невозможности урегулирования спорных вопросов в досудебном порядке все возникающие споры будут разрешаться в порядке, установленном действующим законодательством Российской Федерации в Арбитражном суде города </w:t>
      </w:r>
      <w:r>
        <w:rPr/>
        <w:t>Москвы</w:t>
      </w:r>
      <w:r>
        <w:rPr/>
        <w:t>.</w:t>
      </w:r>
    </w:p>
    <w:p>
      <w:pPr>
        <w:pStyle w:val="Normal"/>
        <w:spacing w:before="0" w:after="0"/>
        <w:rPr/>
      </w:pPr>
      <w:r>
        <w:rPr/>
        <w:t> </w:t>
      </w:r>
    </w:p>
    <w:p>
      <w:pPr>
        <w:pStyle w:val="Normal"/>
        <w:spacing w:before="0" w:after="0"/>
        <w:jc w:val="center"/>
        <w:rPr>
          <w:b/>
          <w:b/>
          <w:bCs/>
        </w:rPr>
      </w:pPr>
      <w:r>
        <w:rPr>
          <w:b/>
          <w:bCs/>
        </w:rPr>
        <w:t>10. Прочие условия</w:t>
      </w:r>
    </w:p>
    <w:p>
      <w:pPr>
        <w:pStyle w:val="Normal"/>
        <w:spacing w:before="0" w:after="0"/>
        <w:jc w:val="center"/>
        <w:rPr>
          <w:b/>
          <w:b/>
          <w:bCs/>
        </w:rPr>
      </w:pPr>
      <w:r>
        <w:rPr/>
      </w:r>
    </w:p>
    <w:p>
      <w:pPr>
        <w:pStyle w:val="Normal"/>
        <w:spacing w:before="0" w:after="0"/>
        <w:ind w:firstLine="708"/>
        <w:rPr/>
      </w:pPr>
      <w:r>
        <w:rPr/>
        <w:t>10.1. Настоящее Соглашение составлено, регулируется и толкуется в соответствии с правом Российской Федерации. Вопросы, не урегулированные настоящим Соглашением, разрешаются в соответствии с действующим законодательством Российской Федерации.</w:t>
      </w:r>
    </w:p>
    <w:p>
      <w:pPr>
        <w:pStyle w:val="Normal"/>
        <w:spacing w:before="0" w:after="0"/>
        <w:ind w:firstLine="708"/>
        <w:rPr/>
      </w:pPr>
      <w:r>
        <w:rPr/>
        <w:t>10.2. Настоящее Соглашение не предусматривает предоставление Сторонами прав на результаты интеллектуальной деятельности и средства индивидуализации, а также иных прав на использование информации ограниченного доступа.</w:t>
      </w:r>
    </w:p>
    <w:p>
      <w:pPr>
        <w:pStyle w:val="Normal"/>
        <w:spacing w:before="0" w:after="0"/>
        <w:ind w:firstLine="708"/>
        <w:rPr/>
      </w:pPr>
      <w:r>
        <w:rPr/>
        <w:t xml:space="preserve">10.3. В случае противоречия настоящего Соглашения иным заключенным между Сторонами договорам (за исключением заключения Сторонами лицензионного договора о предоставлении права использования информации, составляющей коммерческую тайну) к отношениям Сторон подлежат применению положения настоящего Соглашения в части условий обеспечения конфиденциальности информации ограниченного доступа. </w:t>
      </w:r>
    </w:p>
    <w:p>
      <w:pPr>
        <w:pStyle w:val="Normal"/>
        <w:spacing w:before="0" w:after="0"/>
        <w:ind w:firstLine="708"/>
        <w:rPr/>
      </w:pPr>
      <w:r>
        <w:rPr/>
        <w:t>10.4. Действительность условий настоящего Соглашения не затрагивается прекращением любых других договоров между Сторонами, если иное не установлено соглашением Сторон.</w:t>
      </w:r>
    </w:p>
    <w:p>
      <w:pPr>
        <w:pStyle w:val="Normal"/>
        <w:spacing w:before="0" w:after="0"/>
        <w:ind w:firstLine="708"/>
        <w:rPr/>
      </w:pPr>
      <w:r>
        <w:rPr/>
        <w:t>10.5. Соглашение подписано в двух экземплярах по одному для каждой из Сторон.</w:t>
      </w:r>
    </w:p>
    <w:p>
      <w:pPr>
        <w:pStyle w:val="Normal"/>
        <w:spacing w:before="0" w:after="0"/>
        <w:ind w:firstLine="708"/>
        <w:rPr/>
      </w:pPr>
      <w:r>
        <w:rPr/>
      </w:r>
    </w:p>
    <w:p>
      <w:pPr>
        <w:pStyle w:val="ListParagraph"/>
        <w:numPr>
          <w:ilvl w:val="0"/>
          <w:numId w:val="3"/>
        </w:numPr>
        <w:spacing w:lineRule="auto" w:line="240" w:before="0" w:after="0"/>
        <w:contextualSpacing/>
        <w:jc w:val="center"/>
        <w:rPr>
          <w:rFonts w:cs="Times New Roman"/>
          <w:b/>
          <w:b/>
          <w:bCs/>
          <w:szCs w:val="24"/>
          <w:lang w:eastAsia="ru-RU"/>
        </w:rPr>
      </w:pPr>
      <w:r>
        <w:rPr>
          <w:rFonts w:cs="Times New Roman"/>
          <w:b/>
          <w:bCs/>
          <w:szCs w:val="24"/>
          <w:lang w:eastAsia="ru-RU"/>
        </w:rPr>
        <w:t>РЕКВИЗИТЫ И ПОДПИСИ СТОРОН</w:t>
      </w:r>
    </w:p>
    <w:p>
      <w:pPr>
        <w:pStyle w:val="Normal"/>
        <w:spacing w:lineRule="auto" w:line="240" w:before="0" w:after="0"/>
        <w:ind w:left="426" w:hanging="0"/>
        <w:rPr>
          <w:rFonts w:cs="Times New Roman"/>
          <w:szCs w:val="24"/>
          <w:lang w:eastAsia="ru-RU"/>
        </w:rPr>
      </w:pPr>
      <w:r>
        <w:rPr>
          <w:rFonts w:cs="Times New Roman"/>
          <w:szCs w:val="24"/>
          <w:lang w:eastAsia="ru-RU"/>
        </w:rPr>
      </w:r>
    </w:p>
    <w:tbl>
      <w:tblPr>
        <w:tblStyle w:val="a3"/>
        <w:tblW w:w="9345" w:type="dxa"/>
        <w:jc w:val="left"/>
        <w:tblInd w:w="0" w:type="dxa"/>
        <w:tblCellMar>
          <w:top w:w="0" w:type="dxa"/>
          <w:left w:w="108" w:type="dxa"/>
          <w:bottom w:w="0" w:type="dxa"/>
          <w:right w:w="108" w:type="dxa"/>
        </w:tblCellMar>
        <w:tblLook w:val="04a0" w:noHBand="0" w:noVBand="1" w:firstColumn="1" w:lastRow="0" w:lastColumn="0" w:firstRow="1"/>
      </w:tblPr>
      <w:tblGrid>
        <w:gridCol w:w="4672"/>
        <w:gridCol w:w="4672"/>
      </w:tblGrid>
      <w:tr>
        <w:trPr>
          <w:trHeight w:val="5103" w:hRule="atLeast"/>
        </w:trPr>
        <w:tc>
          <w:tcPr>
            <w:tcW w:w="4672" w:type="dxa"/>
            <w:tcBorders>
              <w:top w:val="nil"/>
              <w:left w:val="nil"/>
              <w:bottom w:val="nil"/>
              <w:right w:val="nil"/>
            </w:tcBorders>
          </w:tcPr>
          <w:p>
            <w:pPr>
              <w:pStyle w:val="Normal"/>
              <w:spacing w:lineRule="auto" w:line="240" w:before="0" w:after="0"/>
              <w:jc w:val="left"/>
              <w:rPr>
                <w:rFonts w:cs="Times New Roman"/>
                <w:b/>
                <w:b/>
                <w:bCs/>
                <w:szCs w:val="24"/>
                <w:lang w:eastAsia="ru-RU"/>
              </w:rPr>
            </w:pPr>
            <w:r>
              <w:rPr>
                <w:b/>
                <w:color w:val="000000" w:themeColor="text1"/>
              </w:rPr>
              <w:t>Передающая сторона</w:t>
            </w:r>
            <w:r>
              <w:rPr>
                <w:rFonts w:cs="Times New Roman"/>
                <w:b/>
                <w:bCs/>
                <w:szCs w:val="24"/>
                <w:lang w:eastAsia="ru-RU"/>
              </w:rPr>
              <w:t>:</w:t>
            </w:r>
          </w:p>
          <w:p>
            <w:pPr>
              <w:pStyle w:val="Normal"/>
              <w:spacing w:lineRule="auto" w:line="240" w:before="0" w:after="0"/>
              <w:jc w:val="left"/>
              <w:rPr>
                <w:rFonts w:cs="Times New Roman"/>
                <w:szCs w:val="24"/>
                <w:lang w:eastAsia="ru-RU"/>
              </w:rPr>
            </w:pPr>
            <w:r>
              <w:rPr>
                <w:rFonts w:cs="Times New Roman"/>
                <w:szCs w:val="24"/>
                <w:lang w:eastAsia="ru-RU"/>
              </w:rPr>
            </w:r>
          </w:p>
          <w:p>
            <w:pPr>
              <w:pStyle w:val="Normal"/>
              <w:spacing w:lineRule="auto" w:line="240" w:before="0" w:after="0"/>
              <w:jc w:val="left"/>
              <w:rPr>
                <w:rFonts w:cs="Times New Roman"/>
                <w:szCs w:val="24"/>
                <w:lang w:eastAsia="ru-RU"/>
              </w:rPr>
            </w:pPr>
            <w:r>
              <w:rPr>
                <w:rFonts w:cs="Times New Roman"/>
                <w:szCs w:val="24"/>
                <w:lang w:eastAsia="ru-RU"/>
              </w:rPr>
            </w:r>
          </w:p>
          <w:p>
            <w:pPr>
              <w:pStyle w:val="Normal"/>
              <w:spacing w:lineRule="auto" w:line="240" w:before="0" w:after="0"/>
              <w:jc w:val="left"/>
              <w:rPr>
                <w:rFonts w:cs="Times New Roman"/>
                <w:szCs w:val="24"/>
                <w:lang w:eastAsia="ru-RU"/>
              </w:rPr>
            </w:pPr>
            <w:r>
              <w:rPr>
                <w:rFonts w:cs="Times New Roman"/>
                <w:szCs w:val="24"/>
                <w:lang w:eastAsia="ru-RU"/>
              </w:rPr>
            </w:r>
          </w:p>
          <w:p>
            <w:pPr>
              <w:pStyle w:val="Normal"/>
              <w:spacing w:lineRule="auto" w:line="240" w:before="0" w:after="0"/>
              <w:jc w:val="left"/>
              <w:rPr>
                <w:rFonts w:cs="Times New Roman"/>
                <w:szCs w:val="24"/>
                <w:lang w:eastAsia="ru-RU"/>
              </w:rPr>
            </w:pPr>
            <w:r>
              <w:rPr>
                <w:rFonts w:cs="Times New Roman"/>
                <w:szCs w:val="24"/>
                <w:lang w:eastAsia="ru-RU"/>
              </w:rPr>
              <w:t xml:space="preserve">_________________________ </w:t>
            </w:r>
          </w:p>
        </w:tc>
        <w:tc>
          <w:tcPr>
            <w:tcW w:w="4672" w:type="dxa"/>
            <w:tcBorders>
              <w:top w:val="nil"/>
              <w:left w:val="nil"/>
              <w:bottom w:val="nil"/>
              <w:right w:val="nil"/>
            </w:tcBorders>
          </w:tcPr>
          <w:p>
            <w:pPr>
              <w:pStyle w:val="Normal"/>
              <w:spacing w:lineRule="auto" w:line="240" w:before="0" w:after="0"/>
              <w:jc w:val="left"/>
              <w:rPr>
                <w:rFonts w:cs="Times New Roman"/>
                <w:b/>
                <w:b/>
                <w:bCs/>
                <w:szCs w:val="24"/>
                <w:lang w:eastAsia="ru-RU"/>
              </w:rPr>
            </w:pPr>
            <w:r>
              <w:rPr>
                <w:b/>
                <w:bCs/>
              </w:rPr>
              <w:t>Принимающая сторона</w:t>
            </w:r>
            <w:r>
              <w:rPr>
                <w:rFonts w:cs="Times New Roman"/>
                <w:b/>
                <w:bCs/>
                <w:szCs w:val="24"/>
                <w:lang w:eastAsia="ru-RU"/>
              </w:rPr>
              <w:t>:</w:t>
            </w:r>
          </w:p>
          <w:p>
            <w:pPr>
              <w:pStyle w:val="Normal"/>
              <w:spacing w:lineRule="auto" w:line="240" w:before="0" w:after="0"/>
              <w:jc w:val="left"/>
              <w:rPr>
                <w:rFonts w:cs="Times New Roman"/>
                <w:szCs w:val="24"/>
                <w:lang w:eastAsia="ru-RU"/>
              </w:rPr>
            </w:pPr>
            <w:r>
              <w:rPr/>
            </w:r>
          </w:p>
          <w:p>
            <w:pPr>
              <w:pStyle w:val="Normal"/>
              <w:spacing w:lineRule="auto" w:line="240" w:before="0" w:after="0"/>
              <w:jc w:val="left"/>
              <w:rPr>
                <w:rFonts w:cs="Times New Roman"/>
                <w:szCs w:val="24"/>
                <w:lang w:eastAsia="ru-RU"/>
              </w:rPr>
            </w:pPr>
            <w:r>
              <w:rPr>
                <w:rFonts w:cs="Times New Roman"/>
                <w:szCs w:val="24"/>
                <w:lang w:eastAsia="ru-RU"/>
              </w:rPr>
            </w:r>
          </w:p>
          <w:p>
            <w:pPr>
              <w:pStyle w:val="Normal"/>
              <w:spacing w:lineRule="auto" w:line="240" w:before="0" w:after="0"/>
              <w:jc w:val="left"/>
              <w:rPr>
                <w:rFonts w:cs="Times New Roman"/>
                <w:szCs w:val="24"/>
                <w:lang w:eastAsia="ru-RU"/>
              </w:rPr>
            </w:pPr>
            <w:r>
              <w:rPr>
                <w:rFonts w:cs="Times New Roman"/>
                <w:szCs w:val="24"/>
                <w:lang w:eastAsia="ru-RU"/>
              </w:rPr>
            </w:r>
          </w:p>
          <w:p>
            <w:pPr>
              <w:pStyle w:val="Normal"/>
              <w:spacing w:lineRule="auto" w:line="240" w:before="0" w:after="0"/>
              <w:jc w:val="left"/>
              <w:rPr>
                <w:rFonts w:cs="Times New Roman"/>
                <w:szCs w:val="24"/>
                <w:lang w:eastAsia="ru-RU"/>
              </w:rPr>
            </w:pPr>
            <w:r>
              <w:rPr>
                <w:rFonts w:cs="Times New Roman"/>
                <w:szCs w:val="24"/>
                <w:lang w:eastAsia="ru-RU"/>
              </w:rPr>
            </w:r>
          </w:p>
          <w:p>
            <w:pPr>
              <w:pStyle w:val="Normal"/>
              <w:spacing w:lineRule="auto" w:line="240" w:before="0" w:after="0"/>
              <w:jc w:val="left"/>
              <w:rPr/>
            </w:pPr>
            <w:r>
              <w:rPr>
                <w:rFonts w:cs="Times New Roman"/>
                <w:szCs w:val="24"/>
                <w:lang w:val="en-US" w:eastAsia="ru-RU"/>
              </w:rPr>
              <w:t xml:space="preserve">_______________________ </w:t>
            </w:r>
          </w:p>
        </w:tc>
      </w:tr>
    </w:tbl>
    <w:p>
      <w:pPr>
        <w:pStyle w:val="Normal"/>
        <w:spacing w:before="0" w:after="0"/>
        <w:rPr/>
      </w:pPr>
      <w:r>
        <w:rPr/>
      </w:r>
    </w:p>
    <w:sect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font>
  <w:font w:name="Symbol">
    <w:charset w:val="02"/>
    <w:family w:val="roman"/>
    <w:pitch w:val="variable"/>
    <w:embedRegular r:id="rId4" w:fontKey="{04014A78-CABC-4EF0-12AC-5CD89AEFDE04}"/>
  </w:font>
  <w:font w:name="Arial">
    <w:charset w:val="00"/>
    <w:family w:val="swiss"/>
    <w:pitch w:val="variable"/>
  </w:font>
  <w:font w:name="Liberation Serif">
    <w:altName w:val="Times New Roman"/>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embedRegular r:id="rId1" w:fontKey="{01014A78-CABC-4EF0-12AC-5CD89AEFDE01}"/>
    <w:embedBold r:id="rId2" w:fontKey="{02014A78-CABC-4EF0-12AC-5CD89AEFDE02}"/>
    <w:embedItalic r:id="rId3" w:fontKey="{03014A78-CABC-4EF0-12AC-5CD89AEFDE03}"/>
  </w:font>
  <w:font w:name="Liberation Sans">
    <w:altName w:val="Arial"/>
    <w:charset w:val="01"/>
    <w:family w:val="swiss"/>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Symbol">
    <w:charset w:val="02"/>
    <w:family w:val="auto"/>
    <w:pitch w:val="default"/>
    <w:embedRegular r:id="rId13" w:fontKey="{0D014A78-CABC-4EF0-12AC-5CD89AEFDE0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
    <w:lvl w:ilvl="0">
      <w:start w:val="1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4"/>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both"/>
    </w:pPr>
    <w:rPr>
      <w:rFonts w:ascii="Times New Roman" w:hAnsi="Times New Roman" w:eastAsia="Calibri" w:cs="" w:cstheme="minorBidi" w:eastAsiaTheme="minorHAnsi"/>
      <w:color w:val="auto"/>
      <w:kern w:val="0"/>
      <w:sz w:val="24"/>
      <w:szCs w:val="22"/>
      <w:lang w:val="ru-RU" w:eastAsia="en-US" w:bidi="ar-SA"/>
    </w:rPr>
  </w:style>
  <w:style w:type="character" w:styleId="DefaultParagraphFont" w:default="1">
    <w:name w:val="Default Paragraph Font"/>
    <w:uiPriority w:val="1"/>
    <w:semiHidden/>
    <w:unhideWhenUsed/>
    <w:qFormat/>
    <w:rPr/>
  </w:style>
  <w:style w:type="character" w:styleId="Postbody1" w:customStyle="1">
    <w:name w:val="postbody1"/>
    <w:qFormat/>
    <w:rsid w:val="0045635d"/>
    <w:rPr>
      <w:sz w:val="15"/>
      <w:szCs w:val="15"/>
    </w:rPr>
  </w:style>
  <w:style w:type="paragraph" w:styleId="Style14">
    <w:name w:val="Заголовок"/>
    <w:basedOn w:val="Normal"/>
    <w:next w:val="Style15"/>
    <w:qFormat/>
    <w:pPr>
      <w:keepNext w:val="true"/>
      <w:spacing w:before="240" w:after="120"/>
    </w:pPr>
    <w:rPr>
      <w:rFonts w:ascii="Liberation Sans" w:hAnsi="Liberation Sans" w:eastAsia="Noto Sans CJK SC" w:cs="Lohit Devanagari"/>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Lohit Devanagari"/>
    </w:rPr>
  </w:style>
  <w:style w:type="paragraph" w:styleId="Style17">
    <w:name w:val="Caption"/>
    <w:basedOn w:val="Normal"/>
    <w:qFormat/>
    <w:pPr>
      <w:suppressLineNumbers/>
      <w:spacing w:before="120" w:after="120"/>
    </w:pPr>
    <w:rPr>
      <w:rFonts w:cs="Lohit Devanagari"/>
      <w:i/>
      <w:iCs/>
      <w:sz w:val="24"/>
      <w:szCs w:val="24"/>
    </w:rPr>
  </w:style>
  <w:style w:type="paragraph" w:styleId="Style18">
    <w:name w:val="Указатель"/>
    <w:basedOn w:val="Normal"/>
    <w:qFormat/>
    <w:pPr>
      <w:suppressLineNumbers/>
    </w:pPr>
    <w:rPr>
      <w:rFonts w:cs="Lohit Devanagari"/>
    </w:rPr>
  </w:style>
  <w:style w:type="paragraph" w:styleId="ListParagraph">
    <w:name w:val="List Paragraph"/>
    <w:basedOn w:val="Normal"/>
    <w:uiPriority w:val="34"/>
    <w:qFormat/>
    <w:rsid w:val="000e10ae"/>
    <w:pPr>
      <w:spacing w:before="0" w:after="160"/>
      <w:ind w:left="720" w:hanging="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3">
    <w:name w:val="Table Grid"/>
    <w:basedOn w:val="a1"/>
    <w:uiPriority w:val="39"/>
    <w:rsid w:val="000e10a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LibreOffice/6.4.7.2$Linux_X86_64 LibreOffice_project/40$Build-2</Application>
  <Pages>7</Pages>
  <Words>2162</Words>
  <Characters>16365</Characters>
  <CharactersWithSpaces>18521</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2021-05-04T10:11:00Z</dcterms:created>
  <dc:creator>Михаил Макаров</dc:creator>
  <dc:description/>
  <dc:language>ru-RU</dc:language>
  <cp:lastModifiedBy/>
  <dcterms:modified xsi:type="dcterms:W3CDTF">2021-06-29T10:53:07Z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