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Arial" w:hAnsi="Arial"/>
          <w:b/>
          <w:sz w:val="36"/>
        </w:rPr>
        <w:t>Computer Science Department</w:t>
      </w:r>
    </w:p>
    <w:p>
      <w:pPr>
        <w:jc w:val="center"/>
      </w:pPr>
      <w:r>
        <w:rPr>
          <w:rFonts w:ascii="Arial" w:hAnsi="Arial"/>
          <w:b/>
          <w:sz w:val="24"/>
        </w:rPr>
        <w:t>Senior Project Requirements and Design Document – Fall 2026</w:t>
      </w:r>
    </w:p>
    <w:p>
      <w:pPr>
        <w:jc w:val="center"/>
      </w:pPr>
      <w:r>
        <w:rPr>
          <w:b/>
          <w:sz w:val="30"/>
        </w:rPr>
        <w:t>AI-Based Medical Image Classification and Diagnostic Report Generation</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c>
          <w:tcPr>
            <w:tcW w:type="dxa" w:w="2592"/>
            <w:shd w:fill="EDEDED"/>
            <w:vAlign w:val="center"/>
            <w:tcMar>
              <w:top w:w="80" w:type="dxa"/>
              <w:start w:w="80" w:type="dxa"/>
              <w:bottom w:w="80" w:type="dxa"/>
              <w:end w:w="80" w:type="dxa"/>
            </w:tcMar>
          </w:tcPr>
          <w:p>
            <w:pPr>
              <w:spacing w:after="20"/>
            </w:pPr>
            <w:r>
              <w:rPr>
                <w:rFonts w:ascii="Arial" w:hAnsi="Arial"/>
                <w:b/>
                <w:sz w:val="18"/>
              </w:rPr>
              <w:t>Item</w:t>
            </w:r>
          </w:p>
        </w:tc>
        <w:tc>
          <w:tcPr>
            <w:tcW w:type="dxa" w:w="8352"/>
            <w:shd w:fill="EDEDED"/>
            <w:vAlign w:val="center"/>
            <w:tcMar>
              <w:top w:w="80" w:type="dxa"/>
              <w:start w:w="80" w:type="dxa"/>
              <w:bottom w:w="80" w:type="dxa"/>
              <w:end w:w="80" w:type="dxa"/>
            </w:tcMar>
          </w:tcPr>
          <w:p>
            <w:pPr>
              <w:spacing w:after="20"/>
            </w:pPr>
            <w:r>
              <w:rPr>
                <w:rFonts w:ascii="Arial" w:hAnsi="Arial"/>
                <w:b/>
                <w:sz w:val="18"/>
              </w:rPr>
              <w:t>Details</w:t>
            </w:r>
          </w:p>
        </w:tc>
      </w:tr>
      <w:tr>
        <w:tc>
          <w:tcPr>
            <w:tcW w:type="dxa" w:w="2592"/>
            <w:vAlign w:val="top"/>
            <w:tcMar>
              <w:top w:w="80" w:type="dxa"/>
              <w:start w:w="80" w:type="dxa"/>
              <w:bottom w:w="80" w:type="dxa"/>
              <w:end w:w="80" w:type="dxa"/>
            </w:tcMar>
          </w:tcPr>
          <w:p>
            <w:pPr>
              <w:spacing w:after="20"/>
            </w:pPr>
            <w:r>
              <w:rPr>
                <w:rFonts w:ascii="Arial" w:hAnsi="Arial"/>
                <w:sz w:val="18"/>
              </w:rPr>
              <w:t>Team Members</w:t>
            </w:r>
          </w:p>
        </w:tc>
        <w:tc>
          <w:tcPr>
            <w:tcW w:type="dxa" w:w="8352"/>
            <w:vAlign w:val="top"/>
            <w:tcMar>
              <w:top w:w="80" w:type="dxa"/>
              <w:start w:w="80" w:type="dxa"/>
              <w:bottom w:w="80" w:type="dxa"/>
              <w:end w:w="80" w:type="dxa"/>
            </w:tcMar>
          </w:tcPr>
          <w:p>
            <w:pPr>
              <w:spacing w:after="20"/>
            </w:pPr>
            <w:r>
              <w:rPr>
                <w:rFonts w:ascii="Arial" w:hAnsi="Arial"/>
                <w:sz w:val="18"/>
              </w:rPr>
              <w:t>Daniyar Kshibekov; Daulet Kaskenov; Ayaulym Zhumagul; Assel Derbissova</w:t>
            </w:r>
          </w:p>
        </w:tc>
      </w:tr>
      <w:tr>
        <w:tc>
          <w:tcPr>
            <w:tcW w:type="dxa" w:w="2592"/>
            <w:vAlign w:val="top"/>
            <w:tcMar>
              <w:top w:w="80" w:type="dxa"/>
              <w:start w:w="80" w:type="dxa"/>
              <w:bottom w:w="80" w:type="dxa"/>
              <w:end w:w="80" w:type="dxa"/>
            </w:tcMar>
          </w:tcPr>
          <w:p>
            <w:pPr>
              <w:spacing w:after="20"/>
            </w:pPr>
            <w:r>
              <w:rPr>
                <w:rFonts w:ascii="Arial" w:hAnsi="Arial"/>
                <w:sz w:val="18"/>
              </w:rPr>
              <w:t>Project Advisor</w:t>
            </w:r>
          </w:p>
        </w:tc>
        <w:tc>
          <w:tcPr>
            <w:tcW w:type="dxa" w:w="8352"/>
            <w:vAlign w:val="top"/>
            <w:tcMar>
              <w:top w:w="80" w:type="dxa"/>
              <w:start w:w="80" w:type="dxa"/>
              <w:bottom w:w="80" w:type="dxa"/>
              <w:end w:w="80" w:type="dxa"/>
            </w:tcMar>
          </w:tcPr>
          <w:p>
            <w:pPr>
              <w:spacing w:after="20"/>
            </w:pPr>
            <w:r>
              <w:rPr>
                <w:rFonts w:ascii="Arial" w:hAnsi="Arial"/>
                <w:sz w:val="18"/>
              </w:rPr>
              <w:t>Prof. Min-Ho Lee</w:t>
            </w:r>
          </w:p>
        </w:tc>
      </w:tr>
      <w:tr>
        <w:tc>
          <w:tcPr>
            <w:tcW w:type="dxa" w:w="2592"/>
            <w:vAlign w:val="top"/>
            <w:tcMar>
              <w:top w:w="80" w:type="dxa"/>
              <w:start w:w="80" w:type="dxa"/>
              <w:bottom w:w="80" w:type="dxa"/>
              <w:end w:w="80" w:type="dxa"/>
            </w:tcMar>
          </w:tcPr>
          <w:p>
            <w:pPr>
              <w:spacing w:after="20"/>
            </w:pPr>
            <w:r>
              <w:rPr>
                <w:rFonts w:ascii="Arial" w:hAnsi="Arial"/>
                <w:sz w:val="18"/>
              </w:rPr>
              <w:t>Course</w:t>
            </w:r>
          </w:p>
        </w:tc>
        <w:tc>
          <w:tcPr>
            <w:tcW w:type="dxa" w:w="8352"/>
            <w:vAlign w:val="top"/>
            <w:tcMar>
              <w:top w:w="80" w:type="dxa"/>
              <w:start w:w="80" w:type="dxa"/>
              <w:bottom w:w="80" w:type="dxa"/>
              <w:end w:w="80" w:type="dxa"/>
            </w:tcMar>
          </w:tcPr>
          <w:p>
            <w:pPr>
              <w:spacing w:after="20"/>
            </w:pPr>
            <w:r>
              <w:rPr>
                <w:rFonts w:ascii="Arial" w:hAnsi="Arial"/>
                <w:sz w:val="18"/>
              </w:rPr>
              <w:t>CSCI 408 – Senior Project I, Fall 2026</w:t>
            </w:r>
          </w:p>
        </w:tc>
      </w:tr>
      <w:tr>
        <w:tc>
          <w:tcPr>
            <w:tcW w:type="dxa" w:w="2592"/>
            <w:vAlign w:val="top"/>
            <w:tcMar>
              <w:top w:w="80" w:type="dxa"/>
              <w:start w:w="80" w:type="dxa"/>
              <w:bottom w:w="80" w:type="dxa"/>
              <w:end w:w="80" w:type="dxa"/>
            </w:tcMar>
          </w:tcPr>
          <w:p>
            <w:pPr>
              <w:spacing w:after="20"/>
            </w:pPr>
            <w:r>
              <w:rPr>
                <w:rFonts w:ascii="Arial" w:hAnsi="Arial"/>
                <w:sz w:val="18"/>
              </w:rPr>
              <w:t>Project Type</w:t>
            </w:r>
          </w:p>
        </w:tc>
        <w:tc>
          <w:tcPr>
            <w:tcW w:type="dxa" w:w="8352"/>
            <w:vAlign w:val="top"/>
            <w:tcMar>
              <w:top w:w="80" w:type="dxa"/>
              <w:start w:w="80" w:type="dxa"/>
              <w:bottom w:w="80" w:type="dxa"/>
              <w:end w:w="80" w:type="dxa"/>
            </w:tcMar>
          </w:tcPr>
          <w:p>
            <w:pPr>
              <w:spacing w:after="20"/>
            </w:pPr>
            <w:r>
              <w:rPr>
                <w:rFonts w:ascii="Arial" w:hAnsi="Arial"/>
                <w:sz w:val="18"/>
              </w:rPr>
              <w:t>Research and Development (R&amp;D)</w:t>
            </w:r>
          </w:p>
        </w:tc>
      </w:tr>
    </w:tbl>
    <w:p>
      <w:pPr>
        <w:spacing w:after="20"/>
      </w:pPr>
    </w:p>
    <w:p>
      <w:pPr>
        <w:pStyle w:val="Heading1"/>
        <w:keepNext/>
        <w:spacing w:before="180" w:after="80"/>
      </w:pPr>
      <w:r>
        <w:t>1. Project Overview (20%)</w:t>
      </w:r>
    </w:p>
    <w:p>
      <w:pPr>
        <w:spacing w:after="100" w:line="252" w:lineRule="auto"/>
      </w:pPr>
      <w:r>
        <w:t>Medical images such as chest X-rays contain clinically relevant information that can help physicians identify abnormalities and assess a patient’s condition. Interpreting these images and preparing radiology reports requires specialist knowledge and can be time-consuming. The project investigates whether deep-learning methods can assist with two related tasks: (1) classifying clinically relevant abnormalities in chest X-ray images and (2) generating corresponding radiology report text.</w:t>
      </w:r>
    </w:p>
    <w:p>
      <w:pPr>
        <w:spacing w:after="100" w:line="252" w:lineRule="auto"/>
      </w:pPr>
      <w:r>
        <w:t>The project is a research-oriented clinical decision-support prototype, not a replacement for a qualified physician. Its purpose is to study the behavior, strengths, limitations, and consistency of modern vision and vision-language models on a controlled chest X-ray task.</w:t>
      </w:r>
    </w:p>
    <w:p>
      <w:pPr>
        <w:spacing w:after="100" w:line="252" w:lineRule="auto"/>
      </w:pPr>
      <w:r>
        <w:t>The current experimental scope focuses on frontal Indiana University chest X-ray images and three balanced diagnostic categories: Normal, Cardiomegaly, and Pleural Effusion. The system uses two parallel branches. The classification branch compares a CNN baseline (ResNet-18) with a Vision Transformer (ViT-B/16). The report-generation branch uses a BLIP-based medical report generator (`nathansutton/generate-cxr`) and a separate experiment comparing randomized, pretrained baseline, and fine-tuned versions of the same BLIP architecture.</w:t>
      </w:r>
    </w:p>
    <w:p>
      <w:pPr>
        <w:spacing w:after="100" w:line="252" w:lineRule="auto"/>
      </w:pPr>
      <w:r>
        <w:t>The prototype will develop and integrate the following work products:</w:t>
      </w:r>
    </w:p>
    <w:p>
      <w:pPr>
        <w:pStyle w:val="ListParagraph"/>
        <w:spacing w:after="40"/>
        <w:ind w:left="259" w:hanging="173"/>
      </w:pPr>
      <w:r>
        <w:t>• A reproducible chest X-ray data-preparation and preprocessing pipeline.</w:t>
      </w:r>
    </w:p>
    <w:p>
      <w:pPr>
        <w:pStyle w:val="ListParagraph"/>
        <w:spacing w:after="40"/>
        <w:ind w:left="259" w:hanging="173"/>
      </w:pPr>
      <w:r>
        <w:t>• A three-class image-classification pipeline with ResNet-18 and ViT-B/16.</w:t>
      </w:r>
    </w:p>
    <w:p>
      <w:pPr>
        <w:pStyle w:val="ListParagraph"/>
        <w:spacing w:after="40"/>
        <w:ind w:left="259" w:hanging="173"/>
      </w:pPr>
      <w:r>
        <w:t>• Model-confidence output and ResNet Grad-CAM visual explanations for selected predictions.</w:t>
      </w:r>
    </w:p>
    <w:p>
      <w:pPr>
        <w:pStyle w:val="ListParagraph"/>
        <w:spacing w:after="40"/>
        <w:ind w:left="259" w:hanging="173"/>
      </w:pPr>
      <w:r>
        <w:t>• A BLIP-based radiology report-generation pipeline operating directly on the input X-ray image.</w:t>
      </w:r>
    </w:p>
    <w:p>
      <w:pPr>
        <w:pStyle w:val="ListParagraph"/>
        <w:spacing w:after="40"/>
        <w:ind w:left="259" w:hanging="173"/>
      </w:pPr>
      <w:r>
        <w:t>• A controlled report-generation comparison using a fixed 270-image training split and 30 held-out images.</w:t>
      </w:r>
    </w:p>
    <w:p>
      <w:pPr>
        <w:pStyle w:val="ListParagraph"/>
        <w:spacing w:after="40"/>
        <w:ind w:left="259" w:hanging="173"/>
      </w:pPr>
      <w:r>
        <w:t>• Quantitative and qualitative evaluation of classification and generated text.</w:t>
      </w:r>
    </w:p>
    <w:p>
      <w:pPr>
        <w:pStyle w:val="ListParagraph"/>
        <w:spacing w:after="40"/>
        <w:ind w:left="259" w:hanging="173"/>
      </w:pPr>
      <w:r>
        <w:t>• An integrated research demonstration that presents classification results, explanation, and generated report together.</w:t>
      </w:r>
    </w:p>
    <w:p>
      <w:pPr>
        <w:pStyle w:val="Heading1"/>
        <w:keepNext/>
        <w:spacing w:before="180" w:after="80"/>
      </w:pPr>
      <w:r>
        <w:t>2. Requirements (30%)</w:t>
      </w:r>
    </w:p>
    <w:p>
      <w:pPr>
        <w:pStyle w:val="Heading2"/>
        <w:keepNext/>
        <w:spacing w:before="180" w:after="80"/>
      </w:pPr>
      <w:r>
        <w:t>2.1 Functional Requirements</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c>
          <w:tcPr>
            <w:tcW w:type="dxa" w:w="1440"/>
            <w:shd w:fill="EDEDED"/>
            <w:vAlign w:val="center"/>
            <w:tcMar>
              <w:top w:w="80" w:type="dxa"/>
              <w:start w:w="80" w:type="dxa"/>
              <w:bottom w:w="80" w:type="dxa"/>
              <w:end w:w="80" w:type="dxa"/>
            </w:tcMar>
          </w:tcPr>
          <w:p>
            <w:pPr>
              <w:spacing w:after="20"/>
            </w:pPr>
            <w:r>
              <w:rPr>
                <w:rFonts w:ascii="Arial" w:hAnsi="Arial"/>
                <w:b/>
                <w:sz w:val="18"/>
              </w:rPr>
              <w:t>ID</w:t>
            </w:r>
          </w:p>
        </w:tc>
        <w:tc>
          <w:tcPr>
            <w:tcW w:type="dxa" w:w="9504"/>
            <w:shd w:fill="EDEDED"/>
            <w:vAlign w:val="center"/>
            <w:tcMar>
              <w:top w:w="80" w:type="dxa"/>
              <w:start w:w="80" w:type="dxa"/>
              <w:bottom w:w="80" w:type="dxa"/>
              <w:end w:w="80" w:type="dxa"/>
            </w:tcMar>
          </w:tcPr>
          <w:p>
            <w:pPr>
              <w:spacing w:after="20"/>
            </w:pPr>
            <w:r>
              <w:rPr>
                <w:rFonts w:ascii="Arial" w:hAnsi="Arial"/>
                <w:b/>
                <w:sz w:val="18"/>
              </w:rPr>
              <w:t>Requirement</w:t>
            </w:r>
          </w:p>
        </w:tc>
      </w:tr>
      <w:tr>
        <w:tc>
          <w:tcPr>
            <w:tcW w:type="dxa" w:w="1440"/>
            <w:vAlign w:val="top"/>
            <w:tcMar>
              <w:top w:w="80" w:type="dxa"/>
              <w:start w:w="80" w:type="dxa"/>
              <w:bottom w:w="80" w:type="dxa"/>
              <w:end w:w="80" w:type="dxa"/>
            </w:tcMar>
          </w:tcPr>
          <w:p>
            <w:pPr>
              <w:spacing w:after="20"/>
            </w:pPr>
            <w:r>
              <w:rPr>
                <w:rFonts w:ascii="Arial" w:hAnsi="Arial"/>
                <w:sz w:val="18"/>
              </w:rPr>
              <w:t>FR-01</w:t>
            </w:r>
          </w:p>
        </w:tc>
        <w:tc>
          <w:tcPr>
            <w:tcW w:type="dxa" w:w="9504"/>
            <w:vAlign w:val="top"/>
            <w:tcMar>
              <w:top w:w="80" w:type="dxa"/>
              <w:start w:w="80" w:type="dxa"/>
              <w:bottom w:w="80" w:type="dxa"/>
              <w:end w:w="80" w:type="dxa"/>
            </w:tcMar>
          </w:tcPr>
          <w:p>
            <w:pPr>
              <w:spacing w:after="20"/>
            </w:pPr>
            <w:r>
              <w:rPr>
                <w:rFonts w:ascii="Arial" w:hAnsi="Arial"/>
                <w:sz w:val="18"/>
              </w:rPr>
              <w:t>The system shall accept a chest X-ray image as the primary input for inference.</w:t>
            </w:r>
          </w:p>
        </w:tc>
      </w:tr>
      <w:tr>
        <w:tc>
          <w:tcPr>
            <w:tcW w:type="dxa" w:w="1440"/>
            <w:vAlign w:val="top"/>
            <w:tcMar>
              <w:top w:w="80" w:type="dxa"/>
              <w:start w:w="80" w:type="dxa"/>
              <w:bottom w:w="80" w:type="dxa"/>
              <w:end w:w="80" w:type="dxa"/>
            </w:tcMar>
          </w:tcPr>
          <w:p>
            <w:pPr>
              <w:spacing w:after="20"/>
            </w:pPr>
            <w:r>
              <w:rPr>
                <w:rFonts w:ascii="Arial" w:hAnsi="Arial"/>
                <w:sz w:val="18"/>
              </w:rPr>
              <w:t>FR-02</w:t>
            </w:r>
          </w:p>
        </w:tc>
        <w:tc>
          <w:tcPr>
            <w:tcW w:type="dxa" w:w="9504"/>
            <w:vAlign w:val="top"/>
            <w:tcMar>
              <w:top w:w="80" w:type="dxa"/>
              <w:start w:w="80" w:type="dxa"/>
              <w:bottom w:w="80" w:type="dxa"/>
              <w:end w:w="80" w:type="dxa"/>
            </w:tcMar>
          </w:tcPr>
          <w:p>
            <w:pPr>
              <w:spacing w:after="20"/>
            </w:pPr>
            <w:r>
              <w:rPr>
                <w:rFonts w:ascii="Arial" w:hAnsi="Arial"/>
                <w:sz w:val="18"/>
              </w:rPr>
              <w:t>The data pipeline shall merge Indiana projection metadata and report metadata using the shared `uid` identifier.</w:t>
            </w:r>
          </w:p>
        </w:tc>
      </w:tr>
      <w:tr>
        <w:tc>
          <w:tcPr>
            <w:tcW w:type="dxa" w:w="1440"/>
            <w:vAlign w:val="top"/>
            <w:tcMar>
              <w:top w:w="80" w:type="dxa"/>
              <w:start w:w="80" w:type="dxa"/>
              <w:bottom w:w="80" w:type="dxa"/>
              <w:end w:w="80" w:type="dxa"/>
            </w:tcMar>
          </w:tcPr>
          <w:p>
            <w:pPr>
              <w:spacing w:after="20"/>
            </w:pPr>
            <w:r>
              <w:rPr>
                <w:rFonts w:ascii="Arial" w:hAnsi="Arial"/>
                <w:sz w:val="18"/>
              </w:rPr>
              <w:t>FR-03</w:t>
            </w:r>
          </w:p>
        </w:tc>
        <w:tc>
          <w:tcPr>
            <w:tcW w:type="dxa" w:w="9504"/>
            <w:vAlign w:val="top"/>
            <w:tcMar>
              <w:top w:w="80" w:type="dxa"/>
              <w:start w:w="80" w:type="dxa"/>
              <w:bottom w:w="80" w:type="dxa"/>
              <w:end w:w="80" w:type="dxa"/>
            </w:tcMar>
          </w:tcPr>
          <w:p>
            <w:pPr>
              <w:spacing w:after="20"/>
            </w:pPr>
            <w:r>
              <w:rPr>
                <w:rFonts w:ascii="Arial" w:hAnsi="Arial"/>
                <w:sz w:val="18"/>
              </w:rPr>
              <w:t>The data pipeline shall restrict the controlled experiment to frontal chest X-ray views and exclude cases that do not satisfy the project’s single-label selection rule.</w:t>
            </w:r>
          </w:p>
        </w:tc>
      </w:tr>
      <w:tr>
        <w:tc>
          <w:tcPr>
            <w:tcW w:type="dxa" w:w="1440"/>
            <w:vAlign w:val="top"/>
            <w:tcMar>
              <w:top w:w="80" w:type="dxa"/>
              <w:start w:w="80" w:type="dxa"/>
              <w:bottom w:w="80" w:type="dxa"/>
              <w:end w:w="80" w:type="dxa"/>
            </w:tcMar>
          </w:tcPr>
          <w:p>
            <w:pPr>
              <w:spacing w:after="20"/>
            </w:pPr>
            <w:r>
              <w:rPr>
                <w:rFonts w:ascii="Arial" w:hAnsi="Arial"/>
                <w:sz w:val="18"/>
              </w:rPr>
              <w:t>FR-04</w:t>
            </w:r>
          </w:p>
        </w:tc>
        <w:tc>
          <w:tcPr>
            <w:tcW w:type="dxa" w:w="9504"/>
            <w:vAlign w:val="top"/>
            <w:tcMar>
              <w:top w:w="80" w:type="dxa"/>
              <w:start w:w="80" w:type="dxa"/>
              <w:bottom w:w="80" w:type="dxa"/>
              <w:end w:w="80" w:type="dxa"/>
            </w:tcMar>
          </w:tcPr>
          <w:p>
            <w:pPr>
              <w:spacing w:after="20"/>
            </w:pPr>
            <w:r>
              <w:rPr>
                <w:rFonts w:ascii="Arial" w:hAnsi="Arial"/>
                <w:sz w:val="18"/>
              </w:rPr>
              <w:t>The controlled classification dataset shall contain the three target categories Normal, Cardiomegaly, and Pleural Effusion, with a balanced 100-image subset per class for the current experiment.</w:t>
            </w:r>
          </w:p>
        </w:tc>
      </w:tr>
      <w:tr>
        <w:tc>
          <w:tcPr>
            <w:tcW w:type="dxa" w:w="1440"/>
            <w:vAlign w:val="top"/>
            <w:tcMar>
              <w:top w:w="80" w:type="dxa"/>
              <w:start w:w="80" w:type="dxa"/>
              <w:bottom w:w="80" w:type="dxa"/>
              <w:end w:w="80" w:type="dxa"/>
            </w:tcMar>
          </w:tcPr>
          <w:p>
            <w:pPr>
              <w:spacing w:after="20"/>
            </w:pPr>
            <w:r>
              <w:rPr>
                <w:rFonts w:ascii="Arial" w:hAnsi="Arial"/>
                <w:sz w:val="18"/>
              </w:rPr>
              <w:t>FR-05</w:t>
            </w:r>
          </w:p>
        </w:tc>
        <w:tc>
          <w:tcPr>
            <w:tcW w:type="dxa" w:w="9504"/>
            <w:vAlign w:val="top"/>
            <w:tcMar>
              <w:top w:w="80" w:type="dxa"/>
              <w:start w:w="80" w:type="dxa"/>
              <w:bottom w:w="80" w:type="dxa"/>
              <w:end w:w="80" w:type="dxa"/>
            </w:tcMar>
          </w:tcPr>
          <w:p>
            <w:pPr>
              <w:spacing w:after="20"/>
            </w:pPr>
            <w:r>
              <w:rPr>
                <w:rFonts w:ascii="Arial" w:hAnsi="Arial"/>
                <w:sz w:val="18"/>
              </w:rPr>
              <w:t>The classification branch shall preprocess input images for pretrained vision models and produce a predicted class for each input image.</w:t>
            </w:r>
          </w:p>
        </w:tc>
      </w:tr>
      <w:tr>
        <w:tc>
          <w:tcPr>
            <w:tcW w:type="dxa" w:w="1440"/>
            <w:vAlign w:val="top"/>
            <w:tcMar>
              <w:top w:w="80" w:type="dxa"/>
              <w:start w:w="80" w:type="dxa"/>
              <w:bottom w:w="80" w:type="dxa"/>
              <w:end w:w="80" w:type="dxa"/>
            </w:tcMar>
          </w:tcPr>
          <w:p>
            <w:pPr>
              <w:spacing w:after="20"/>
            </w:pPr>
            <w:r>
              <w:rPr>
                <w:rFonts w:ascii="Arial" w:hAnsi="Arial"/>
                <w:sz w:val="18"/>
              </w:rPr>
              <w:t>FR-06</w:t>
            </w:r>
          </w:p>
        </w:tc>
        <w:tc>
          <w:tcPr>
            <w:tcW w:type="dxa" w:w="9504"/>
            <w:vAlign w:val="top"/>
            <w:tcMar>
              <w:top w:w="80" w:type="dxa"/>
              <w:start w:w="80" w:type="dxa"/>
              <w:bottom w:w="80" w:type="dxa"/>
              <w:end w:w="80" w:type="dxa"/>
            </w:tcMar>
          </w:tcPr>
          <w:p>
            <w:pPr>
              <w:spacing w:after="20"/>
            </w:pPr>
            <w:r>
              <w:rPr>
                <w:rFonts w:ascii="Arial" w:hAnsi="Arial"/>
                <w:sz w:val="18"/>
              </w:rPr>
              <w:t>The classification branch shall support both ResNet-18 and ViT-B/16 so that their performance can be compared on the same task.</w:t>
            </w:r>
          </w:p>
        </w:tc>
      </w:tr>
      <w:tr>
        <w:tc>
          <w:tcPr>
            <w:tcW w:type="dxa" w:w="1440"/>
            <w:vAlign w:val="top"/>
            <w:tcMar>
              <w:top w:w="80" w:type="dxa"/>
              <w:start w:w="80" w:type="dxa"/>
              <w:bottom w:w="80" w:type="dxa"/>
              <w:end w:w="80" w:type="dxa"/>
            </w:tcMar>
          </w:tcPr>
          <w:p>
            <w:pPr>
              <w:spacing w:after="20"/>
            </w:pPr>
            <w:r>
              <w:rPr>
                <w:rFonts w:ascii="Arial" w:hAnsi="Arial"/>
                <w:sz w:val="18"/>
              </w:rPr>
              <w:t>FR-07</w:t>
            </w:r>
          </w:p>
        </w:tc>
        <w:tc>
          <w:tcPr>
            <w:tcW w:type="dxa" w:w="9504"/>
            <w:vAlign w:val="top"/>
            <w:tcMar>
              <w:top w:w="80" w:type="dxa"/>
              <w:start w:w="80" w:type="dxa"/>
              <w:bottom w:w="80" w:type="dxa"/>
              <w:end w:w="80" w:type="dxa"/>
            </w:tcMar>
          </w:tcPr>
          <w:p>
            <w:pPr>
              <w:spacing w:after="20"/>
            </w:pPr>
            <w:r>
              <w:rPr>
                <w:rFonts w:ascii="Arial" w:hAnsi="Arial"/>
                <w:sz w:val="18"/>
              </w:rPr>
              <w:t>The classification output shall include model confidence/probability information in addition to the predicted class when used in the integrated prototype.</w:t>
            </w:r>
          </w:p>
        </w:tc>
      </w:tr>
      <w:tr>
        <w:tc>
          <w:tcPr>
            <w:tcW w:type="dxa" w:w="1440"/>
            <w:vAlign w:val="top"/>
            <w:tcMar>
              <w:top w:w="80" w:type="dxa"/>
              <w:start w:w="80" w:type="dxa"/>
              <w:bottom w:w="80" w:type="dxa"/>
              <w:end w:w="80" w:type="dxa"/>
            </w:tcMar>
          </w:tcPr>
          <w:p>
            <w:pPr>
              <w:spacing w:after="20"/>
            </w:pPr>
            <w:r>
              <w:rPr>
                <w:rFonts w:ascii="Arial" w:hAnsi="Arial"/>
                <w:sz w:val="18"/>
              </w:rPr>
              <w:t>FR-08</w:t>
            </w:r>
          </w:p>
        </w:tc>
        <w:tc>
          <w:tcPr>
            <w:tcW w:type="dxa" w:w="9504"/>
            <w:vAlign w:val="top"/>
            <w:tcMar>
              <w:top w:w="80" w:type="dxa"/>
              <w:start w:w="80" w:type="dxa"/>
              <w:bottom w:w="80" w:type="dxa"/>
              <w:end w:w="80" w:type="dxa"/>
            </w:tcMar>
          </w:tcPr>
          <w:p>
            <w:pPr>
              <w:spacing w:after="20"/>
            </w:pPr>
            <w:r>
              <w:rPr>
                <w:rFonts w:ascii="Arial" w:hAnsi="Arial"/>
                <w:sz w:val="18"/>
              </w:rPr>
              <w:t>The system shall support Grad-CAM visualization for the ResNet-18 branch to provide an interpretable heatmap for selected predictions.</w:t>
            </w:r>
          </w:p>
        </w:tc>
      </w:tr>
      <w:tr>
        <w:tc>
          <w:tcPr>
            <w:tcW w:type="dxa" w:w="1440"/>
            <w:vAlign w:val="top"/>
            <w:tcMar>
              <w:top w:w="80" w:type="dxa"/>
              <w:start w:w="80" w:type="dxa"/>
              <w:bottom w:w="80" w:type="dxa"/>
              <w:end w:w="80" w:type="dxa"/>
            </w:tcMar>
          </w:tcPr>
          <w:p>
            <w:pPr>
              <w:spacing w:after="20"/>
            </w:pPr>
            <w:r>
              <w:rPr>
                <w:rFonts w:ascii="Arial" w:hAnsi="Arial"/>
                <w:sz w:val="18"/>
              </w:rPr>
              <w:t>FR-09</w:t>
            </w:r>
          </w:p>
        </w:tc>
        <w:tc>
          <w:tcPr>
            <w:tcW w:type="dxa" w:w="9504"/>
            <w:vAlign w:val="top"/>
            <w:tcMar>
              <w:top w:w="80" w:type="dxa"/>
              <w:start w:w="80" w:type="dxa"/>
              <w:bottom w:w="80" w:type="dxa"/>
              <w:end w:w="80" w:type="dxa"/>
            </w:tcMar>
          </w:tcPr>
          <w:p>
            <w:pPr>
              <w:spacing w:after="20"/>
            </w:pPr>
            <w:r>
              <w:rPr>
                <w:rFonts w:ascii="Arial" w:hAnsi="Arial"/>
                <w:sz w:val="18"/>
              </w:rPr>
              <w:t>The report-generation branch shall send the X-ray image directly to a BLIP-based vision-language model and generate natural-language radiology report text.</w:t>
            </w:r>
          </w:p>
        </w:tc>
      </w:tr>
      <w:tr>
        <w:tc>
          <w:tcPr>
            <w:tcW w:type="dxa" w:w="1440"/>
            <w:vAlign w:val="top"/>
            <w:tcMar>
              <w:top w:w="80" w:type="dxa"/>
              <w:start w:w="80" w:type="dxa"/>
              <w:bottom w:w="80" w:type="dxa"/>
              <w:end w:w="80" w:type="dxa"/>
            </w:tcMar>
          </w:tcPr>
          <w:p>
            <w:pPr>
              <w:spacing w:after="20"/>
            </w:pPr>
            <w:r>
              <w:rPr>
                <w:rFonts w:ascii="Arial" w:hAnsi="Arial"/>
                <w:sz w:val="18"/>
              </w:rPr>
              <w:t>FR-10</w:t>
            </w:r>
          </w:p>
        </w:tc>
        <w:tc>
          <w:tcPr>
            <w:tcW w:type="dxa" w:w="9504"/>
            <w:vAlign w:val="top"/>
            <w:tcMar>
              <w:top w:w="80" w:type="dxa"/>
              <w:start w:w="80" w:type="dxa"/>
              <w:bottom w:w="80" w:type="dxa"/>
              <w:end w:w="80" w:type="dxa"/>
            </w:tcMar>
          </w:tcPr>
          <w:p>
            <w:pPr>
              <w:spacing w:after="20"/>
            </w:pPr>
            <w:r>
              <w:rPr>
                <w:rFonts w:ascii="Arial" w:hAnsi="Arial"/>
                <w:sz w:val="18"/>
              </w:rPr>
              <w:t>The classification prediction shall not be used as an input to the BLIP report generator; the two branches shall remain logically independent and receive the same source image in parallel.</w:t>
            </w:r>
          </w:p>
        </w:tc>
      </w:tr>
      <w:tr>
        <w:tc>
          <w:tcPr>
            <w:tcW w:type="dxa" w:w="1440"/>
            <w:vAlign w:val="top"/>
            <w:tcMar>
              <w:top w:w="80" w:type="dxa"/>
              <w:start w:w="80" w:type="dxa"/>
              <w:bottom w:w="80" w:type="dxa"/>
              <w:end w:w="80" w:type="dxa"/>
            </w:tcMar>
          </w:tcPr>
          <w:p>
            <w:pPr>
              <w:spacing w:after="20"/>
            </w:pPr>
            <w:r>
              <w:rPr>
                <w:rFonts w:ascii="Arial" w:hAnsi="Arial"/>
                <w:sz w:val="18"/>
              </w:rPr>
              <w:t>FR-11</w:t>
            </w:r>
          </w:p>
        </w:tc>
        <w:tc>
          <w:tcPr>
            <w:tcW w:type="dxa" w:w="9504"/>
            <w:vAlign w:val="top"/>
            <w:tcMar>
              <w:top w:w="80" w:type="dxa"/>
              <w:start w:w="80" w:type="dxa"/>
              <w:bottom w:w="80" w:type="dxa"/>
              <w:end w:w="80" w:type="dxa"/>
            </w:tcMar>
          </w:tcPr>
          <w:p>
            <w:pPr>
              <w:spacing w:after="20"/>
            </w:pPr>
            <w:r>
              <w:rPr>
                <w:rFonts w:ascii="Arial" w:hAnsi="Arial"/>
                <w:sz w:val="18"/>
              </w:rPr>
              <w:t>The report-generation experiment shall support comparison of three BLIP variants: randomized-weight BLIP trained on the project split, the existing pretrained baseline, and a version fine-tuned on the same project training split.</w:t>
            </w:r>
          </w:p>
        </w:tc>
      </w:tr>
      <w:tr>
        <w:tc>
          <w:tcPr>
            <w:tcW w:type="dxa" w:w="1440"/>
            <w:vAlign w:val="top"/>
            <w:tcMar>
              <w:top w:w="80" w:type="dxa"/>
              <w:start w:w="80" w:type="dxa"/>
              <w:bottom w:w="80" w:type="dxa"/>
              <w:end w:w="80" w:type="dxa"/>
            </w:tcMar>
          </w:tcPr>
          <w:p>
            <w:pPr>
              <w:spacing w:after="20"/>
            </w:pPr>
            <w:r>
              <w:rPr>
                <w:rFonts w:ascii="Arial" w:hAnsi="Arial"/>
                <w:sz w:val="18"/>
              </w:rPr>
              <w:t>FR-12</w:t>
            </w:r>
          </w:p>
        </w:tc>
        <w:tc>
          <w:tcPr>
            <w:tcW w:type="dxa" w:w="9504"/>
            <w:vAlign w:val="top"/>
            <w:tcMar>
              <w:top w:w="80" w:type="dxa"/>
              <w:start w:w="80" w:type="dxa"/>
              <w:bottom w:w="80" w:type="dxa"/>
              <w:end w:w="80" w:type="dxa"/>
            </w:tcMar>
          </w:tcPr>
          <w:p>
            <w:pPr>
              <w:spacing w:after="20"/>
            </w:pPr>
            <w:r>
              <w:rPr>
                <w:rFonts w:ascii="Arial" w:hAnsi="Arial"/>
                <w:sz w:val="18"/>
              </w:rPr>
              <w:t>The system shall evaluate classification performance on held-out data and retain the split configuration used for reproducibility.</w:t>
            </w:r>
          </w:p>
        </w:tc>
      </w:tr>
      <w:tr>
        <w:tc>
          <w:tcPr>
            <w:tcW w:type="dxa" w:w="1440"/>
            <w:vAlign w:val="top"/>
            <w:tcMar>
              <w:top w:w="80" w:type="dxa"/>
              <w:start w:w="80" w:type="dxa"/>
              <w:bottom w:w="80" w:type="dxa"/>
              <w:end w:w="80" w:type="dxa"/>
            </w:tcMar>
          </w:tcPr>
          <w:p>
            <w:pPr>
              <w:spacing w:after="20"/>
            </w:pPr>
            <w:r>
              <w:rPr>
                <w:rFonts w:ascii="Arial" w:hAnsi="Arial"/>
                <w:sz w:val="18"/>
              </w:rPr>
              <w:t>FR-13</w:t>
            </w:r>
          </w:p>
        </w:tc>
        <w:tc>
          <w:tcPr>
            <w:tcW w:type="dxa" w:w="9504"/>
            <w:vAlign w:val="top"/>
            <w:tcMar>
              <w:top w:w="80" w:type="dxa"/>
              <w:start w:w="80" w:type="dxa"/>
              <w:bottom w:w="80" w:type="dxa"/>
              <w:end w:w="80" w:type="dxa"/>
            </w:tcMar>
          </w:tcPr>
          <w:p>
            <w:pPr>
              <w:spacing w:after="20"/>
            </w:pPr>
            <w:r>
              <w:rPr>
                <w:rFonts w:ascii="Arial" w:hAnsi="Arial"/>
                <w:sz w:val="18"/>
              </w:rPr>
              <w:t>The report-generation experiment shall compute text-similarity metrics including BLEU-4, ROUGE-L, and BERTScore for the same held-out test examples.</w:t>
            </w:r>
          </w:p>
        </w:tc>
      </w:tr>
      <w:tr>
        <w:tc>
          <w:tcPr>
            <w:tcW w:type="dxa" w:w="1440"/>
            <w:vAlign w:val="top"/>
            <w:tcMar>
              <w:top w:w="80" w:type="dxa"/>
              <w:start w:w="80" w:type="dxa"/>
              <w:bottom w:w="80" w:type="dxa"/>
              <w:end w:w="80" w:type="dxa"/>
            </w:tcMar>
          </w:tcPr>
          <w:p>
            <w:pPr>
              <w:spacing w:after="20"/>
            </w:pPr>
            <w:r>
              <w:rPr>
                <w:rFonts w:ascii="Arial" w:hAnsi="Arial"/>
                <w:sz w:val="18"/>
              </w:rPr>
              <w:t>FR-14</w:t>
            </w:r>
          </w:p>
        </w:tc>
        <w:tc>
          <w:tcPr>
            <w:tcW w:type="dxa" w:w="9504"/>
            <w:vAlign w:val="top"/>
            <w:tcMar>
              <w:top w:w="80" w:type="dxa"/>
              <w:start w:w="80" w:type="dxa"/>
              <w:bottom w:w="80" w:type="dxa"/>
              <w:end w:w="80" w:type="dxa"/>
            </w:tcMar>
          </w:tcPr>
          <w:p>
            <w:pPr>
              <w:spacing w:after="20"/>
            </w:pPr>
            <w:r>
              <w:rPr>
                <w:rFonts w:ascii="Arial" w:hAnsi="Arial"/>
                <w:sz w:val="18"/>
              </w:rPr>
              <w:t>The system shall support qualitative inspection of generated reports, including comparison with the corresponding reference findings/impression text.</w:t>
            </w:r>
          </w:p>
        </w:tc>
      </w:tr>
      <w:tr>
        <w:tc>
          <w:tcPr>
            <w:tcW w:type="dxa" w:w="1440"/>
            <w:vAlign w:val="top"/>
            <w:tcMar>
              <w:top w:w="80" w:type="dxa"/>
              <w:start w:w="80" w:type="dxa"/>
              <w:bottom w:w="80" w:type="dxa"/>
              <w:end w:w="80" w:type="dxa"/>
            </w:tcMar>
          </w:tcPr>
          <w:p>
            <w:pPr>
              <w:spacing w:after="20"/>
            </w:pPr>
            <w:r>
              <w:rPr>
                <w:rFonts w:ascii="Arial" w:hAnsi="Arial"/>
                <w:sz w:val="18"/>
              </w:rPr>
              <w:t>FR-15</w:t>
            </w:r>
          </w:p>
        </w:tc>
        <w:tc>
          <w:tcPr>
            <w:tcW w:type="dxa" w:w="9504"/>
            <w:vAlign w:val="top"/>
            <w:tcMar>
              <w:top w:w="80" w:type="dxa"/>
              <w:start w:w="80" w:type="dxa"/>
              <w:bottom w:w="80" w:type="dxa"/>
              <w:end w:w="80" w:type="dxa"/>
            </w:tcMar>
          </w:tcPr>
          <w:p>
            <w:pPr>
              <w:spacing w:after="20"/>
            </w:pPr>
            <w:r>
              <w:rPr>
                <w:rFonts w:ascii="Arial" w:hAnsi="Arial"/>
                <w:sz w:val="18"/>
              </w:rPr>
              <w:t>The integrated prototype shall present, for a selected X-ray, the input image, classification result, relevant confidence information, generated report, and available Grad-CAM visualization.</w:t>
            </w:r>
          </w:p>
        </w:tc>
      </w:tr>
      <w:tr>
        <w:tc>
          <w:tcPr>
            <w:tcW w:type="dxa" w:w="1440"/>
            <w:vAlign w:val="top"/>
            <w:tcMar>
              <w:top w:w="80" w:type="dxa"/>
              <w:start w:w="80" w:type="dxa"/>
              <w:bottom w:w="80" w:type="dxa"/>
              <w:end w:w="80" w:type="dxa"/>
            </w:tcMar>
          </w:tcPr>
          <w:p>
            <w:pPr>
              <w:spacing w:after="20"/>
            </w:pPr>
            <w:r>
              <w:rPr>
                <w:rFonts w:ascii="Arial" w:hAnsi="Arial"/>
                <w:sz w:val="18"/>
              </w:rPr>
              <w:t>FR-16</w:t>
            </w:r>
          </w:p>
        </w:tc>
        <w:tc>
          <w:tcPr>
            <w:tcW w:type="dxa" w:w="9504"/>
            <w:vAlign w:val="top"/>
            <w:tcMar>
              <w:top w:w="80" w:type="dxa"/>
              <w:start w:w="80" w:type="dxa"/>
              <w:bottom w:w="80" w:type="dxa"/>
              <w:end w:w="80" w:type="dxa"/>
            </w:tcMar>
          </w:tcPr>
          <w:p>
            <w:pPr>
              <w:spacing w:after="20"/>
            </w:pPr>
            <w:r>
              <w:rPr>
                <w:rFonts w:ascii="Arial" w:hAnsi="Arial"/>
                <w:sz w:val="18"/>
              </w:rPr>
              <w:t>Experiment outputs and evaluation results shall be saved in a reproducible form suitable for inclusion in the final report and presentation.</w:t>
            </w:r>
          </w:p>
        </w:tc>
      </w:tr>
    </w:tbl>
    <w:p>
      <w:pPr>
        <w:spacing w:after="20"/>
      </w:pPr>
    </w:p>
    <w:p>
      <w:pPr>
        <w:pStyle w:val="Heading2"/>
        <w:keepNext/>
        <w:spacing w:before="180" w:after="80"/>
      </w:pPr>
      <w:r>
        <w:t>2.2 Non-Functional Requirements</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c>
          <w:tcPr>
            <w:tcW w:type="dxa" w:w="2304"/>
            <w:shd w:fill="EDEDED"/>
            <w:vAlign w:val="center"/>
            <w:tcMar>
              <w:top w:w="80" w:type="dxa"/>
              <w:start w:w="80" w:type="dxa"/>
              <w:bottom w:w="80" w:type="dxa"/>
              <w:end w:w="80" w:type="dxa"/>
            </w:tcMar>
          </w:tcPr>
          <w:p>
            <w:pPr>
              <w:spacing w:after="20"/>
            </w:pPr>
            <w:r>
              <w:rPr>
                <w:rFonts w:ascii="Arial" w:hAnsi="Arial"/>
                <w:b/>
                <w:sz w:val="18"/>
              </w:rPr>
              <w:t>ID</w:t>
            </w:r>
          </w:p>
        </w:tc>
        <w:tc>
          <w:tcPr>
            <w:tcW w:type="dxa" w:w="8640"/>
            <w:shd w:fill="EDEDED"/>
            <w:vAlign w:val="center"/>
            <w:tcMar>
              <w:top w:w="80" w:type="dxa"/>
              <w:start w:w="80" w:type="dxa"/>
              <w:bottom w:w="80" w:type="dxa"/>
              <w:end w:w="80" w:type="dxa"/>
            </w:tcMar>
          </w:tcPr>
          <w:p>
            <w:pPr>
              <w:spacing w:after="20"/>
            </w:pPr>
            <w:r>
              <w:rPr>
                <w:rFonts w:ascii="Arial" w:hAnsi="Arial"/>
                <w:b/>
                <w:sz w:val="18"/>
              </w:rPr>
              <w:t>Requirement</w:t>
            </w:r>
          </w:p>
        </w:tc>
      </w:tr>
      <w:tr>
        <w:tc>
          <w:tcPr>
            <w:tcW w:type="dxa" w:w="2304"/>
            <w:vAlign w:val="top"/>
            <w:tcMar>
              <w:top w:w="80" w:type="dxa"/>
              <w:start w:w="80" w:type="dxa"/>
              <w:bottom w:w="80" w:type="dxa"/>
              <w:end w:w="80" w:type="dxa"/>
            </w:tcMar>
          </w:tcPr>
          <w:p>
            <w:pPr>
              <w:spacing w:after="20"/>
            </w:pPr>
            <w:r>
              <w:rPr>
                <w:rFonts w:ascii="Arial" w:hAnsi="Arial"/>
                <w:sz w:val="18"/>
              </w:rPr>
              <w:t>NFR-01 – Reproducibility</w:t>
            </w:r>
          </w:p>
        </w:tc>
        <w:tc>
          <w:tcPr>
            <w:tcW w:type="dxa" w:w="8640"/>
            <w:vAlign w:val="top"/>
            <w:tcMar>
              <w:top w:w="80" w:type="dxa"/>
              <w:start w:w="80" w:type="dxa"/>
              <w:bottom w:w="80" w:type="dxa"/>
              <w:end w:w="80" w:type="dxa"/>
            </w:tcMar>
          </w:tcPr>
          <w:p>
            <w:pPr>
              <w:spacing w:after="20"/>
            </w:pPr>
            <w:r>
              <w:rPr>
                <w:rFonts w:ascii="Arial" w:hAnsi="Arial"/>
                <w:sz w:val="18"/>
              </w:rPr>
              <w:t>Dataset selection and experimental splits shall use fixed random seeds where applicable, and the resulting split files/configuration shall be preserved.</w:t>
            </w:r>
          </w:p>
        </w:tc>
      </w:tr>
      <w:tr>
        <w:tc>
          <w:tcPr>
            <w:tcW w:type="dxa" w:w="2304"/>
            <w:vAlign w:val="top"/>
            <w:tcMar>
              <w:top w:w="80" w:type="dxa"/>
              <w:start w:w="80" w:type="dxa"/>
              <w:bottom w:w="80" w:type="dxa"/>
              <w:end w:w="80" w:type="dxa"/>
            </w:tcMar>
          </w:tcPr>
          <w:p>
            <w:pPr>
              <w:spacing w:after="20"/>
            </w:pPr>
            <w:r>
              <w:rPr>
                <w:rFonts w:ascii="Arial" w:hAnsi="Arial"/>
                <w:sz w:val="18"/>
              </w:rPr>
              <w:t>NFR-02 – Consistency</w:t>
            </w:r>
          </w:p>
        </w:tc>
        <w:tc>
          <w:tcPr>
            <w:tcW w:type="dxa" w:w="8640"/>
            <w:vAlign w:val="top"/>
            <w:tcMar>
              <w:top w:w="80" w:type="dxa"/>
              <w:start w:w="80" w:type="dxa"/>
              <w:bottom w:w="80" w:type="dxa"/>
              <w:end w:w="80" w:type="dxa"/>
            </w:tcMar>
          </w:tcPr>
          <w:p>
            <w:pPr>
              <w:spacing w:after="20"/>
            </w:pPr>
            <w:r>
              <w:rPr>
                <w:rFonts w:ascii="Arial" w:hAnsi="Arial"/>
                <w:sz w:val="18"/>
              </w:rPr>
              <w:t>Models being compared within the same experiment shall use the same held-out evaluation set and comparable preprocessing/evaluation procedures.</w:t>
            </w:r>
          </w:p>
        </w:tc>
      </w:tr>
      <w:tr>
        <w:tc>
          <w:tcPr>
            <w:tcW w:type="dxa" w:w="2304"/>
            <w:vAlign w:val="top"/>
            <w:tcMar>
              <w:top w:w="80" w:type="dxa"/>
              <w:start w:w="80" w:type="dxa"/>
              <w:bottom w:w="80" w:type="dxa"/>
              <w:end w:w="80" w:type="dxa"/>
            </w:tcMar>
          </w:tcPr>
          <w:p>
            <w:pPr>
              <w:spacing w:after="20"/>
            </w:pPr>
            <w:r>
              <w:rPr>
                <w:rFonts w:ascii="Arial" w:hAnsi="Arial"/>
                <w:sz w:val="18"/>
              </w:rPr>
              <w:t>NFR-03 – Reliability</w:t>
            </w:r>
          </w:p>
        </w:tc>
        <w:tc>
          <w:tcPr>
            <w:tcW w:type="dxa" w:w="8640"/>
            <w:vAlign w:val="top"/>
            <w:tcMar>
              <w:top w:w="80" w:type="dxa"/>
              <w:start w:w="80" w:type="dxa"/>
              <w:bottom w:w="80" w:type="dxa"/>
              <w:end w:w="80" w:type="dxa"/>
            </w:tcMar>
          </w:tcPr>
          <w:p>
            <w:pPr>
              <w:spacing w:after="20"/>
            </w:pPr>
            <w:r>
              <w:rPr>
                <w:rFonts w:ascii="Arial" w:hAnsi="Arial"/>
                <w:sz w:val="18"/>
              </w:rPr>
              <w:t>The pipeline shall explicitly detect missing required image files rather than silently dropping cases from an intended fixed evaluation protocol.</w:t>
            </w:r>
          </w:p>
        </w:tc>
      </w:tr>
      <w:tr>
        <w:tc>
          <w:tcPr>
            <w:tcW w:type="dxa" w:w="2304"/>
            <w:vAlign w:val="top"/>
            <w:tcMar>
              <w:top w:w="80" w:type="dxa"/>
              <w:start w:w="80" w:type="dxa"/>
              <w:bottom w:w="80" w:type="dxa"/>
              <w:end w:w="80" w:type="dxa"/>
            </w:tcMar>
          </w:tcPr>
          <w:p>
            <w:pPr>
              <w:spacing w:after="20"/>
            </w:pPr>
            <w:r>
              <w:rPr>
                <w:rFonts w:ascii="Arial" w:hAnsi="Arial"/>
                <w:sz w:val="18"/>
              </w:rPr>
              <w:t>NFR-04 – Maintainability</w:t>
            </w:r>
          </w:p>
        </w:tc>
        <w:tc>
          <w:tcPr>
            <w:tcW w:type="dxa" w:w="8640"/>
            <w:vAlign w:val="top"/>
            <w:tcMar>
              <w:top w:w="80" w:type="dxa"/>
              <w:start w:w="80" w:type="dxa"/>
              <w:bottom w:w="80" w:type="dxa"/>
              <w:end w:w="80" w:type="dxa"/>
            </w:tcMar>
          </w:tcPr>
          <w:p>
            <w:pPr>
              <w:spacing w:after="20"/>
            </w:pPr>
            <w:r>
              <w:rPr>
                <w:rFonts w:ascii="Arial" w:hAnsi="Arial"/>
                <w:sz w:val="18"/>
              </w:rPr>
              <w:t>The project shall separate data preparation, model training/inference, evaluation, and documentation so that individual components can be revised without rewriting the entire pipeline.</w:t>
            </w:r>
          </w:p>
        </w:tc>
      </w:tr>
      <w:tr>
        <w:tc>
          <w:tcPr>
            <w:tcW w:type="dxa" w:w="2304"/>
            <w:vAlign w:val="top"/>
            <w:tcMar>
              <w:top w:w="80" w:type="dxa"/>
              <w:start w:w="80" w:type="dxa"/>
              <w:bottom w:w="80" w:type="dxa"/>
              <w:end w:w="80" w:type="dxa"/>
            </w:tcMar>
          </w:tcPr>
          <w:p>
            <w:pPr>
              <w:spacing w:after="20"/>
            </w:pPr>
            <w:r>
              <w:rPr>
                <w:rFonts w:ascii="Arial" w:hAnsi="Arial"/>
                <w:sz w:val="18"/>
              </w:rPr>
              <w:t>NFR-05 – Efficiency</w:t>
            </w:r>
          </w:p>
        </w:tc>
        <w:tc>
          <w:tcPr>
            <w:tcW w:type="dxa" w:w="8640"/>
            <w:vAlign w:val="top"/>
            <w:tcMar>
              <w:top w:w="80" w:type="dxa"/>
              <w:start w:w="80" w:type="dxa"/>
              <w:bottom w:w="80" w:type="dxa"/>
              <w:end w:w="80" w:type="dxa"/>
            </w:tcMar>
          </w:tcPr>
          <w:p>
            <w:pPr>
              <w:spacing w:after="20"/>
            </w:pPr>
            <w:r>
              <w:rPr>
                <w:rFonts w:ascii="Arial" w:hAnsi="Arial"/>
                <w:sz w:val="18"/>
              </w:rPr>
              <w:t>The prototype shall support GPU execution for deep-learning training and inference. Resource-heavy report-generation experiments should use memory-conscious settings such as small batches and gradient accumulation when necessary.</w:t>
            </w:r>
          </w:p>
        </w:tc>
      </w:tr>
      <w:tr>
        <w:tc>
          <w:tcPr>
            <w:tcW w:type="dxa" w:w="2304"/>
            <w:vAlign w:val="top"/>
            <w:tcMar>
              <w:top w:w="80" w:type="dxa"/>
              <w:start w:w="80" w:type="dxa"/>
              <w:bottom w:w="80" w:type="dxa"/>
              <w:end w:w="80" w:type="dxa"/>
            </w:tcMar>
          </w:tcPr>
          <w:p>
            <w:pPr>
              <w:spacing w:after="20"/>
            </w:pPr>
            <w:r>
              <w:rPr>
                <w:rFonts w:ascii="Arial" w:hAnsi="Arial"/>
                <w:sz w:val="18"/>
              </w:rPr>
              <w:t>NFR-06 – Portability</w:t>
            </w:r>
          </w:p>
        </w:tc>
        <w:tc>
          <w:tcPr>
            <w:tcW w:type="dxa" w:w="8640"/>
            <w:vAlign w:val="top"/>
            <w:tcMar>
              <w:top w:w="80" w:type="dxa"/>
              <w:start w:w="80" w:type="dxa"/>
              <w:bottom w:w="80" w:type="dxa"/>
              <w:end w:w="80" w:type="dxa"/>
            </w:tcMar>
          </w:tcPr>
          <w:p>
            <w:pPr>
              <w:spacing w:after="20"/>
            </w:pPr>
            <w:r>
              <w:rPr>
                <w:rFonts w:ascii="Arial" w:hAnsi="Arial"/>
                <w:sz w:val="18"/>
              </w:rPr>
              <w:t>The report-generation comparison should be runnable in a supported notebook environment such as Kaggle or local Jupyter/VS Code, with automatic handling of the required image path where possible.</w:t>
            </w:r>
          </w:p>
        </w:tc>
      </w:tr>
      <w:tr>
        <w:tc>
          <w:tcPr>
            <w:tcW w:type="dxa" w:w="2304"/>
            <w:vAlign w:val="top"/>
            <w:tcMar>
              <w:top w:w="80" w:type="dxa"/>
              <w:start w:w="80" w:type="dxa"/>
              <w:bottom w:w="80" w:type="dxa"/>
              <w:end w:w="80" w:type="dxa"/>
            </w:tcMar>
          </w:tcPr>
          <w:p>
            <w:pPr>
              <w:spacing w:after="20"/>
            </w:pPr>
            <w:r>
              <w:rPr>
                <w:rFonts w:ascii="Arial" w:hAnsi="Arial"/>
                <w:sz w:val="18"/>
              </w:rPr>
              <w:t>NFR-07 – Traceability</w:t>
            </w:r>
          </w:p>
        </w:tc>
        <w:tc>
          <w:tcPr>
            <w:tcW w:type="dxa" w:w="8640"/>
            <w:vAlign w:val="top"/>
            <w:tcMar>
              <w:top w:w="80" w:type="dxa"/>
              <w:start w:w="80" w:type="dxa"/>
              <w:bottom w:w="80" w:type="dxa"/>
              <w:end w:w="80" w:type="dxa"/>
            </w:tcMar>
          </w:tcPr>
          <w:p>
            <w:pPr>
              <w:spacing w:after="20"/>
            </w:pPr>
            <w:r>
              <w:rPr>
                <w:rFonts w:ascii="Arial" w:hAnsi="Arial"/>
                <w:sz w:val="18"/>
              </w:rPr>
              <w:t>Major experiments shall record model name, split, key hyperparameters, metrics, and qualitative outputs so that results can be traced to a specific experiment configuration.</w:t>
            </w:r>
          </w:p>
        </w:tc>
      </w:tr>
      <w:tr>
        <w:tc>
          <w:tcPr>
            <w:tcW w:type="dxa" w:w="2304"/>
            <w:vAlign w:val="top"/>
            <w:tcMar>
              <w:top w:w="80" w:type="dxa"/>
              <w:start w:w="80" w:type="dxa"/>
              <w:bottom w:w="80" w:type="dxa"/>
              <w:end w:w="80" w:type="dxa"/>
            </w:tcMar>
          </w:tcPr>
          <w:p>
            <w:pPr>
              <w:spacing w:after="20"/>
            </w:pPr>
            <w:r>
              <w:rPr>
                <w:rFonts w:ascii="Arial" w:hAnsi="Arial"/>
                <w:sz w:val="18"/>
              </w:rPr>
              <w:t>NFR-08 – Usability</w:t>
            </w:r>
          </w:p>
        </w:tc>
        <w:tc>
          <w:tcPr>
            <w:tcW w:type="dxa" w:w="8640"/>
            <w:vAlign w:val="top"/>
            <w:tcMar>
              <w:top w:w="80" w:type="dxa"/>
              <w:start w:w="80" w:type="dxa"/>
              <w:bottom w:w="80" w:type="dxa"/>
              <w:end w:w="80" w:type="dxa"/>
            </w:tcMar>
          </w:tcPr>
          <w:p>
            <w:pPr>
              <w:spacing w:after="20"/>
            </w:pPr>
            <w:r>
              <w:rPr>
                <w:rFonts w:ascii="Arial" w:hAnsi="Arial"/>
                <w:sz w:val="18"/>
              </w:rPr>
              <w:t>The final research demonstration shall organize the model outputs in a form understandable to a technical reviewer without requiring inspection of raw tensors or internal model state.</w:t>
            </w:r>
          </w:p>
        </w:tc>
      </w:tr>
      <w:tr>
        <w:tc>
          <w:tcPr>
            <w:tcW w:type="dxa" w:w="2304"/>
            <w:vAlign w:val="top"/>
            <w:tcMar>
              <w:top w:w="80" w:type="dxa"/>
              <w:start w:w="80" w:type="dxa"/>
              <w:bottom w:w="80" w:type="dxa"/>
              <w:end w:w="80" w:type="dxa"/>
            </w:tcMar>
          </w:tcPr>
          <w:p>
            <w:pPr>
              <w:spacing w:after="20"/>
            </w:pPr>
            <w:r>
              <w:rPr>
                <w:rFonts w:ascii="Arial" w:hAnsi="Arial"/>
                <w:sz w:val="18"/>
              </w:rPr>
              <w:t>NFR-09 – Version Control</w:t>
            </w:r>
          </w:p>
        </w:tc>
        <w:tc>
          <w:tcPr>
            <w:tcW w:type="dxa" w:w="8640"/>
            <w:vAlign w:val="top"/>
            <w:tcMar>
              <w:top w:w="80" w:type="dxa"/>
              <w:start w:w="80" w:type="dxa"/>
              <w:bottom w:w="80" w:type="dxa"/>
              <w:end w:w="80" w:type="dxa"/>
            </w:tcMar>
          </w:tcPr>
          <w:p>
            <w:pPr>
              <w:spacing w:after="20"/>
            </w:pPr>
            <w:r>
              <w:rPr>
                <w:rFonts w:ascii="Arial" w:hAnsi="Arial"/>
                <w:sz w:val="18"/>
              </w:rPr>
              <w:t>Source code, notebooks, documentation, and lightweight configuration files shall be maintained in Git/GitHub; large medical image datasets shall not be committed to the repository.</w:t>
            </w:r>
          </w:p>
        </w:tc>
      </w:tr>
      <w:tr>
        <w:tc>
          <w:tcPr>
            <w:tcW w:type="dxa" w:w="2304"/>
            <w:vAlign w:val="top"/>
            <w:tcMar>
              <w:top w:w="80" w:type="dxa"/>
              <w:start w:w="80" w:type="dxa"/>
              <w:bottom w:w="80" w:type="dxa"/>
              <w:end w:w="80" w:type="dxa"/>
            </w:tcMar>
          </w:tcPr>
          <w:p>
            <w:pPr>
              <w:spacing w:after="20"/>
            </w:pPr>
            <w:r>
              <w:rPr>
                <w:rFonts w:ascii="Arial" w:hAnsi="Arial"/>
                <w:sz w:val="18"/>
              </w:rPr>
              <w:t>NFR-10 – Research Integrity</w:t>
            </w:r>
          </w:p>
        </w:tc>
        <w:tc>
          <w:tcPr>
            <w:tcW w:type="dxa" w:w="8640"/>
            <w:vAlign w:val="top"/>
            <w:tcMar>
              <w:top w:w="80" w:type="dxa"/>
              <w:start w:w="80" w:type="dxa"/>
              <w:bottom w:w="80" w:type="dxa"/>
              <w:end w:w="80" w:type="dxa"/>
            </w:tcMar>
          </w:tcPr>
          <w:p>
            <w:pPr>
              <w:spacing w:after="20"/>
            </w:pPr>
            <w:r>
              <w:rPr>
                <w:rFonts w:ascii="Arial" w:hAnsi="Arial"/>
                <w:sz w:val="18"/>
              </w:rPr>
              <w:t>The system shall distinguish text-similarity metrics from clinical correctness and shall not present BLEU/ROUGE/BERTScore as evidence of medical safety or diagnostic validity.</w:t>
            </w:r>
          </w:p>
        </w:tc>
      </w:tr>
    </w:tbl>
    <w:p>
      <w:pPr>
        <w:spacing w:after="20"/>
      </w:pPr>
    </w:p>
    <w:p>
      <w:pPr>
        <w:pStyle w:val="Heading2"/>
        <w:keepNext/>
        <w:spacing w:before="180" w:after="80"/>
      </w:pPr>
      <w:r>
        <w:t>2.3 Domain Requirements</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c>
          <w:tcPr>
            <w:tcW w:type="dxa" w:w="1440"/>
            <w:shd w:fill="EDEDED"/>
            <w:vAlign w:val="center"/>
            <w:tcMar>
              <w:top w:w="80" w:type="dxa"/>
              <w:start w:w="80" w:type="dxa"/>
              <w:bottom w:w="80" w:type="dxa"/>
              <w:end w:w="80" w:type="dxa"/>
            </w:tcMar>
          </w:tcPr>
          <w:p>
            <w:pPr>
              <w:spacing w:after="20"/>
            </w:pPr>
            <w:r>
              <w:rPr>
                <w:rFonts w:ascii="Arial" w:hAnsi="Arial"/>
                <w:b/>
                <w:sz w:val="18"/>
              </w:rPr>
              <w:t>ID</w:t>
            </w:r>
          </w:p>
        </w:tc>
        <w:tc>
          <w:tcPr>
            <w:tcW w:type="dxa" w:w="9504"/>
            <w:shd w:fill="EDEDED"/>
            <w:vAlign w:val="center"/>
            <w:tcMar>
              <w:top w:w="80" w:type="dxa"/>
              <w:start w:w="80" w:type="dxa"/>
              <w:bottom w:w="80" w:type="dxa"/>
              <w:end w:w="80" w:type="dxa"/>
            </w:tcMar>
          </w:tcPr>
          <w:p>
            <w:pPr>
              <w:spacing w:after="20"/>
            </w:pPr>
            <w:r>
              <w:rPr>
                <w:rFonts w:ascii="Arial" w:hAnsi="Arial"/>
                <w:b/>
                <w:sz w:val="18"/>
              </w:rPr>
              <w:t>Domain Requirement</w:t>
            </w:r>
          </w:p>
        </w:tc>
      </w:tr>
      <w:tr>
        <w:tc>
          <w:tcPr>
            <w:tcW w:type="dxa" w:w="1440"/>
            <w:vAlign w:val="top"/>
            <w:tcMar>
              <w:top w:w="80" w:type="dxa"/>
              <w:start w:w="80" w:type="dxa"/>
              <w:bottom w:w="80" w:type="dxa"/>
              <w:end w:w="80" w:type="dxa"/>
            </w:tcMar>
          </w:tcPr>
          <w:p>
            <w:pPr>
              <w:spacing w:after="20"/>
            </w:pPr>
            <w:r>
              <w:rPr>
                <w:rFonts w:ascii="Arial" w:hAnsi="Arial"/>
                <w:sz w:val="18"/>
              </w:rPr>
              <w:t>DR-01</w:t>
            </w:r>
          </w:p>
        </w:tc>
        <w:tc>
          <w:tcPr>
            <w:tcW w:type="dxa" w:w="9504"/>
            <w:vAlign w:val="top"/>
            <w:tcMar>
              <w:top w:w="80" w:type="dxa"/>
              <w:start w:w="80" w:type="dxa"/>
              <w:bottom w:w="80" w:type="dxa"/>
              <w:end w:w="80" w:type="dxa"/>
            </w:tcMar>
          </w:tcPr>
          <w:p>
            <w:pPr>
              <w:spacing w:after="20"/>
            </w:pPr>
            <w:r>
              <w:rPr>
                <w:rFonts w:ascii="Arial" w:hAnsi="Arial"/>
                <w:sz w:val="18"/>
              </w:rPr>
              <w:t>The current prototype shall operate on chest X-ray images; CT imaging remains outside the immediate experimental scope unless project progress later justifies an extension.</w:t>
            </w:r>
          </w:p>
        </w:tc>
      </w:tr>
      <w:tr>
        <w:tc>
          <w:tcPr>
            <w:tcW w:type="dxa" w:w="1440"/>
            <w:vAlign w:val="top"/>
            <w:tcMar>
              <w:top w:w="80" w:type="dxa"/>
              <w:start w:w="80" w:type="dxa"/>
              <w:bottom w:w="80" w:type="dxa"/>
              <w:end w:w="80" w:type="dxa"/>
            </w:tcMar>
          </w:tcPr>
          <w:p>
            <w:pPr>
              <w:spacing w:after="20"/>
            </w:pPr>
            <w:r>
              <w:rPr>
                <w:rFonts w:ascii="Arial" w:hAnsi="Arial"/>
                <w:sz w:val="18"/>
              </w:rPr>
              <w:t>DR-02</w:t>
            </w:r>
          </w:p>
        </w:tc>
        <w:tc>
          <w:tcPr>
            <w:tcW w:type="dxa" w:w="9504"/>
            <w:vAlign w:val="top"/>
            <w:tcMar>
              <w:top w:w="80" w:type="dxa"/>
              <w:start w:w="80" w:type="dxa"/>
              <w:bottom w:w="80" w:type="dxa"/>
              <w:end w:w="80" w:type="dxa"/>
            </w:tcMar>
          </w:tcPr>
          <w:p>
            <w:pPr>
              <w:spacing w:after="20"/>
            </w:pPr>
            <w:r>
              <w:rPr>
                <w:rFonts w:ascii="Arial" w:hAnsi="Arial"/>
                <w:sz w:val="18"/>
              </w:rPr>
              <w:t>The current controlled classification experiment shall use frontal views rather than mixing frontal and lateral projections.</w:t>
            </w:r>
          </w:p>
        </w:tc>
      </w:tr>
      <w:tr>
        <w:tc>
          <w:tcPr>
            <w:tcW w:type="dxa" w:w="1440"/>
            <w:vAlign w:val="top"/>
            <w:tcMar>
              <w:top w:w="80" w:type="dxa"/>
              <w:start w:w="80" w:type="dxa"/>
              <w:bottom w:w="80" w:type="dxa"/>
              <w:end w:w="80" w:type="dxa"/>
            </w:tcMar>
          </w:tcPr>
          <w:p>
            <w:pPr>
              <w:spacing w:after="20"/>
            </w:pPr>
            <w:r>
              <w:rPr>
                <w:rFonts w:ascii="Arial" w:hAnsi="Arial"/>
                <w:sz w:val="18"/>
              </w:rPr>
              <w:t>DR-03</w:t>
            </w:r>
          </w:p>
        </w:tc>
        <w:tc>
          <w:tcPr>
            <w:tcW w:type="dxa" w:w="9504"/>
            <w:vAlign w:val="top"/>
            <w:tcMar>
              <w:top w:w="80" w:type="dxa"/>
              <w:start w:w="80" w:type="dxa"/>
              <w:bottom w:w="80" w:type="dxa"/>
              <w:end w:w="80" w:type="dxa"/>
            </w:tcMar>
          </w:tcPr>
          <w:p>
            <w:pPr>
              <w:spacing w:after="20"/>
            </w:pPr>
            <w:r>
              <w:rPr>
                <w:rFonts w:ascii="Arial" w:hAnsi="Arial"/>
                <w:sz w:val="18"/>
              </w:rPr>
              <w:t>The project shall use the defined target classes Normal, Cardiomegaly, and Pleural Effusion for the three-class controlled classification experiment.</w:t>
            </w:r>
          </w:p>
        </w:tc>
      </w:tr>
      <w:tr>
        <w:tc>
          <w:tcPr>
            <w:tcW w:type="dxa" w:w="1440"/>
            <w:vAlign w:val="top"/>
            <w:tcMar>
              <w:top w:w="80" w:type="dxa"/>
              <w:start w:w="80" w:type="dxa"/>
              <w:bottom w:w="80" w:type="dxa"/>
              <w:end w:w="80" w:type="dxa"/>
            </w:tcMar>
          </w:tcPr>
          <w:p>
            <w:pPr>
              <w:spacing w:after="20"/>
            </w:pPr>
            <w:r>
              <w:rPr>
                <w:rFonts w:ascii="Arial" w:hAnsi="Arial"/>
                <w:sz w:val="18"/>
              </w:rPr>
              <w:t>DR-04</w:t>
            </w:r>
          </w:p>
        </w:tc>
        <w:tc>
          <w:tcPr>
            <w:tcW w:type="dxa" w:w="9504"/>
            <w:vAlign w:val="top"/>
            <w:tcMar>
              <w:top w:w="80" w:type="dxa"/>
              <w:start w:w="80" w:type="dxa"/>
              <w:bottom w:w="80" w:type="dxa"/>
              <w:end w:w="80" w:type="dxa"/>
            </w:tcMar>
          </w:tcPr>
          <w:p>
            <w:pPr>
              <w:spacing w:after="20"/>
            </w:pPr>
            <w:r>
              <w:rPr>
                <w:rFonts w:ascii="Arial" w:hAnsi="Arial"/>
                <w:sz w:val="18"/>
              </w:rPr>
              <w:t>Reference report text shall be taken from the available findings field, using impression as a fallback where findings are missing, according to the current Indiana pipeline.</w:t>
            </w:r>
          </w:p>
        </w:tc>
      </w:tr>
      <w:tr>
        <w:tc>
          <w:tcPr>
            <w:tcW w:type="dxa" w:w="1440"/>
            <w:vAlign w:val="top"/>
            <w:tcMar>
              <w:top w:w="80" w:type="dxa"/>
              <w:start w:w="80" w:type="dxa"/>
              <w:bottom w:w="80" w:type="dxa"/>
              <w:end w:w="80" w:type="dxa"/>
            </w:tcMar>
          </w:tcPr>
          <w:p>
            <w:pPr>
              <w:spacing w:after="20"/>
            </w:pPr>
            <w:r>
              <w:rPr>
                <w:rFonts w:ascii="Arial" w:hAnsi="Arial"/>
                <w:sz w:val="18"/>
              </w:rPr>
              <w:t>DR-05</w:t>
            </w:r>
          </w:p>
        </w:tc>
        <w:tc>
          <w:tcPr>
            <w:tcW w:type="dxa" w:w="9504"/>
            <w:vAlign w:val="top"/>
            <w:tcMar>
              <w:top w:w="80" w:type="dxa"/>
              <w:start w:w="80" w:type="dxa"/>
              <w:bottom w:w="80" w:type="dxa"/>
              <w:end w:w="80" w:type="dxa"/>
            </w:tcMar>
          </w:tcPr>
          <w:p>
            <w:pPr>
              <w:spacing w:after="20"/>
            </w:pPr>
            <w:r>
              <w:rPr>
                <w:rFonts w:ascii="Arial" w:hAnsi="Arial"/>
                <w:sz w:val="18"/>
              </w:rPr>
              <w:t>Generated text shall be treated as research output. It shall not be described as a definitive diagnosis or a substitute for a radiologist/physician.</w:t>
            </w:r>
          </w:p>
        </w:tc>
      </w:tr>
      <w:tr>
        <w:tc>
          <w:tcPr>
            <w:tcW w:type="dxa" w:w="1440"/>
            <w:vAlign w:val="top"/>
            <w:tcMar>
              <w:top w:w="80" w:type="dxa"/>
              <w:start w:w="80" w:type="dxa"/>
              <w:bottom w:w="80" w:type="dxa"/>
              <w:end w:w="80" w:type="dxa"/>
            </w:tcMar>
          </w:tcPr>
          <w:p>
            <w:pPr>
              <w:spacing w:after="20"/>
            </w:pPr>
            <w:r>
              <w:rPr>
                <w:rFonts w:ascii="Arial" w:hAnsi="Arial"/>
                <w:sz w:val="18"/>
              </w:rPr>
              <w:t>DR-06</w:t>
            </w:r>
          </w:p>
        </w:tc>
        <w:tc>
          <w:tcPr>
            <w:tcW w:type="dxa" w:w="9504"/>
            <w:vAlign w:val="top"/>
            <w:tcMar>
              <w:top w:w="80" w:type="dxa"/>
              <w:start w:w="80" w:type="dxa"/>
              <w:bottom w:w="80" w:type="dxa"/>
              <w:end w:w="80" w:type="dxa"/>
            </w:tcMar>
          </w:tcPr>
          <w:p>
            <w:pPr>
              <w:spacing w:after="20"/>
            </w:pPr>
            <w:r>
              <w:rPr>
                <w:rFonts w:ascii="Arial" w:hAnsi="Arial"/>
                <w:sz w:val="18"/>
              </w:rPr>
              <w:t>Evaluation shall recognize clinically important failure modes such as false-negative abnormality predictions, contradictory generated findings, and hallucinated statements.</w:t>
            </w:r>
          </w:p>
        </w:tc>
      </w:tr>
      <w:tr>
        <w:tc>
          <w:tcPr>
            <w:tcW w:type="dxa" w:w="1440"/>
            <w:vAlign w:val="top"/>
            <w:tcMar>
              <w:top w:w="80" w:type="dxa"/>
              <w:start w:w="80" w:type="dxa"/>
              <w:bottom w:w="80" w:type="dxa"/>
              <w:end w:w="80" w:type="dxa"/>
            </w:tcMar>
          </w:tcPr>
          <w:p>
            <w:pPr>
              <w:spacing w:after="20"/>
            </w:pPr>
            <w:r>
              <w:rPr>
                <w:rFonts w:ascii="Arial" w:hAnsi="Arial"/>
                <w:sz w:val="18"/>
              </w:rPr>
              <w:t>DR-07</w:t>
            </w:r>
          </w:p>
        </w:tc>
        <w:tc>
          <w:tcPr>
            <w:tcW w:type="dxa" w:w="9504"/>
            <w:vAlign w:val="top"/>
            <w:tcMar>
              <w:top w:w="80" w:type="dxa"/>
              <w:start w:w="80" w:type="dxa"/>
              <w:bottom w:w="80" w:type="dxa"/>
              <w:end w:w="80" w:type="dxa"/>
            </w:tcMar>
          </w:tcPr>
          <w:p>
            <w:pPr>
              <w:spacing w:after="20"/>
            </w:pPr>
            <w:r>
              <w:rPr>
                <w:rFonts w:ascii="Arial" w:hAnsi="Arial"/>
                <w:sz w:val="18"/>
              </w:rPr>
              <w:t>The project shall use public/de-identified research data and shall avoid introducing real patient-identifying information into project artifacts.</w:t>
            </w:r>
          </w:p>
        </w:tc>
      </w:tr>
      <w:tr>
        <w:tc>
          <w:tcPr>
            <w:tcW w:type="dxa" w:w="1440"/>
            <w:vAlign w:val="top"/>
            <w:tcMar>
              <w:top w:w="80" w:type="dxa"/>
              <w:start w:w="80" w:type="dxa"/>
              <w:bottom w:w="80" w:type="dxa"/>
              <w:end w:w="80" w:type="dxa"/>
            </w:tcMar>
          </w:tcPr>
          <w:p>
            <w:pPr>
              <w:spacing w:after="20"/>
            </w:pPr>
            <w:r>
              <w:rPr>
                <w:rFonts w:ascii="Arial" w:hAnsi="Arial"/>
                <w:sz w:val="18"/>
              </w:rPr>
              <w:t>DR-08</w:t>
            </w:r>
          </w:p>
        </w:tc>
        <w:tc>
          <w:tcPr>
            <w:tcW w:type="dxa" w:w="9504"/>
            <w:vAlign w:val="top"/>
            <w:tcMar>
              <w:top w:w="80" w:type="dxa"/>
              <w:start w:w="80" w:type="dxa"/>
              <w:bottom w:w="80" w:type="dxa"/>
              <w:end w:w="80" w:type="dxa"/>
            </w:tcMar>
          </w:tcPr>
          <w:p>
            <w:pPr>
              <w:spacing w:after="20"/>
            </w:pPr>
            <w:r>
              <w:rPr>
                <w:rFonts w:ascii="Arial" w:hAnsi="Arial"/>
                <w:sz w:val="18"/>
              </w:rPr>
              <w:t>When presenting model confidence or explanations, the document/demo shall state that these outputs indicate model behavior and are not calibrated clinical probabilities unless calibration is explicitly evaluated.</w:t>
            </w:r>
          </w:p>
        </w:tc>
      </w:tr>
      <w:tr>
        <w:tc>
          <w:tcPr>
            <w:tcW w:type="dxa" w:w="1440"/>
            <w:vAlign w:val="top"/>
            <w:tcMar>
              <w:top w:w="80" w:type="dxa"/>
              <w:start w:w="80" w:type="dxa"/>
              <w:bottom w:w="80" w:type="dxa"/>
              <w:end w:w="80" w:type="dxa"/>
            </w:tcMar>
          </w:tcPr>
          <w:p>
            <w:pPr>
              <w:spacing w:after="20"/>
            </w:pPr>
            <w:r>
              <w:rPr>
                <w:rFonts w:ascii="Arial" w:hAnsi="Arial"/>
                <w:sz w:val="18"/>
              </w:rPr>
              <w:t>DR-09</w:t>
            </w:r>
          </w:p>
        </w:tc>
        <w:tc>
          <w:tcPr>
            <w:tcW w:type="dxa" w:w="9504"/>
            <w:vAlign w:val="top"/>
            <w:tcMar>
              <w:top w:w="80" w:type="dxa"/>
              <w:start w:w="80" w:type="dxa"/>
              <w:bottom w:w="80" w:type="dxa"/>
              <w:end w:w="80" w:type="dxa"/>
            </w:tcMar>
          </w:tcPr>
          <w:p>
            <w:pPr>
              <w:spacing w:after="20"/>
            </w:pPr>
            <w:r>
              <w:rPr>
                <w:rFonts w:ascii="Arial" w:hAnsi="Arial"/>
                <w:sz w:val="18"/>
              </w:rPr>
              <w:t>The report-generation branch and classification branch shall be evaluated both individually and together, because agreement between outputs is informative but does not establish clinical correctness.</w:t>
            </w:r>
          </w:p>
        </w:tc>
      </w:tr>
      <w:tr>
        <w:tc>
          <w:tcPr>
            <w:tcW w:type="dxa" w:w="1440"/>
            <w:vAlign w:val="top"/>
            <w:tcMar>
              <w:top w:w="80" w:type="dxa"/>
              <w:start w:w="80" w:type="dxa"/>
              <w:bottom w:w="80" w:type="dxa"/>
              <w:end w:w="80" w:type="dxa"/>
            </w:tcMar>
          </w:tcPr>
          <w:p>
            <w:pPr>
              <w:spacing w:after="20"/>
            </w:pPr>
            <w:r>
              <w:rPr>
                <w:rFonts w:ascii="Arial" w:hAnsi="Arial"/>
                <w:sz w:val="18"/>
              </w:rPr>
              <w:t>DR-10</w:t>
            </w:r>
          </w:p>
        </w:tc>
        <w:tc>
          <w:tcPr>
            <w:tcW w:type="dxa" w:w="9504"/>
            <w:vAlign w:val="top"/>
            <w:tcMar>
              <w:top w:w="80" w:type="dxa"/>
              <w:start w:w="80" w:type="dxa"/>
              <w:bottom w:w="80" w:type="dxa"/>
              <w:end w:w="80" w:type="dxa"/>
            </w:tcMar>
          </w:tcPr>
          <w:p>
            <w:pPr>
              <w:spacing w:after="20"/>
            </w:pPr>
            <w:r>
              <w:rPr>
                <w:rFonts w:ascii="Arial" w:hAnsi="Arial"/>
                <w:sz w:val="18"/>
              </w:rPr>
              <w:t>Any extension to additional pathologies, multi-label classification, or CT images shall be treated as future scope unless it is formally incorporated into the project plan and evaluated with appropriate data.</w:t>
            </w:r>
          </w:p>
        </w:tc>
      </w:tr>
    </w:tbl>
    <w:p>
      <w:pPr>
        <w:spacing w:after="20"/>
      </w:pPr>
    </w:p>
    <w:p>
      <w:pPr>
        <w:pStyle w:val="Heading1"/>
        <w:keepNext/>
        <w:spacing w:before="180" w:after="80"/>
      </w:pPr>
      <w:r>
        <w:t>3. Preliminary Design (20%)</w:t>
      </w:r>
    </w:p>
    <w:p>
      <w:pPr>
        <w:pStyle w:val="Heading2"/>
        <w:keepNext/>
        <w:spacing w:before="180" w:after="80"/>
      </w:pPr>
      <w:r>
        <w:t>3.1 Stakeholders</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40"/>
        <w:gridCol w:w="5040"/>
      </w:tblGrid>
      <w:tr>
        <w:tc>
          <w:tcPr>
            <w:tcW w:type="dxa" w:w="3168"/>
            <w:shd w:fill="EDEDED"/>
            <w:vAlign w:val="center"/>
            <w:tcMar>
              <w:top w:w="80" w:type="dxa"/>
              <w:start w:w="80" w:type="dxa"/>
              <w:bottom w:w="80" w:type="dxa"/>
              <w:end w:w="80" w:type="dxa"/>
            </w:tcMar>
          </w:tcPr>
          <w:p>
            <w:pPr>
              <w:spacing w:after="20"/>
            </w:pPr>
            <w:r>
              <w:rPr>
                <w:rFonts w:ascii="Arial" w:hAnsi="Arial"/>
                <w:b/>
                <w:sz w:val="18"/>
              </w:rPr>
              <w:t>Stakeholder</w:t>
            </w:r>
          </w:p>
        </w:tc>
        <w:tc>
          <w:tcPr>
            <w:tcW w:type="dxa" w:w="7776"/>
            <w:shd w:fill="EDEDED"/>
            <w:vAlign w:val="center"/>
            <w:tcMar>
              <w:top w:w="80" w:type="dxa"/>
              <w:start w:w="80" w:type="dxa"/>
              <w:bottom w:w="80" w:type="dxa"/>
              <w:end w:w="80" w:type="dxa"/>
            </w:tcMar>
          </w:tcPr>
          <w:p>
            <w:pPr>
              <w:spacing w:after="20"/>
            </w:pPr>
            <w:r>
              <w:rPr>
                <w:rFonts w:ascii="Arial" w:hAnsi="Arial"/>
                <w:b/>
                <w:sz w:val="18"/>
              </w:rPr>
              <w:t>Interest / Role</w:t>
            </w:r>
          </w:p>
        </w:tc>
      </w:tr>
      <w:tr>
        <w:tc>
          <w:tcPr>
            <w:tcW w:type="dxa" w:w="3168"/>
            <w:vAlign w:val="top"/>
            <w:tcMar>
              <w:top w:w="80" w:type="dxa"/>
              <w:start w:w="80" w:type="dxa"/>
              <w:bottom w:w="80" w:type="dxa"/>
              <w:end w:w="80" w:type="dxa"/>
            </w:tcMar>
          </w:tcPr>
          <w:p>
            <w:pPr>
              <w:spacing w:after="20"/>
            </w:pPr>
            <w:r>
              <w:rPr>
                <w:rFonts w:ascii="Arial" w:hAnsi="Arial"/>
                <w:sz w:val="18"/>
              </w:rPr>
              <w:t>Project team</w:t>
            </w:r>
          </w:p>
        </w:tc>
        <w:tc>
          <w:tcPr>
            <w:tcW w:type="dxa" w:w="7776"/>
            <w:vAlign w:val="top"/>
            <w:tcMar>
              <w:top w:w="80" w:type="dxa"/>
              <w:start w:w="80" w:type="dxa"/>
              <w:bottom w:w="80" w:type="dxa"/>
              <w:end w:w="80" w:type="dxa"/>
            </w:tcMar>
          </w:tcPr>
          <w:p>
            <w:pPr>
              <w:spacing w:after="20"/>
            </w:pPr>
            <w:r>
              <w:rPr>
                <w:rFonts w:ascii="Arial" w:hAnsi="Arial"/>
                <w:sz w:val="18"/>
              </w:rPr>
              <w:t>Develops the pipeline, models, experiments, integration, documentation, and presentation.</w:t>
            </w:r>
          </w:p>
        </w:tc>
      </w:tr>
      <w:tr>
        <w:tc>
          <w:tcPr>
            <w:tcW w:type="dxa" w:w="3168"/>
            <w:vAlign w:val="top"/>
            <w:tcMar>
              <w:top w:w="80" w:type="dxa"/>
              <w:start w:w="80" w:type="dxa"/>
              <w:bottom w:w="80" w:type="dxa"/>
              <w:end w:w="80" w:type="dxa"/>
            </w:tcMar>
          </w:tcPr>
          <w:p>
            <w:pPr>
              <w:spacing w:after="20"/>
            </w:pPr>
            <w:r>
              <w:rPr>
                <w:rFonts w:ascii="Arial" w:hAnsi="Arial"/>
                <w:sz w:val="18"/>
              </w:rPr>
              <w:t>Prof. Min-Ho Lee (Advisor)</w:t>
            </w:r>
          </w:p>
        </w:tc>
        <w:tc>
          <w:tcPr>
            <w:tcW w:type="dxa" w:w="7776"/>
            <w:vAlign w:val="top"/>
            <w:tcMar>
              <w:top w:w="80" w:type="dxa"/>
              <w:start w:w="80" w:type="dxa"/>
              <w:bottom w:w="80" w:type="dxa"/>
              <w:end w:w="80" w:type="dxa"/>
            </w:tcMar>
          </w:tcPr>
          <w:p>
            <w:pPr>
              <w:spacing w:after="20"/>
            </w:pPr>
            <w:r>
              <w:rPr>
                <w:rFonts w:ascii="Arial" w:hAnsi="Arial"/>
                <w:sz w:val="18"/>
              </w:rPr>
              <w:t>Provides technical/research supervision, reviews progress, and evaluates major project documents and individual contribution.</w:t>
            </w:r>
          </w:p>
        </w:tc>
      </w:tr>
      <w:tr>
        <w:tc>
          <w:tcPr>
            <w:tcW w:type="dxa" w:w="3168"/>
            <w:vAlign w:val="top"/>
            <w:tcMar>
              <w:top w:w="80" w:type="dxa"/>
              <w:start w:w="80" w:type="dxa"/>
              <w:bottom w:w="80" w:type="dxa"/>
              <w:end w:w="80" w:type="dxa"/>
            </w:tcMar>
          </w:tcPr>
          <w:p>
            <w:pPr>
              <w:spacing w:after="20"/>
            </w:pPr>
            <w:r>
              <w:rPr>
                <w:rFonts w:ascii="Arial" w:hAnsi="Arial"/>
                <w:sz w:val="18"/>
              </w:rPr>
              <w:t>CSCI 408 course instructors and evaluation committee</w:t>
            </w:r>
          </w:p>
        </w:tc>
        <w:tc>
          <w:tcPr>
            <w:tcW w:type="dxa" w:w="7776"/>
            <w:vAlign w:val="top"/>
            <w:tcMar>
              <w:top w:w="80" w:type="dxa"/>
              <w:start w:w="80" w:type="dxa"/>
              <w:bottom w:w="80" w:type="dxa"/>
              <w:end w:w="80" w:type="dxa"/>
            </w:tcMar>
          </w:tcPr>
          <w:p>
            <w:pPr>
              <w:spacing w:after="20"/>
            </w:pPr>
            <w:r>
              <w:rPr>
                <w:rFonts w:ascii="Arial" w:hAnsi="Arial"/>
                <w:sz w:val="18"/>
              </w:rPr>
              <w:t>Evaluate whether the project satisfies course scope, deliverables, documentation, and presentation requirements.</w:t>
            </w:r>
          </w:p>
        </w:tc>
      </w:tr>
      <w:tr>
        <w:tc>
          <w:tcPr>
            <w:tcW w:type="dxa" w:w="3168"/>
            <w:vAlign w:val="top"/>
            <w:tcMar>
              <w:top w:w="80" w:type="dxa"/>
              <w:start w:w="80" w:type="dxa"/>
              <w:bottom w:w="80" w:type="dxa"/>
              <w:end w:w="80" w:type="dxa"/>
            </w:tcMar>
          </w:tcPr>
          <w:p>
            <w:pPr>
              <w:spacing w:after="20"/>
            </w:pPr>
            <w:r>
              <w:rPr>
                <w:rFonts w:ascii="Arial" w:hAnsi="Arial"/>
                <w:sz w:val="18"/>
              </w:rPr>
              <w:t>Medical-AI researchers / technical users</w:t>
            </w:r>
          </w:p>
        </w:tc>
        <w:tc>
          <w:tcPr>
            <w:tcW w:type="dxa" w:w="7776"/>
            <w:vAlign w:val="top"/>
            <w:tcMar>
              <w:top w:w="80" w:type="dxa"/>
              <w:start w:w="80" w:type="dxa"/>
              <w:bottom w:w="80" w:type="dxa"/>
              <w:end w:w="80" w:type="dxa"/>
            </w:tcMar>
          </w:tcPr>
          <w:p>
            <w:pPr>
              <w:spacing w:after="20"/>
            </w:pPr>
            <w:r>
              <w:rPr>
                <w:rFonts w:ascii="Arial" w:hAnsi="Arial"/>
                <w:sz w:val="18"/>
              </w:rPr>
              <w:t>Potential users of the research prototype for studying model behavior and comparing classification/report-generation approaches.</w:t>
            </w:r>
          </w:p>
        </w:tc>
      </w:tr>
      <w:tr>
        <w:tc>
          <w:tcPr>
            <w:tcW w:type="dxa" w:w="3168"/>
            <w:vAlign w:val="top"/>
            <w:tcMar>
              <w:top w:w="80" w:type="dxa"/>
              <w:start w:w="80" w:type="dxa"/>
              <w:bottom w:w="80" w:type="dxa"/>
              <w:end w:w="80" w:type="dxa"/>
            </w:tcMar>
          </w:tcPr>
          <w:p>
            <w:pPr>
              <w:spacing w:after="20"/>
            </w:pPr>
            <w:r>
              <w:rPr>
                <w:rFonts w:ascii="Arial" w:hAnsi="Arial"/>
                <w:sz w:val="18"/>
              </w:rPr>
              <w:t>Physicians/radiologists (domain stakeholders)</w:t>
            </w:r>
          </w:p>
        </w:tc>
        <w:tc>
          <w:tcPr>
            <w:tcW w:type="dxa" w:w="7776"/>
            <w:vAlign w:val="top"/>
            <w:tcMar>
              <w:top w:w="80" w:type="dxa"/>
              <w:start w:w="80" w:type="dxa"/>
              <w:bottom w:w="80" w:type="dxa"/>
              <w:end w:w="80" w:type="dxa"/>
            </w:tcMar>
          </w:tcPr>
          <w:p>
            <w:pPr>
              <w:spacing w:after="20"/>
            </w:pPr>
            <w:r>
              <w:rPr>
                <w:rFonts w:ascii="Arial" w:hAnsi="Arial"/>
                <w:sz w:val="18"/>
              </w:rPr>
              <w:t>Provide the real-world context in which such decision-support systems could be useful; the current prototype is not intended for autonomous clinical use.</w:t>
            </w:r>
          </w:p>
        </w:tc>
      </w:tr>
      <w:tr>
        <w:tc>
          <w:tcPr>
            <w:tcW w:type="dxa" w:w="3168"/>
            <w:vAlign w:val="top"/>
            <w:tcMar>
              <w:top w:w="80" w:type="dxa"/>
              <w:start w:w="80" w:type="dxa"/>
              <w:bottom w:w="80" w:type="dxa"/>
              <w:end w:w="80" w:type="dxa"/>
            </w:tcMar>
          </w:tcPr>
          <w:p>
            <w:pPr>
              <w:spacing w:after="20"/>
            </w:pPr>
            <w:r>
              <w:rPr>
                <w:rFonts w:ascii="Arial" w:hAnsi="Arial"/>
                <w:sz w:val="18"/>
              </w:rPr>
              <w:t>Patients/data subjects (indirect stakeholders)</w:t>
            </w:r>
          </w:p>
        </w:tc>
        <w:tc>
          <w:tcPr>
            <w:tcW w:type="dxa" w:w="7776"/>
            <w:vAlign w:val="top"/>
            <w:tcMar>
              <w:top w:w="80" w:type="dxa"/>
              <w:start w:w="80" w:type="dxa"/>
              <w:bottom w:w="80" w:type="dxa"/>
              <w:end w:w="80" w:type="dxa"/>
            </w:tcMar>
          </w:tcPr>
          <w:p>
            <w:pPr>
              <w:spacing w:after="20"/>
            </w:pPr>
            <w:r>
              <w:rPr>
                <w:rFonts w:ascii="Arial" w:hAnsi="Arial"/>
                <w:sz w:val="18"/>
              </w:rPr>
              <w:t>Motivate requirements for privacy, de-identification, safe claims, and careful interpretation of model outputs.</w:t>
            </w:r>
          </w:p>
        </w:tc>
      </w:tr>
    </w:tbl>
    <w:p>
      <w:pPr>
        <w:spacing w:after="20"/>
      </w:pPr>
    </w:p>
    <w:p>
      <w:pPr>
        <w:pStyle w:val="Heading2"/>
        <w:keepNext/>
        <w:spacing w:before="180" w:after="80"/>
      </w:pPr>
      <w:r>
        <w:t>3.2 Structured Use Cases</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80"/>
        <w:gridCol w:w="1680"/>
        <w:gridCol w:w="1680"/>
        <w:gridCol w:w="1680"/>
        <w:gridCol w:w="1680"/>
        <w:gridCol w:w="1680"/>
      </w:tblGrid>
      <w:tr>
        <w:tc>
          <w:tcPr>
            <w:tcW w:type="dxa" w:w="792"/>
            <w:shd w:fill="EDEDED"/>
            <w:vAlign w:val="center"/>
            <w:tcMar>
              <w:top w:w="80" w:type="dxa"/>
              <w:start w:w="80" w:type="dxa"/>
              <w:bottom w:w="80" w:type="dxa"/>
              <w:end w:w="80" w:type="dxa"/>
            </w:tcMar>
          </w:tcPr>
          <w:p>
            <w:pPr>
              <w:spacing w:after="20"/>
            </w:pPr>
            <w:r>
              <w:rPr>
                <w:rFonts w:ascii="Arial" w:hAnsi="Arial"/>
                <w:b/>
                <w:sz w:val="18"/>
              </w:rPr>
              <w:t>ID</w:t>
            </w:r>
          </w:p>
        </w:tc>
        <w:tc>
          <w:tcPr>
            <w:tcW w:type="dxa" w:w="1800"/>
            <w:shd w:fill="EDEDED"/>
            <w:vAlign w:val="center"/>
            <w:tcMar>
              <w:top w:w="80" w:type="dxa"/>
              <w:start w:w="80" w:type="dxa"/>
              <w:bottom w:w="80" w:type="dxa"/>
              <w:end w:w="80" w:type="dxa"/>
            </w:tcMar>
          </w:tcPr>
          <w:p>
            <w:pPr>
              <w:spacing w:after="20"/>
            </w:pPr>
            <w:r>
              <w:rPr>
                <w:rFonts w:ascii="Arial" w:hAnsi="Arial"/>
                <w:b/>
                <w:sz w:val="18"/>
              </w:rPr>
              <w:t>Use Case</w:t>
            </w:r>
          </w:p>
        </w:tc>
        <w:tc>
          <w:tcPr>
            <w:tcW w:type="dxa" w:w="1728"/>
            <w:shd w:fill="EDEDED"/>
            <w:vAlign w:val="center"/>
            <w:tcMar>
              <w:top w:w="80" w:type="dxa"/>
              <w:start w:w="80" w:type="dxa"/>
              <w:bottom w:w="80" w:type="dxa"/>
              <w:end w:w="80" w:type="dxa"/>
            </w:tcMar>
          </w:tcPr>
          <w:p>
            <w:pPr>
              <w:spacing w:after="20"/>
            </w:pPr>
            <w:r>
              <w:rPr>
                <w:rFonts w:ascii="Arial" w:hAnsi="Arial"/>
                <w:b/>
                <w:sz w:val="18"/>
              </w:rPr>
              <w:t>Primary Actor</w:t>
            </w:r>
          </w:p>
        </w:tc>
        <w:tc>
          <w:tcPr>
            <w:tcW w:type="dxa" w:w="2016"/>
            <w:shd w:fill="EDEDED"/>
            <w:vAlign w:val="center"/>
            <w:tcMar>
              <w:top w:w="80" w:type="dxa"/>
              <w:start w:w="80" w:type="dxa"/>
              <w:bottom w:w="80" w:type="dxa"/>
              <w:end w:w="80" w:type="dxa"/>
            </w:tcMar>
          </w:tcPr>
          <w:p>
            <w:pPr>
              <w:spacing w:after="20"/>
            </w:pPr>
            <w:r>
              <w:rPr>
                <w:rFonts w:ascii="Arial" w:hAnsi="Arial"/>
                <w:b/>
                <w:sz w:val="18"/>
              </w:rPr>
              <w:t>Precondition</w:t>
            </w:r>
          </w:p>
        </w:tc>
        <w:tc>
          <w:tcPr>
            <w:tcW w:type="dxa" w:w="3888"/>
            <w:shd w:fill="EDEDED"/>
            <w:vAlign w:val="center"/>
            <w:tcMar>
              <w:top w:w="80" w:type="dxa"/>
              <w:start w:w="80" w:type="dxa"/>
              <w:bottom w:w="80" w:type="dxa"/>
              <w:end w:w="80" w:type="dxa"/>
            </w:tcMar>
          </w:tcPr>
          <w:p>
            <w:pPr>
              <w:spacing w:after="20"/>
            </w:pPr>
            <w:r>
              <w:rPr>
                <w:rFonts w:ascii="Arial" w:hAnsi="Arial"/>
                <w:b/>
                <w:sz w:val="18"/>
              </w:rPr>
              <w:t>Main Flow</w:t>
            </w:r>
          </w:p>
        </w:tc>
        <w:tc>
          <w:tcPr>
            <w:tcW w:type="dxa" w:w="2160"/>
            <w:shd w:fill="EDEDED"/>
            <w:vAlign w:val="center"/>
            <w:tcMar>
              <w:top w:w="80" w:type="dxa"/>
              <w:start w:w="80" w:type="dxa"/>
              <w:bottom w:w="80" w:type="dxa"/>
              <w:end w:w="80" w:type="dxa"/>
            </w:tcMar>
          </w:tcPr>
          <w:p>
            <w:pPr>
              <w:spacing w:after="20"/>
            </w:pPr>
            <w:r>
              <w:rPr>
                <w:rFonts w:ascii="Arial" w:hAnsi="Arial"/>
                <w:b/>
                <w:sz w:val="18"/>
              </w:rPr>
              <w:t>Postcondition</w:t>
            </w:r>
          </w:p>
        </w:tc>
      </w:tr>
      <w:tr>
        <w:tc>
          <w:tcPr>
            <w:tcW w:type="dxa" w:w="792"/>
            <w:vAlign w:val="top"/>
            <w:tcMar>
              <w:top w:w="80" w:type="dxa"/>
              <w:start w:w="80" w:type="dxa"/>
              <w:bottom w:w="80" w:type="dxa"/>
              <w:end w:w="80" w:type="dxa"/>
            </w:tcMar>
          </w:tcPr>
          <w:p>
            <w:pPr>
              <w:spacing w:after="20"/>
            </w:pPr>
            <w:r>
              <w:rPr>
                <w:rFonts w:ascii="Arial" w:hAnsi="Arial"/>
                <w:sz w:val="18"/>
              </w:rPr>
              <w:t>UC-01</w:t>
            </w:r>
          </w:p>
        </w:tc>
        <w:tc>
          <w:tcPr>
            <w:tcW w:type="dxa" w:w="1800"/>
            <w:vAlign w:val="top"/>
            <w:tcMar>
              <w:top w:w="80" w:type="dxa"/>
              <w:start w:w="80" w:type="dxa"/>
              <w:bottom w:w="80" w:type="dxa"/>
              <w:end w:w="80" w:type="dxa"/>
            </w:tcMar>
          </w:tcPr>
          <w:p>
            <w:pPr>
              <w:spacing w:after="20"/>
            </w:pPr>
            <w:r>
              <w:rPr>
                <w:rFonts w:ascii="Arial" w:hAnsi="Arial"/>
                <w:sz w:val="18"/>
              </w:rPr>
              <w:t>Analyze a chest X-ray</w:t>
            </w:r>
          </w:p>
        </w:tc>
        <w:tc>
          <w:tcPr>
            <w:tcW w:type="dxa" w:w="1728"/>
            <w:vAlign w:val="top"/>
            <w:tcMar>
              <w:top w:w="80" w:type="dxa"/>
              <w:start w:w="80" w:type="dxa"/>
              <w:bottom w:w="80" w:type="dxa"/>
              <w:end w:w="80" w:type="dxa"/>
            </w:tcMar>
          </w:tcPr>
          <w:p>
            <w:pPr>
              <w:spacing w:after="20"/>
            </w:pPr>
            <w:r>
              <w:rPr>
                <w:rFonts w:ascii="Arial" w:hAnsi="Arial"/>
                <w:sz w:val="18"/>
              </w:rPr>
              <w:t>Research user / team member</w:t>
            </w:r>
          </w:p>
        </w:tc>
        <w:tc>
          <w:tcPr>
            <w:tcW w:type="dxa" w:w="2016"/>
            <w:vAlign w:val="top"/>
            <w:tcMar>
              <w:top w:w="80" w:type="dxa"/>
              <w:start w:w="80" w:type="dxa"/>
              <w:bottom w:w="80" w:type="dxa"/>
              <w:end w:w="80" w:type="dxa"/>
            </w:tcMar>
          </w:tcPr>
          <w:p>
            <w:pPr>
              <w:spacing w:after="20"/>
            </w:pPr>
            <w:r>
              <w:rPr>
                <w:rFonts w:ascii="Arial" w:hAnsi="Arial"/>
                <w:sz w:val="18"/>
              </w:rPr>
              <w:t>A valid chest X-ray image is available.</w:t>
            </w:r>
          </w:p>
        </w:tc>
        <w:tc>
          <w:tcPr>
            <w:tcW w:type="dxa" w:w="3888"/>
            <w:vAlign w:val="top"/>
            <w:tcMar>
              <w:top w:w="80" w:type="dxa"/>
              <w:start w:w="80" w:type="dxa"/>
              <w:bottom w:w="80" w:type="dxa"/>
              <w:end w:w="80" w:type="dxa"/>
            </w:tcMar>
          </w:tcPr>
          <w:p>
            <w:pPr>
              <w:spacing w:after="20"/>
            </w:pPr>
            <w:r>
              <w:rPr>
                <w:rFonts w:ascii="Arial" w:hAnsi="Arial"/>
                <w:sz w:val="18"/>
              </w:rPr>
              <w:t>1. User selects an image. 2. System validates/preprocesses it. 3. ResNet-18 and/or ViT produce class scores. 4. BLIP independently generates report text. 5. System prepares the combined result.</w:t>
            </w:r>
          </w:p>
        </w:tc>
        <w:tc>
          <w:tcPr>
            <w:tcW w:type="dxa" w:w="2160"/>
            <w:vAlign w:val="top"/>
            <w:tcMar>
              <w:top w:w="80" w:type="dxa"/>
              <w:start w:w="80" w:type="dxa"/>
              <w:bottom w:w="80" w:type="dxa"/>
              <w:end w:w="80" w:type="dxa"/>
            </w:tcMar>
          </w:tcPr>
          <w:p>
            <w:pPr>
              <w:spacing w:after="20"/>
            </w:pPr>
            <w:r>
              <w:rPr>
                <w:rFonts w:ascii="Arial" w:hAnsi="Arial"/>
                <w:sz w:val="18"/>
              </w:rPr>
              <w:t>Predicted class, confidence information, generated report, and optional Grad-CAM are displayed.</w:t>
            </w:r>
          </w:p>
        </w:tc>
      </w:tr>
      <w:tr>
        <w:tc>
          <w:tcPr>
            <w:tcW w:type="dxa" w:w="792"/>
            <w:vAlign w:val="top"/>
            <w:tcMar>
              <w:top w:w="80" w:type="dxa"/>
              <w:start w:w="80" w:type="dxa"/>
              <w:bottom w:w="80" w:type="dxa"/>
              <w:end w:w="80" w:type="dxa"/>
            </w:tcMar>
          </w:tcPr>
          <w:p>
            <w:pPr>
              <w:spacing w:after="20"/>
            </w:pPr>
            <w:r>
              <w:rPr>
                <w:rFonts w:ascii="Arial" w:hAnsi="Arial"/>
                <w:sz w:val="18"/>
              </w:rPr>
              <w:t>UC-02</w:t>
            </w:r>
          </w:p>
        </w:tc>
        <w:tc>
          <w:tcPr>
            <w:tcW w:type="dxa" w:w="1800"/>
            <w:vAlign w:val="top"/>
            <w:tcMar>
              <w:top w:w="80" w:type="dxa"/>
              <w:start w:w="80" w:type="dxa"/>
              <w:bottom w:w="80" w:type="dxa"/>
              <w:end w:w="80" w:type="dxa"/>
            </w:tcMar>
          </w:tcPr>
          <w:p>
            <w:pPr>
              <w:spacing w:after="20"/>
            </w:pPr>
            <w:r>
              <w:rPr>
                <w:rFonts w:ascii="Arial" w:hAnsi="Arial"/>
                <w:sz w:val="18"/>
              </w:rPr>
              <w:t>Compare classification models</w:t>
            </w:r>
          </w:p>
        </w:tc>
        <w:tc>
          <w:tcPr>
            <w:tcW w:type="dxa" w:w="1728"/>
            <w:vAlign w:val="top"/>
            <w:tcMar>
              <w:top w:w="80" w:type="dxa"/>
              <w:start w:w="80" w:type="dxa"/>
              <w:bottom w:w="80" w:type="dxa"/>
              <w:end w:w="80" w:type="dxa"/>
            </w:tcMar>
          </w:tcPr>
          <w:p>
            <w:pPr>
              <w:spacing w:after="20"/>
            </w:pPr>
            <w:r>
              <w:rPr>
                <w:rFonts w:ascii="Arial" w:hAnsi="Arial"/>
                <w:sz w:val="18"/>
              </w:rPr>
              <w:t>Project team</w:t>
            </w:r>
          </w:p>
        </w:tc>
        <w:tc>
          <w:tcPr>
            <w:tcW w:type="dxa" w:w="2016"/>
            <w:vAlign w:val="top"/>
            <w:tcMar>
              <w:top w:w="80" w:type="dxa"/>
              <w:start w:w="80" w:type="dxa"/>
              <w:bottom w:w="80" w:type="dxa"/>
              <w:end w:w="80" w:type="dxa"/>
            </w:tcMar>
          </w:tcPr>
          <w:p>
            <w:pPr>
              <w:spacing w:after="20"/>
            </w:pPr>
            <w:r>
              <w:rPr>
                <w:rFonts w:ascii="Arial" w:hAnsi="Arial"/>
                <w:sz w:val="18"/>
              </w:rPr>
              <w:t>Fixed classification split and trained/configured models are available.</w:t>
            </w:r>
          </w:p>
        </w:tc>
        <w:tc>
          <w:tcPr>
            <w:tcW w:type="dxa" w:w="3888"/>
            <w:vAlign w:val="top"/>
            <w:tcMar>
              <w:top w:w="80" w:type="dxa"/>
              <w:start w:w="80" w:type="dxa"/>
              <w:bottom w:w="80" w:type="dxa"/>
              <w:end w:w="80" w:type="dxa"/>
            </w:tcMar>
          </w:tcPr>
          <w:p>
            <w:pPr>
              <w:spacing w:after="20"/>
            </w:pPr>
            <w:r>
              <w:rPr>
                <w:rFonts w:ascii="Arial" w:hAnsi="Arial"/>
                <w:sz w:val="18"/>
              </w:rPr>
              <w:t>1. Run ResNet-18 on held-out test set. 2. Run ViT-B/16 on the same test set. 3. Compute comparable classification metrics. 4. Review errors and class-wise behavior.</w:t>
            </w:r>
          </w:p>
        </w:tc>
        <w:tc>
          <w:tcPr>
            <w:tcW w:type="dxa" w:w="2160"/>
            <w:vAlign w:val="top"/>
            <w:tcMar>
              <w:top w:w="80" w:type="dxa"/>
              <w:start w:w="80" w:type="dxa"/>
              <w:bottom w:w="80" w:type="dxa"/>
              <w:end w:w="80" w:type="dxa"/>
            </w:tcMar>
          </w:tcPr>
          <w:p>
            <w:pPr>
              <w:spacing w:after="20"/>
            </w:pPr>
            <w:r>
              <w:rPr>
                <w:rFonts w:ascii="Arial" w:hAnsi="Arial"/>
                <w:sz w:val="18"/>
              </w:rPr>
              <w:t>A documented ResNet-vs-ViT comparison is produced.</w:t>
            </w:r>
          </w:p>
        </w:tc>
      </w:tr>
      <w:tr>
        <w:tc>
          <w:tcPr>
            <w:tcW w:type="dxa" w:w="792"/>
            <w:vAlign w:val="top"/>
            <w:tcMar>
              <w:top w:w="80" w:type="dxa"/>
              <w:start w:w="80" w:type="dxa"/>
              <w:bottom w:w="80" w:type="dxa"/>
              <w:end w:w="80" w:type="dxa"/>
            </w:tcMar>
          </w:tcPr>
          <w:p>
            <w:pPr>
              <w:spacing w:after="20"/>
            </w:pPr>
            <w:r>
              <w:rPr>
                <w:rFonts w:ascii="Arial" w:hAnsi="Arial"/>
                <w:sz w:val="18"/>
              </w:rPr>
              <w:t>UC-03</w:t>
            </w:r>
          </w:p>
        </w:tc>
        <w:tc>
          <w:tcPr>
            <w:tcW w:type="dxa" w:w="1800"/>
            <w:vAlign w:val="top"/>
            <w:tcMar>
              <w:top w:w="80" w:type="dxa"/>
              <w:start w:w="80" w:type="dxa"/>
              <w:bottom w:w="80" w:type="dxa"/>
              <w:end w:w="80" w:type="dxa"/>
            </w:tcMar>
          </w:tcPr>
          <w:p>
            <w:pPr>
              <w:spacing w:after="20"/>
            </w:pPr>
            <w:r>
              <w:rPr>
                <w:rFonts w:ascii="Arial" w:hAnsi="Arial"/>
                <w:sz w:val="18"/>
              </w:rPr>
              <w:t>Generate and inspect a radiology report</w:t>
            </w:r>
          </w:p>
        </w:tc>
        <w:tc>
          <w:tcPr>
            <w:tcW w:type="dxa" w:w="1728"/>
            <w:vAlign w:val="top"/>
            <w:tcMar>
              <w:top w:w="80" w:type="dxa"/>
              <w:start w:w="80" w:type="dxa"/>
              <w:bottom w:w="80" w:type="dxa"/>
              <w:end w:w="80" w:type="dxa"/>
            </w:tcMar>
          </w:tcPr>
          <w:p>
            <w:pPr>
              <w:spacing w:after="20"/>
            </w:pPr>
            <w:r>
              <w:rPr>
                <w:rFonts w:ascii="Arial" w:hAnsi="Arial"/>
                <w:sz w:val="18"/>
              </w:rPr>
              <w:t>Research user / team member</w:t>
            </w:r>
          </w:p>
        </w:tc>
        <w:tc>
          <w:tcPr>
            <w:tcW w:type="dxa" w:w="2016"/>
            <w:vAlign w:val="top"/>
            <w:tcMar>
              <w:top w:w="80" w:type="dxa"/>
              <w:start w:w="80" w:type="dxa"/>
              <w:bottom w:w="80" w:type="dxa"/>
              <w:end w:w="80" w:type="dxa"/>
            </w:tcMar>
          </w:tcPr>
          <w:p>
            <w:pPr>
              <w:spacing w:after="20"/>
            </w:pPr>
            <w:r>
              <w:rPr>
                <w:rFonts w:ascii="Arial" w:hAnsi="Arial"/>
                <w:sz w:val="18"/>
              </w:rPr>
              <w:t>Input X-ray and BLIP processor/model are available.</w:t>
            </w:r>
          </w:p>
        </w:tc>
        <w:tc>
          <w:tcPr>
            <w:tcW w:type="dxa" w:w="3888"/>
            <w:vAlign w:val="top"/>
            <w:tcMar>
              <w:top w:w="80" w:type="dxa"/>
              <w:start w:w="80" w:type="dxa"/>
              <w:bottom w:w="80" w:type="dxa"/>
              <w:end w:w="80" w:type="dxa"/>
            </w:tcMar>
          </w:tcPr>
          <w:p>
            <w:pPr>
              <w:spacing w:after="20"/>
            </w:pPr>
            <w:r>
              <w:rPr>
                <w:rFonts w:ascii="Arial" w:hAnsi="Arial"/>
                <w:sz w:val="18"/>
              </w:rPr>
              <w:t>1. Load X-ray. 2. BLIP processor prepares pixel values. 3. Model generates report tokens. 4. Tokens are decoded. 5. Output is compared with reference findings/impression.</w:t>
            </w:r>
          </w:p>
        </w:tc>
        <w:tc>
          <w:tcPr>
            <w:tcW w:type="dxa" w:w="2160"/>
            <w:vAlign w:val="top"/>
            <w:tcMar>
              <w:top w:w="80" w:type="dxa"/>
              <w:start w:w="80" w:type="dxa"/>
              <w:bottom w:w="80" w:type="dxa"/>
              <w:end w:w="80" w:type="dxa"/>
            </w:tcMar>
          </w:tcPr>
          <w:p>
            <w:pPr>
              <w:spacing w:after="20"/>
            </w:pPr>
            <w:r>
              <w:rPr>
                <w:rFonts w:ascii="Arial" w:hAnsi="Arial"/>
                <w:sz w:val="18"/>
              </w:rPr>
              <w:t>Generated report and qualitative comparison are available.</w:t>
            </w:r>
          </w:p>
        </w:tc>
      </w:tr>
      <w:tr>
        <w:tc>
          <w:tcPr>
            <w:tcW w:type="dxa" w:w="792"/>
            <w:vAlign w:val="top"/>
            <w:tcMar>
              <w:top w:w="80" w:type="dxa"/>
              <w:start w:w="80" w:type="dxa"/>
              <w:bottom w:w="80" w:type="dxa"/>
              <w:end w:w="80" w:type="dxa"/>
            </w:tcMar>
          </w:tcPr>
          <w:p>
            <w:pPr>
              <w:spacing w:after="20"/>
            </w:pPr>
            <w:r>
              <w:rPr>
                <w:rFonts w:ascii="Arial" w:hAnsi="Arial"/>
                <w:sz w:val="18"/>
              </w:rPr>
              <w:t>UC-04</w:t>
            </w:r>
          </w:p>
        </w:tc>
        <w:tc>
          <w:tcPr>
            <w:tcW w:type="dxa" w:w="1800"/>
            <w:vAlign w:val="top"/>
            <w:tcMar>
              <w:top w:w="80" w:type="dxa"/>
              <w:start w:w="80" w:type="dxa"/>
              <w:bottom w:w="80" w:type="dxa"/>
              <w:end w:w="80" w:type="dxa"/>
            </w:tcMar>
          </w:tcPr>
          <w:p>
            <w:pPr>
              <w:spacing w:after="20"/>
            </w:pPr>
            <w:r>
              <w:rPr>
                <w:rFonts w:ascii="Arial" w:hAnsi="Arial"/>
                <w:sz w:val="18"/>
              </w:rPr>
              <w:t>Compare three BLIP variants</w:t>
            </w:r>
          </w:p>
        </w:tc>
        <w:tc>
          <w:tcPr>
            <w:tcW w:type="dxa" w:w="1728"/>
            <w:vAlign w:val="top"/>
            <w:tcMar>
              <w:top w:w="80" w:type="dxa"/>
              <w:start w:w="80" w:type="dxa"/>
              <w:bottom w:w="80" w:type="dxa"/>
              <w:end w:w="80" w:type="dxa"/>
            </w:tcMar>
          </w:tcPr>
          <w:p>
            <w:pPr>
              <w:spacing w:after="20"/>
            </w:pPr>
            <w:r>
              <w:rPr>
                <w:rFonts w:ascii="Arial" w:hAnsi="Arial"/>
                <w:sz w:val="18"/>
              </w:rPr>
              <w:t>Project team</w:t>
            </w:r>
          </w:p>
        </w:tc>
        <w:tc>
          <w:tcPr>
            <w:tcW w:type="dxa" w:w="2016"/>
            <w:vAlign w:val="top"/>
            <w:tcMar>
              <w:top w:w="80" w:type="dxa"/>
              <w:start w:w="80" w:type="dxa"/>
              <w:bottom w:w="80" w:type="dxa"/>
              <w:end w:w="80" w:type="dxa"/>
            </w:tcMar>
          </w:tcPr>
          <w:p>
            <w:pPr>
              <w:spacing w:after="20"/>
            </w:pPr>
            <w:r>
              <w:rPr>
                <w:rFonts w:ascii="Arial" w:hAnsi="Arial"/>
                <w:sz w:val="18"/>
              </w:rPr>
              <w:t>Fixed 270/30 report-generation split and required 300 images are available.</w:t>
            </w:r>
          </w:p>
        </w:tc>
        <w:tc>
          <w:tcPr>
            <w:tcW w:type="dxa" w:w="3888"/>
            <w:vAlign w:val="top"/>
            <w:tcMar>
              <w:top w:w="80" w:type="dxa"/>
              <w:start w:w="80" w:type="dxa"/>
              <w:bottom w:w="80" w:type="dxa"/>
              <w:end w:w="80" w:type="dxa"/>
            </w:tcMar>
          </w:tcPr>
          <w:p>
            <w:pPr>
              <w:spacing w:after="20"/>
            </w:pPr>
            <w:r>
              <w:rPr>
                <w:rFonts w:ascii="Arial" w:hAnsi="Arial"/>
                <w:sz w:val="18"/>
              </w:rPr>
              <w:t>1. Train randomized BLIP on 270 examples. 2. Evaluate pretrained baseline unchanged. 3. Fine-tune pretrained BLIP on the same 270 examples. 4. Generate reports for the same 30 held-out cases. 5. Compute BLEU-4, ROUGE-L, BERTScore and inspect outputs.</w:t>
            </w:r>
          </w:p>
        </w:tc>
        <w:tc>
          <w:tcPr>
            <w:tcW w:type="dxa" w:w="2160"/>
            <w:vAlign w:val="top"/>
            <w:tcMar>
              <w:top w:w="80" w:type="dxa"/>
              <w:start w:w="80" w:type="dxa"/>
              <w:bottom w:w="80" w:type="dxa"/>
              <w:end w:w="80" w:type="dxa"/>
            </w:tcMar>
          </w:tcPr>
          <w:p>
            <w:pPr>
              <w:spacing w:after="20"/>
            </w:pPr>
            <w:r>
              <w:rPr>
                <w:rFonts w:ascii="Arial" w:hAnsi="Arial"/>
                <w:sz w:val="18"/>
              </w:rPr>
              <w:t>A controlled comparison of pretraining/fine-tuning effects is produced.</w:t>
            </w:r>
          </w:p>
        </w:tc>
      </w:tr>
      <w:tr>
        <w:tc>
          <w:tcPr>
            <w:tcW w:type="dxa" w:w="792"/>
            <w:vAlign w:val="top"/>
            <w:tcMar>
              <w:top w:w="80" w:type="dxa"/>
              <w:start w:w="80" w:type="dxa"/>
              <w:bottom w:w="80" w:type="dxa"/>
              <w:end w:w="80" w:type="dxa"/>
            </w:tcMar>
          </w:tcPr>
          <w:p>
            <w:pPr>
              <w:spacing w:after="20"/>
            </w:pPr>
            <w:r>
              <w:rPr>
                <w:rFonts w:ascii="Arial" w:hAnsi="Arial"/>
                <w:sz w:val="18"/>
              </w:rPr>
              <w:t>UC-05</w:t>
            </w:r>
          </w:p>
        </w:tc>
        <w:tc>
          <w:tcPr>
            <w:tcW w:type="dxa" w:w="1800"/>
            <w:vAlign w:val="top"/>
            <w:tcMar>
              <w:top w:w="80" w:type="dxa"/>
              <w:start w:w="80" w:type="dxa"/>
              <w:bottom w:w="80" w:type="dxa"/>
              <w:end w:w="80" w:type="dxa"/>
            </w:tcMar>
          </w:tcPr>
          <w:p>
            <w:pPr>
              <w:spacing w:after="20"/>
            </w:pPr>
            <w:r>
              <w:rPr>
                <w:rFonts w:ascii="Arial" w:hAnsi="Arial"/>
                <w:sz w:val="18"/>
              </w:rPr>
              <w:t>Review model explanation</w:t>
            </w:r>
          </w:p>
        </w:tc>
        <w:tc>
          <w:tcPr>
            <w:tcW w:type="dxa" w:w="1728"/>
            <w:vAlign w:val="top"/>
            <w:tcMar>
              <w:top w:w="80" w:type="dxa"/>
              <w:start w:w="80" w:type="dxa"/>
              <w:bottom w:w="80" w:type="dxa"/>
              <w:end w:w="80" w:type="dxa"/>
            </w:tcMar>
          </w:tcPr>
          <w:p>
            <w:pPr>
              <w:spacing w:after="20"/>
            </w:pPr>
            <w:r>
              <w:rPr>
                <w:rFonts w:ascii="Arial" w:hAnsi="Arial"/>
                <w:sz w:val="18"/>
              </w:rPr>
              <w:t>Project team / reviewer</w:t>
            </w:r>
          </w:p>
        </w:tc>
        <w:tc>
          <w:tcPr>
            <w:tcW w:type="dxa" w:w="2016"/>
            <w:vAlign w:val="top"/>
            <w:tcMar>
              <w:top w:w="80" w:type="dxa"/>
              <w:start w:w="80" w:type="dxa"/>
              <w:bottom w:w="80" w:type="dxa"/>
              <w:end w:w="80" w:type="dxa"/>
            </w:tcMar>
          </w:tcPr>
          <w:p>
            <w:pPr>
              <w:spacing w:after="20"/>
            </w:pPr>
            <w:r>
              <w:rPr>
                <w:rFonts w:ascii="Arial" w:hAnsi="Arial"/>
                <w:sz w:val="18"/>
              </w:rPr>
              <w:t>A ResNet classification result is available.</w:t>
            </w:r>
          </w:p>
        </w:tc>
        <w:tc>
          <w:tcPr>
            <w:tcW w:type="dxa" w:w="3888"/>
            <w:vAlign w:val="top"/>
            <w:tcMar>
              <w:top w:w="80" w:type="dxa"/>
              <w:start w:w="80" w:type="dxa"/>
              <w:bottom w:w="80" w:type="dxa"/>
              <w:end w:w="80" w:type="dxa"/>
            </w:tcMar>
          </w:tcPr>
          <w:p>
            <w:pPr>
              <w:spacing w:after="20"/>
            </w:pPr>
            <w:r>
              <w:rPr>
                <w:rFonts w:ascii="Arial" w:hAnsi="Arial"/>
                <w:sz w:val="18"/>
              </w:rPr>
              <w:t>1. Select a test image. 2. Compute Grad-CAM on the selected ResNet layer. 3. Overlay the heatmap on the image. 4. Review whether highlighted regions are plausible for the model decision.</w:t>
            </w:r>
          </w:p>
        </w:tc>
        <w:tc>
          <w:tcPr>
            <w:tcW w:type="dxa" w:w="2160"/>
            <w:vAlign w:val="top"/>
            <w:tcMar>
              <w:top w:w="80" w:type="dxa"/>
              <w:start w:w="80" w:type="dxa"/>
              <w:bottom w:w="80" w:type="dxa"/>
              <w:end w:w="80" w:type="dxa"/>
            </w:tcMar>
          </w:tcPr>
          <w:p>
            <w:pPr>
              <w:spacing w:after="20"/>
            </w:pPr>
            <w:r>
              <w:rPr>
                <w:rFonts w:ascii="Arial" w:hAnsi="Arial"/>
                <w:sz w:val="18"/>
              </w:rPr>
              <w:t>A visual explanation of the ResNet decision is displayed for research interpretation.</w:t>
            </w:r>
          </w:p>
        </w:tc>
      </w:tr>
    </w:tbl>
    <w:p>
      <w:pPr>
        <w:spacing w:after="20"/>
      </w:pPr>
    </w:p>
    <w:p>
      <w:pPr>
        <w:pStyle w:val="Heading2"/>
        <w:keepNext/>
        <w:spacing w:before="180" w:after="80"/>
      </w:pPr>
      <w:r>
        <w:t>3.3 Sequence Diagram</w:t>
      </w:r>
    </w:p>
    <w:p>
      <w:pPr>
        <w:spacing w:after="100" w:line="252" w:lineRule="auto"/>
      </w:pPr>
      <w:r>
        <w:t>The following preliminary sequence shows inference for one chest X-ray. The classification and report-generation branches operate in parallel from the same image; the BLIP model does not consume the classifier prediction.</w:t>
      </w:r>
    </w:p>
    <w:p>
      <w:pPr>
        <w:jc w:val="center"/>
      </w:pPr>
      <w:r>
        <w:drawing>
          <wp:inline xmlns:a="http://schemas.openxmlformats.org/drawingml/2006/main" xmlns:pic="http://schemas.openxmlformats.org/drawingml/2006/picture">
            <wp:extent cx="5394960" cy="3129631"/>
            <wp:docPr id="1" name="Picture 1"/>
            <wp:cNvGraphicFramePr>
              <a:graphicFrameLocks noChangeAspect="1"/>
            </wp:cNvGraphicFramePr>
            <a:graphic>
              <a:graphicData uri="http://schemas.openxmlformats.org/drawingml/2006/picture">
                <pic:pic>
                  <pic:nvPicPr>
                    <pic:cNvPr id="0" name="medical_ai_sequence.png"/>
                    <pic:cNvPicPr/>
                  </pic:nvPicPr>
                  <pic:blipFill>
                    <a:blip r:embed="rId8"/>
                    <a:stretch>
                      <a:fillRect/>
                    </a:stretch>
                  </pic:blipFill>
                  <pic:spPr>
                    <a:xfrm>
                      <a:off x="0" y="0"/>
                      <a:ext cx="5394960" cy="3129631"/>
                    </a:xfrm>
                    <a:prstGeom prst="rect"/>
                  </pic:spPr>
                </pic:pic>
              </a:graphicData>
            </a:graphic>
          </wp:inline>
        </w:drawing>
      </w:r>
    </w:p>
    <w:p>
      <w:pPr>
        <w:pStyle w:val="Heading2"/>
        <w:keepNext/>
        <w:spacing w:before="180" w:after="80"/>
      </w:pPr>
      <w:r>
        <w:t>3.4 Architectural Model</w:t>
      </w:r>
    </w:p>
    <w:p>
      <w:pPr>
        <w:spacing w:after="100" w:line="252" w:lineRule="auto"/>
      </w:pPr>
      <w:r>
        <w:t>The architecture separates the system into a data/input layer, two model branches, an explainability/evaluation layer, and an integrated result view. This separation supports independent experimentation while preserving a single end-to-end demonstration path.</w:t>
      </w:r>
    </w:p>
    <w:p>
      <w:pPr>
        <w:jc w:val="center"/>
      </w:pPr>
      <w:r>
        <w:drawing>
          <wp:inline xmlns:a="http://schemas.openxmlformats.org/drawingml/2006/main" xmlns:pic="http://schemas.openxmlformats.org/drawingml/2006/picture">
            <wp:extent cx="6309360" cy="3338863"/>
            <wp:docPr id="2" name="Picture 2"/>
            <wp:cNvGraphicFramePr>
              <a:graphicFrameLocks noChangeAspect="1"/>
            </wp:cNvGraphicFramePr>
            <a:graphic>
              <a:graphicData uri="http://schemas.openxmlformats.org/drawingml/2006/picture">
                <pic:pic>
                  <pic:nvPicPr>
                    <pic:cNvPr id="0" name="medical_ai_architecture.png"/>
                    <pic:cNvPicPr/>
                  </pic:nvPicPr>
                  <pic:blipFill>
                    <a:blip r:embed="rId9"/>
                    <a:stretch>
                      <a:fillRect/>
                    </a:stretch>
                  </pic:blipFill>
                  <pic:spPr>
                    <a:xfrm>
                      <a:off x="0" y="0"/>
                      <a:ext cx="6309360" cy="3338863"/>
                    </a:xfrm>
                    <a:prstGeom prst="rect"/>
                  </pic:spPr>
                </pic:pic>
              </a:graphicData>
            </a:graphic>
          </wp:inline>
        </w:drawing>
      </w:r>
    </w:p>
    <w:p>
      <w:pPr>
        <w:spacing w:after="100" w:line="252" w:lineRule="auto"/>
      </w:pPr>
      <w:r>
        <w:t>Current data flow: Indiana projection metadata and report metadata are merged on `uid`, filtered to frontal views and selected target labels, and transformed into reproducible experiment splits. The classifier branch uses 224×224 ImageNet-style preprocessing. The BLIP branch uses its own processor and image size; these preprocessing pipelines must not be mixed.</w:t>
      </w:r>
    </w:p>
    <w:p>
      <w:pPr>
        <w:pStyle w:val="Heading1"/>
        <w:keepNext/>
        <w:spacing w:before="180" w:after="80"/>
      </w:pPr>
      <w:r>
        <w:t>4. High-Level Tasking Plans (20%)</w:t>
      </w:r>
    </w:p>
    <w:p>
      <w:pPr>
        <w:spacing w:after="100" w:line="252" w:lineRule="auto"/>
      </w:pPr>
      <w:r>
        <w:t>Project management tool: Trello. GitHub is used for source-code and notebook version control. The original project documents identify the team members and overall tasks but do not record a final per-member ownership map. Therefore, the allocation below is a preliminary proposed distribution for this Requirements &amp; Design document and should be confirmed by the team before submission.</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20"/>
        <w:gridCol w:w="2520"/>
        <w:gridCol w:w="2520"/>
        <w:gridCol w:w="2520"/>
      </w:tblGrid>
      <w:tr>
        <w:tc>
          <w:tcPr>
            <w:tcW w:type="dxa" w:w="1800"/>
            <w:shd w:fill="EDEDED"/>
            <w:vAlign w:val="center"/>
            <w:tcMar>
              <w:top w:w="80" w:type="dxa"/>
              <w:start w:w="80" w:type="dxa"/>
              <w:bottom w:w="80" w:type="dxa"/>
              <w:end w:w="80" w:type="dxa"/>
            </w:tcMar>
          </w:tcPr>
          <w:p>
            <w:pPr>
              <w:spacing w:after="20"/>
            </w:pPr>
            <w:r>
              <w:rPr>
                <w:rFonts w:ascii="Arial" w:hAnsi="Arial"/>
                <w:b/>
                <w:sz w:val="18"/>
              </w:rPr>
              <w:t>Semester</w:t>
            </w:r>
          </w:p>
        </w:tc>
        <w:tc>
          <w:tcPr>
            <w:tcW w:type="dxa" w:w="4896"/>
            <w:shd w:fill="EDEDED"/>
            <w:vAlign w:val="center"/>
            <w:tcMar>
              <w:top w:w="80" w:type="dxa"/>
              <w:start w:w="80" w:type="dxa"/>
              <w:bottom w:w="80" w:type="dxa"/>
              <w:end w:w="80" w:type="dxa"/>
            </w:tcMar>
          </w:tcPr>
          <w:p>
            <w:pPr>
              <w:spacing w:after="20"/>
            </w:pPr>
            <w:r>
              <w:rPr>
                <w:rFonts w:ascii="Arial" w:hAnsi="Arial"/>
                <w:b/>
                <w:sz w:val="18"/>
              </w:rPr>
              <w:t>High-Level Task</w:t>
            </w:r>
          </w:p>
        </w:tc>
        <w:tc>
          <w:tcPr>
            <w:tcW w:type="dxa" w:w="2592"/>
            <w:shd w:fill="EDEDED"/>
            <w:vAlign w:val="center"/>
            <w:tcMar>
              <w:top w:w="80" w:type="dxa"/>
              <w:start w:w="80" w:type="dxa"/>
              <w:bottom w:w="80" w:type="dxa"/>
              <w:end w:w="80" w:type="dxa"/>
            </w:tcMar>
          </w:tcPr>
          <w:p>
            <w:pPr>
              <w:spacing w:after="20"/>
            </w:pPr>
            <w:r>
              <w:rPr>
                <w:rFonts w:ascii="Arial" w:hAnsi="Arial"/>
                <w:b/>
                <w:sz w:val="18"/>
              </w:rPr>
              <w:t>Responsible Member(s)</w:t>
            </w:r>
          </w:p>
        </w:tc>
        <w:tc>
          <w:tcPr>
            <w:tcW w:type="dxa" w:w="1872"/>
            <w:shd w:fill="EDEDED"/>
            <w:vAlign w:val="center"/>
            <w:tcMar>
              <w:top w:w="80" w:type="dxa"/>
              <w:start w:w="80" w:type="dxa"/>
              <w:bottom w:w="80" w:type="dxa"/>
              <w:end w:w="80" w:type="dxa"/>
            </w:tcMar>
          </w:tcPr>
          <w:p>
            <w:pPr>
              <w:spacing w:after="20"/>
            </w:pPr>
            <w:r>
              <w:rPr>
                <w:rFonts w:ascii="Arial" w:hAnsi="Arial"/>
                <w:b/>
                <w:sz w:val="18"/>
              </w:rPr>
              <w:t>Status</w:t>
            </w:r>
          </w:p>
        </w:tc>
      </w:tr>
      <w:tr>
        <w:tc>
          <w:tcPr>
            <w:tcW w:type="dxa" w:w="1800"/>
            <w:vAlign w:val="top"/>
            <w:tcMar>
              <w:top w:w="80" w:type="dxa"/>
              <w:start w:w="80" w:type="dxa"/>
              <w:bottom w:w="80" w:type="dxa"/>
              <w:end w:w="80" w:type="dxa"/>
            </w:tcMar>
          </w:tcPr>
          <w:p>
            <w:pPr>
              <w:spacing w:after="20"/>
            </w:pPr>
            <w:r>
              <w:rPr>
                <w:rFonts w:ascii="Arial" w:hAnsi="Arial"/>
                <w:sz w:val="18"/>
              </w:rPr>
              <w:t>Fall 2026</w:t>
            </w:r>
          </w:p>
        </w:tc>
        <w:tc>
          <w:tcPr>
            <w:tcW w:type="dxa" w:w="4896"/>
            <w:vAlign w:val="top"/>
            <w:tcMar>
              <w:top w:w="80" w:type="dxa"/>
              <w:start w:w="80" w:type="dxa"/>
              <w:bottom w:w="80" w:type="dxa"/>
              <w:end w:w="80" w:type="dxa"/>
            </w:tcMar>
          </w:tcPr>
          <w:p>
            <w:pPr>
              <w:spacing w:after="20"/>
            </w:pPr>
            <w:r>
              <w:rPr>
                <w:rFonts w:ascii="Arial" w:hAnsi="Arial"/>
                <w:sz w:val="18"/>
              </w:rPr>
              <w:t>Dataset preparation, metadata merge, frontal-view filtering, balanced subset checks, reproducible split files</w:t>
            </w:r>
          </w:p>
        </w:tc>
        <w:tc>
          <w:tcPr>
            <w:tcW w:type="dxa" w:w="2592"/>
            <w:vAlign w:val="top"/>
            <w:tcMar>
              <w:top w:w="80" w:type="dxa"/>
              <w:start w:w="80" w:type="dxa"/>
              <w:bottom w:w="80" w:type="dxa"/>
              <w:end w:w="80" w:type="dxa"/>
            </w:tcMar>
          </w:tcPr>
          <w:p>
            <w:pPr>
              <w:spacing w:after="20"/>
            </w:pPr>
            <w:r>
              <w:rPr>
                <w:rFonts w:ascii="Arial" w:hAnsi="Arial"/>
                <w:sz w:val="18"/>
              </w:rPr>
              <w:t>Daulet Kaskenov</w:t>
            </w:r>
          </w:p>
        </w:tc>
        <w:tc>
          <w:tcPr>
            <w:tcW w:type="dxa" w:w="1872"/>
            <w:vAlign w:val="top"/>
            <w:tcMar>
              <w:top w:w="80" w:type="dxa"/>
              <w:start w:w="80" w:type="dxa"/>
              <w:bottom w:w="80" w:type="dxa"/>
              <w:end w:w="80" w:type="dxa"/>
            </w:tcMar>
          </w:tcPr>
          <w:p>
            <w:pPr>
              <w:spacing w:after="20"/>
            </w:pPr>
            <w:r>
              <w:rPr>
                <w:rFonts w:ascii="Arial" w:hAnsi="Arial"/>
                <w:sz w:val="18"/>
              </w:rPr>
              <w:t>In progress / baseline implemented</w:t>
            </w:r>
          </w:p>
        </w:tc>
      </w:tr>
      <w:tr>
        <w:tc>
          <w:tcPr>
            <w:tcW w:type="dxa" w:w="1800"/>
            <w:vAlign w:val="top"/>
            <w:tcMar>
              <w:top w:w="80" w:type="dxa"/>
              <w:start w:w="80" w:type="dxa"/>
              <w:bottom w:w="80" w:type="dxa"/>
              <w:end w:w="80" w:type="dxa"/>
            </w:tcMar>
          </w:tcPr>
          <w:p>
            <w:pPr>
              <w:spacing w:after="20"/>
            </w:pPr>
            <w:r>
              <w:rPr>
                <w:rFonts w:ascii="Arial" w:hAnsi="Arial"/>
                <w:sz w:val="18"/>
              </w:rPr>
              <w:t>Fall 2026</w:t>
            </w:r>
          </w:p>
        </w:tc>
        <w:tc>
          <w:tcPr>
            <w:tcW w:type="dxa" w:w="4896"/>
            <w:vAlign w:val="top"/>
            <w:tcMar>
              <w:top w:w="80" w:type="dxa"/>
              <w:start w:w="80" w:type="dxa"/>
              <w:bottom w:w="80" w:type="dxa"/>
              <w:end w:w="80" w:type="dxa"/>
            </w:tcMar>
          </w:tcPr>
          <w:p>
            <w:pPr>
              <w:spacing w:after="20"/>
            </w:pPr>
            <w:r>
              <w:rPr>
                <w:rFonts w:ascii="Arial" w:hAnsi="Arial"/>
                <w:sz w:val="18"/>
              </w:rPr>
              <w:t>ResNet-18 and ViT-B/16 classification experiments, training/evaluation, Grad-CAM explainability</w:t>
            </w:r>
          </w:p>
        </w:tc>
        <w:tc>
          <w:tcPr>
            <w:tcW w:type="dxa" w:w="2592"/>
            <w:vAlign w:val="top"/>
            <w:tcMar>
              <w:top w:w="80" w:type="dxa"/>
              <w:start w:w="80" w:type="dxa"/>
              <w:bottom w:w="80" w:type="dxa"/>
              <w:end w:w="80" w:type="dxa"/>
            </w:tcMar>
          </w:tcPr>
          <w:p>
            <w:pPr>
              <w:spacing w:after="20"/>
            </w:pPr>
            <w:r>
              <w:rPr>
                <w:rFonts w:ascii="Arial" w:hAnsi="Arial"/>
                <w:sz w:val="18"/>
              </w:rPr>
              <w:t>Daniyar Kshibekov</w:t>
            </w:r>
          </w:p>
        </w:tc>
        <w:tc>
          <w:tcPr>
            <w:tcW w:type="dxa" w:w="1872"/>
            <w:vAlign w:val="top"/>
            <w:tcMar>
              <w:top w:w="80" w:type="dxa"/>
              <w:start w:w="80" w:type="dxa"/>
              <w:bottom w:w="80" w:type="dxa"/>
              <w:end w:w="80" w:type="dxa"/>
            </w:tcMar>
          </w:tcPr>
          <w:p>
            <w:pPr>
              <w:spacing w:after="20"/>
            </w:pPr>
            <w:r>
              <w:rPr>
                <w:rFonts w:ascii="Arial" w:hAnsi="Arial"/>
                <w:sz w:val="18"/>
              </w:rPr>
              <w:t>Baseline implemented; refinement/evaluation ongoing</w:t>
            </w:r>
          </w:p>
        </w:tc>
      </w:tr>
      <w:tr>
        <w:tc>
          <w:tcPr>
            <w:tcW w:type="dxa" w:w="1800"/>
            <w:vAlign w:val="top"/>
            <w:tcMar>
              <w:top w:w="80" w:type="dxa"/>
              <w:start w:w="80" w:type="dxa"/>
              <w:bottom w:w="80" w:type="dxa"/>
              <w:end w:w="80" w:type="dxa"/>
            </w:tcMar>
          </w:tcPr>
          <w:p>
            <w:pPr>
              <w:spacing w:after="20"/>
            </w:pPr>
            <w:r>
              <w:rPr>
                <w:rFonts w:ascii="Arial" w:hAnsi="Arial"/>
                <w:sz w:val="18"/>
              </w:rPr>
              <w:t>Fall 2026</w:t>
            </w:r>
          </w:p>
        </w:tc>
        <w:tc>
          <w:tcPr>
            <w:tcW w:type="dxa" w:w="4896"/>
            <w:vAlign w:val="top"/>
            <w:tcMar>
              <w:top w:w="80" w:type="dxa"/>
              <w:start w:w="80" w:type="dxa"/>
              <w:bottom w:w="80" w:type="dxa"/>
              <w:end w:w="80" w:type="dxa"/>
            </w:tcMar>
          </w:tcPr>
          <w:p>
            <w:pPr>
              <w:spacing w:after="20"/>
            </w:pPr>
            <w:r>
              <w:rPr>
                <w:rFonts w:ascii="Arial" w:hAnsi="Arial"/>
                <w:sz w:val="18"/>
              </w:rPr>
              <w:t>BLIP report-generation baseline and Raw vs Current vs Fine-Tuned comparison notebook</w:t>
            </w:r>
          </w:p>
        </w:tc>
        <w:tc>
          <w:tcPr>
            <w:tcW w:type="dxa" w:w="2592"/>
            <w:vAlign w:val="top"/>
            <w:tcMar>
              <w:top w:w="80" w:type="dxa"/>
              <w:start w:w="80" w:type="dxa"/>
              <w:bottom w:w="80" w:type="dxa"/>
              <w:end w:w="80" w:type="dxa"/>
            </w:tcMar>
          </w:tcPr>
          <w:p>
            <w:pPr>
              <w:spacing w:after="20"/>
            </w:pPr>
            <w:r>
              <w:rPr>
                <w:rFonts w:ascii="Arial" w:hAnsi="Arial"/>
                <w:sz w:val="18"/>
              </w:rPr>
              <w:t>Ayaulym Zhumagul</w:t>
            </w:r>
          </w:p>
        </w:tc>
        <w:tc>
          <w:tcPr>
            <w:tcW w:type="dxa" w:w="1872"/>
            <w:vAlign w:val="top"/>
            <w:tcMar>
              <w:top w:w="80" w:type="dxa"/>
              <w:start w:w="80" w:type="dxa"/>
              <w:bottom w:w="80" w:type="dxa"/>
              <w:end w:w="80" w:type="dxa"/>
            </w:tcMar>
          </w:tcPr>
          <w:p>
            <w:pPr>
              <w:spacing w:after="20"/>
            </w:pPr>
            <w:r>
              <w:rPr>
                <w:rFonts w:ascii="Arial" w:hAnsi="Arial"/>
                <w:sz w:val="18"/>
              </w:rPr>
              <w:t>Baseline available; controlled comparison prepared/in progress</w:t>
            </w:r>
          </w:p>
        </w:tc>
      </w:tr>
      <w:tr>
        <w:tc>
          <w:tcPr>
            <w:tcW w:type="dxa" w:w="1800"/>
            <w:vAlign w:val="top"/>
            <w:tcMar>
              <w:top w:w="80" w:type="dxa"/>
              <w:start w:w="80" w:type="dxa"/>
              <w:bottom w:w="80" w:type="dxa"/>
              <w:end w:w="80" w:type="dxa"/>
            </w:tcMar>
          </w:tcPr>
          <w:p>
            <w:pPr>
              <w:spacing w:after="20"/>
            </w:pPr>
            <w:r>
              <w:rPr>
                <w:rFonts w:ascii="Arial" w:hAnsi="Arial"/>
                <w:sz w:val="18"/>
              </w:rPr>
              <w:t>Fall 2026</w:t>
            </w:r>
          </w:p>
        </w:tc>
        <w:tc>
          <w:tcPr>
            <w:tcW w:type="dxa" w:w="4896"/>
            <w:vAlign w:val="top"/>
            <w:tcMar>
              <w:top w:w="80" w:type="dxa"/>
              <w:start w:w="80" w:type="dxa"/>
              <w:bottom w:w="80" w:type="dxa"/>
              <w:end w:w="80" w:type="dxa"/>
            </w:tcMar>
          </w:tcPr>
          <w:p>
            <w:pPr>
              <w:spacing w:after="20"/>
            </w:pPr>
            <w:r>
              <w:rPr>
                <w:rFonts w:ascii="Arial" w:hAnsi="Arial"/>
                <w:sz w:val="18"/>
              </w:rPr>
              <w:t>Evaluation consolidation, qualitative error review, documentation consistency, Requirements &amp; Design support</w:t>
            </w:r>
          </w:p>
        </w:tc>
        <w:tc>
          <w:tcPr>
            <w:tcW w:type="dxa" w:w="2592"/>
            <w:vAlign w:val="top"/>
            <w:tcMar>
              <w:top w:w="80" w:type="dxa"/>
              <w:start w:w="80" w:type="dxa"/>
              <w:bottom w:w="80" w:type="dxa"/>
              <w:end w:w="80" w:type="dxa"/>
            </w:tcMar>
          </w:tcPr>
          <w:p>
            <w:pPr>
              <w:spacing w:after="20"/>
            </w:pPr>
            <w:r>
              <w:rPr>
                <w:rFonts w:ascii="Arial" w:hAnsi="Arial"/>
                <w:sz w:val="18"/>
              </w:rPr>
              <w:t>Assel Derbissova</w:t>
            </w:r>
          </w:p>
        </w:tc>
        <w:tc>
          <w:tcPr>
            <w:tcW w:type="dxa" w:w="1872"/>
            <w:vAlign w:val="top"/>
            <w:tcMar>
              <w:top w:w="80" w:type="dxa"/>
              <w:start w:w="80" w:type="dxa"/>
              <w:bottom w:w="80" w:type="dxa"/>
              <w:end w:w="80" w:type="dxa"/>
            </w:tcMar>
          </w:tcPr>
          <w:p>
            <w:pPr>
              <w:spacing w:after="20"/>
            </w:pPr>
            <w:r>
              <w:rPr>
                <w:rFonts w:ascii="Arial" w:hAnsi="Arial"/>
                <w:sz w:val="18"/>
              </w:rPr>
              <w:t>Ongoing</w:t>
            </w:r>
          </w:p>
        </w:tc>
      </w:tr>
      <w:tr>
        <w:tc>
          <w:tcPr>
            <w:tcW w:type="dxa" w:w="1800"/>
            <w:vAlign w:val="top"/>
            <w:tcMar>
              <w:top w:w="80" w:type="dxa"/>
              <w:start w:w="80" w:type="dxa"/>
              <w:bottom w:w="80" w:type="dxa"/>
              <w:end w:w="80" w:type="dxa"/>
            </w:tcMar>
          </w:tcPr>
          <w:p>
            <w:pPr>
              <w:spacing w:after="20"/>
            </w:pPr>
            <w:r>
              <w:rPr>
                <w:rFonts w:ascii="Arial" w:hAnsi="Arial"/>
                <w:sz w:val="18"/>
              </w:rPr>
              <w:t>Fall 2026</w:t>
            </w:r>
          </w:p>
        </w:tc>
        <w:tc>
          <w:tcPr>
            <w:tcW w:type="dxa" w:w="4896"/>
            <w:vAlign w:val="top"/>
            <w:tcMar>
              <w:top w:w="80" w:type="dxa"/>
              <w:start w:w="80" w:type="dxa"/>
              <w:bottom w:w="80" w:type="dxa"/>
              <w:end w:w="80" w:type="dxa"/>
            </w:tcMar>
          </w:tcPr>
          <w:p>
            <w:pPr>
              <w:spacing w:after="20"/>
            </w:pPr>
            <w:r>
              <w:rPr>
                <w:rFonts w:ascii="Arial" w:hAnsi="Arial"/>
                <w:sz w:val="18"/>
              </w:rPr>
              <w:t>Integration of classification result, Grad-CAM, generated report, experiment outputs and repository organization</w:t>
            </w:r>
          </w:p>
        </w:tc>
        <w:tc>
          <w:tcPr>
            <w:tcW w:type="dxa" w:w="2592"/>
            <w:vAlign w:val="top"/>
            <w:tcMar>
              <w:top w:w="80" w:type="dxa"/>
              <w:start w:w="80" w:type="dxa"/>
              <w:bottom w:w="80" w:type="dxa"/>
              <w:end w:w="80" w:type="dxa"/>
            </w:tcMar>
          </w:tcPr>
          <w:p>
            <w:pPr>
              <w:spacing w:after="20"/>
            </w:pPr>
            <w:r>
              <w:rPr>
                <w:rFonts w:ascii="Arial" w:hAnsi="Arial"/>
                <w:sz w:val="18"/>
              </w:rPr>
              <w:t>All members (coordination led by Daniyar Kshibekov)</w:t>
            </w:r>
          </w:p>
        </w:tc>
        <w:tc>
          <w:tcPr>
            <w:tcW w:type="dxa" w:w="1872"/>
            <w:vAlign w:val="top"/>
            <w:tcMar>
              <w:top w:w="80" w:type="dxa"/>
              <w:start w:w="80" w:type="dxa"/>
              <w:bottom w:w="80" w:type="dxa"/>
              <w:end w:w="80" w:type="dxa"/>
            </w:tcMar>
          </w:tcPr>
          <w:p>
            <w:pPr>
              <w:spacing w:after="20"/>
            </w:pPr>
            <w:r>
              <w:rPr>
                <w:rFonts w:ascii="Arial" w:hAnsi="Arial"/>
                <w:sz w:val="18"/>
              </w:rPr>
              <w:t>Planned / in progress</w:t>
            </w:r>
          </w:p>
        </w:tc>
      </w:tr>
      <w:tr>
        <w:tc>
          <w:tcPr>
            <w:tcW w:type="dxa" w:w="1800"/>
            <w:vAlign w:val="top"/>
            <w:tcMar>
              <w:top w:w="80" w:type="dxa"/>
              <w:start w:w="80" w:type="dxa"/>
              <w:bottom w:w="80" w:type="dxa"/>
              <w:end w:w="80" w:type="dxa"/>
            </w:tcMar>
          </w:tcPr>
          <w:p>
            <w:pPr>
              <w:spacing w:after="20"/>
            </w:pPr>
            <w:r>
              <w:rPr>
                <w:rFonts w:ascii="Arial" w:hAnsi="Arial"/>
                <w:sz w:val="18"/>
              </w:rPr>
              <w:t>Fall 2026</w:t>
            </w:r>
          </w:p>
        </w:tc>
        <w:tc>
          <w:tcPr>
            <w:tcW w:type="dxa" w:w="4896"/>
            <w:vAlign w:val="top"/>
            <w:tcMar>
              <w:top w:w="80" w:type="dxa"/>
              <w:start w:w="80" w:type="dxa"/>
              <w:bottom w:w="80" w:type="dxa"/>
              <w:end w:w="80" w:type="dxa"/>
            </w:tcMar>
          </w:tcPr>
          <w:p>
            <w:pPr>
              <w:spacing w:after="20"/>
            </w:pPr>
            <w:r>
              <w:rPr>
                <w:rFonts w:ascii="Arial" w:hAnsi="Arial"/>
                <w:sz w:val="18"/>
              </w:rPr>
              <w:t>Literature review and source tracking for medical image classification and report generation</w:t>
            </w:r>
          </w:p>
        </w:tc>
        <w:tc>
          <w:tcPr>
            <w:tcW w:type="dxa" w:w="2592"/>
            <w:vAlign w:val="top"/>
            <w:tcMar>
              <w:top w:w="80" w:type="dxa"/>
              <w:start w:w="80" w:type="dxa"/>
              <w:bottom w:w="80" w:type="dxa"/>
              <w:end w:w="80" w:type="dxa"/>
            </w:tcMar>
          </w:tcPr>
          <w:p>
            <w:pPr>
              <w:spacing w:after="20"/>
            </w:pPr>
            <w:r>
              <w:rPr>
                <w:rFonts w:ascii="Arial" w:hAnsi="Arial"/>
                <w:sz w:val="18"/>
              </w:rPr>
              <w:t>All members</w:t>
            </w:r>
          </w:p>
        </w:tc>
        <w:tc>
          <w:tcPr>
            <w:tcW w:type="dxa" w:w="1872"/>
            <w:vAlign w:val="top"/>
            <w:tcMar>
              <w:top w:w="80" w:type="dxa"/>
              <w:start w:w="80" w:type="dxa"/>
              <w:bottom w:w="80" w:type="dxa"/>
              <w:end w:w="80" w:type="dxa"/>
            </w:tcMar>
          </w:tcPr>
          <w:p>
            <w:pPr>
              <w:spacing w:after="20"/>
            </w:pPr>
            <w:r>
              <w:rPr>
                <w:rFonts w:ascii="Arial" w:hAnsi="Arial"/>
                <w:sz w:val="18"/>
              </w:rPr>
              <w:t>Ongoing</w:t>
            </w:r>
          </w:p>
        </w:tc>
      </w:tr>
      <w:tr>
        <w:tc>
          <w:tcPr>
            <w:tcW w:type="dxa" w:w="1800"/>
            <w:vAlign w:val="top"/>
            <w:tcMar>
              <w:top w:w="80" w:type="dxa"/>
              <w:start w:w="80" w:type="dxa"/>
              <w:bottom w:w="80" w:type="dxa"/>
              <w:end w:w="80" w:type="dxa"/>
            </w:tcMar>
          </w:tcPr>
          <w:p>
            <w:pPr>
              <w:spacing w:after="20"/>
            </w:pPr>
            <w:r>
              <w:rPr>
                <w:rFonts w:ascii="Arial" w:hAnsi="Arial"/>
                <w:sz w:val="18"/>
              </w:rPr>
              <w:t>Spring 2027 (tentative)</w:t>
            </w:r>
          </w:p>
        </w:tc>
        <w:tc>
          <w:tcPr>
            <w:tcW w:type="dxa" w:w="4896"/>
            <w:vAlign w:val="top"/>
            <w:tcMar>
              <w:top w:w="80" w:type="dxa"/>
              <w:start w:w="80" w:type="dxa"/>
              <w:bottom w:w="80" w:type="dxa"/>
              <w:end w:w="80" w:type="dxa"/>
            </w:tcMar>
          </w:tcPr>
          <w:p>
            <w:pPr>
              <w:spacing w:after="20"/>
            </w:pPr>
            <w:r>
              <w:rPr>
                <w:rFonts w:ascii="Arial" w:hAnsi="Arial"/>
                <w:sz w:val="18"/>
              </w:rPr>
              <w:t>Improve/fine-tune models, extend evaluation, perform ablations and error analysis</w:t>
            </w:r>
          </w:p>
        </w:tc>
        <w:tc>
          <w:tcPr>
            <w:tcW w:type="dxa" w:w="2592"/>
            <w:vAlign w:val="top"/>
            <w:tcMar>
              <w:top w:w="80" w:type="dxa"/>
              <w:start w:w="80" w:type="dxa"/>
              <w:bottom w:w="80" w:type="dxa"/>
              <w:end w:w="80" w:type="dxa"/>
            </w:tcMar>
          </w:tcPr>
          <w:p>
            <w:pPr>
              <w:spacing w:after="20"/>
            </w:pPr>
            <w:r>
              <w:rPr>
                <w:rFonts w:ascii="Arial" w:hAnsi="Arial"/>
                <w:sz w:val="18"/>
              </w:rPr>
              <w:t>All members</w:t>
            </w:r>
          </w:p>
        </w:tc>
        <w:tc>
          <w:tcPr>
            <w:tcW w:type="dxa" w:w="1872"/>
            <w:vAlign w:val="top"/>
            <w:tcMar>
              <w:top w:w="80" w:type="dxa"/>
              <w:start w:w="80" w:type="dxa"/>
              <w:bottom w:w="80" w:type="dxa"/>
              <w:end w:w="80" w:type="dxa"/>
            </w:tcMar>
          </w:tcPr>
          <w:p>
            <w:pPr>
              <w:spacing w:after="20"/>
            </w:pPr>
            <w:r>
              <w:rPr>
                <w:rFonts w:ascii="Arial" w:hAnsi="Arial"/>
                <w:sz w:val="18"/>
              </w:rPr>
              <w:t>Planned</w:t>
            </w:r>
          </w:p>
        </w:tc>
      </w:tr>
      <w:tr>
        <w:tc>
          <w:tcPr>
            <w:tcW w:type="dxa" w:w="1800"/>
            <w:vAlign w:val="top"/>
            <w:tcMar>
              <w:top w:w="80" w:type="dxa"/>
              <w:start w:w="80" w:type="dxa"/>
              <w:bottom w:w="80" w:type="dxa"/>
              <w:end w:w="80" w:type="dxa"/>
            </w:tcMar>
          </w:tcPr>
          <w:p>
            <w:pPr>
              <w:spacing w:after="20"/>
            </w:pPr>
            <w:r>
              <w:rPr>
                <w:rFonts w:ascii="Arial" w:hAnsi="Arial"/>
                <w:sz w:val="18"/>
              </w:rPr>
              <w:t>Spring 2027 (tentative)</w:t>
            </w:r>
          </w:p>
        </w:tc>
        <w:tc>
          <w:tcPr>
            <w:tcW w:type="dxa" w:w="4896"/>
            <w:vAlign w:val="top"/>
            <w:tcMar>
              <w:top w:w="80" w:type="dxa"/>
              <w:start w:w="80" w:type="dxa"/>
              <w:bottom w:w="80" w:type="dxa"/>
              <w:end w:w="80" w:type="dxa"/>
            </w:tcMar>
          </w:tcPr>
          <w:p>
            <w:pPr>
              <w:spacing w:after="20"/>
            </w:pPr>
            <w:r>
              <w:rPr>
                <w:rFonts w:ascii="Arial" w:hAnsi="Arial"/>
                <w:sz w:val="18"/>
              </w:rPr>
              <w:t>Finalize integrated research prototype, testing, limitations analysis, final report and presentation</w:t>
            </w:r>
          </w:p>
        </w:tc>
        <w:tc>
          <w:tcPr>
            <w:tcW w:type="dxa" w:w="2592"/>
            <w:vAlign w:val="top"/>
            <w:tcMar>
              <w:top w:w="80" w:type="dxa"/>
              <w:start w:w="80" w:type="dxa"/>
              <w:bottom w:w="80" w:type="dxa"/>
              <w:end w:w="80" w:type="dxa"/>
            </w:tcMar>
          </w:tcPr>
          <w:p>
            <w:pPr>
              <w:spacing w:after="20"/>
            </w:pPr>
            <w:r>
              <w:rPr>
                <w:rFonts w:ascii="Arial" w:hAnsi="Arial"/>
                <w:sz w:val="18"/>
              </w:rPr>
              <w:t>All members</w:t>
            </w:r>
          </w:p>
        </w:tc>
        <w:tc>
          <w:tcPr>
            <w:tcW w:type="dxa" w:w="1872"/>
            <w:vAlign w:val="top"/>
            <w:tcMar>
              <w:top w:w="80" w:type="dxa"/>
              <w:start w:w="80" w:type="dxa"/>
              <w:bottom w:w="80" w:type="dxa"/>
              <w:end w:w="80" w:type="dxa"/>
            </w:tcMar>
          </w:tcPr>
          <w:p>
            <w:pPr>
              <w:spacing w:after="20"/>
            </w:pPr>
            <w:r>
              <w:rPr>
                <w:rFonts w:ascii="Arial" w:hAnsi="Arial"/>
                <w:sz w:val="18"/>
              </w:rPr>
              <w:t>Planned</w:t>
            </w:r>
          </w:p>
        </w:tc>
      </w:tr>
    </w:tbl>
    <w:p>
      <w:pPr>
        <w:spacing w:after="20"/>
      </w:pPr>
    </w:p>
    <w:p>
      <w:pPr>
        <w:pStyle w:val="Heading2"/>
        <w:keepNext/>
        <w:spacing w:before="180" w:after="80"/>
      </w:pPr>
      <w:r>
        <w:t>4.1 Near-Term Fall 2026 Milestones</w:t>
      </w:r>
    </w:p>
    <w:p>
      <w:pPr>
        <w:pStyle w:val="ListParagraph"/>
        <w:spacing w:after="40"/>
        <w:ind w:left="259" w:hanging="173"/>
      </w:pPr>
      <w:r>
        <w:t>• Freeze the documented scope for the Requirements &amp; Design submission: chest X-ray, three controlled classes, parallel classification and report-generation branches.</w:t>
      </w:r>
    </w:p>
    <w:p>
      <w:pPr>
        <w:pStyle w:val="ListParagraph"/>
        <w:spacing w:after="40"/>
        <w:ind w:left="259" w:hanging="173"/>
      </w:pPr>
      <w:r>
        <w:t>• Keep the classification experiment and the 3-BLIP report-generation experiment clearly separated because they use different evaluation splits (210/30/60 versus 270/30).</w:t>
      </w:r>
    </w:p>
    <w:p>
      <w:pPr>
        <w:pStyle w:val="ListParagraph"/>
        <w:spacing w:after="40"/>
        <w:ind w:left="259" w:hanging="173"/>
      </w:pPr>
      <w:r>
        <w:t>• Complete and record the report-generation comparison results if the prepared fixed notebook has not yet been run to completion.</w:t>
      </w:r>
    </w:p>
    <w:p>
      <w:pPr>
        <w:pStyle w:val="ListParagraph"/>
        <w:spacing w:after="40"/>
        <w:ind w:left="259" w:hanging="173"/>
      </w:pPr>
      <w:r>
        <w:t>• Add/confirm classification evaluation beyond raw accuracy where feasible (for example precision, recall, F1 and confusion matrix) and preserve per-case predictions for analysis.</w:t>
      </w:r>
    </w:p>
    <w:p>
      <w:pPr>
        <w:pStyle w:val="ListParagraph"/>
        <w:spacing w:after="40"/>
        <w:ind w:left="259" w:hanging="173"/>
      </w:pPr>
      <w:r>
        <w:t>• Document representative failure cases, especially clinically inconsistent generated reports and disagreement between classifier and report generator.</w:t>
      </w:r>
    </w:p>
    <w:p>
      <w:pPr>
        <w:pStyle w:val="ListParagraph"/>
        <w:spacing w:after="40"/>
        <w:ind w:left="259" w:hanging="173"/>
      </w:pPr>
      <w:r>
        <w:t>• Assemble a stable integrated demonstration and repository documentation for the end-of-semester review.</w:t>
      </w:r>
    </w:p>
    <w:p>
      <w:pPr>
        <w:pStyle w:val="Heading1"/>
        <w:keepNext/>
        <w:spacing w:before="180" w:after="80"/>
      </w:pPr>
      <w:r>
        <w:t>5. Conclusion (10%)</w:t>
      </w:r>
    </w:p>
    <w:p>
      <w:pPr>
        <w:spacing w:after="100" w:line="252" w:lineRule="auto"/>
      </w:pPr>
      <w:r>
        <w:t>By the end of Fall 2026, the team expects to have a reproducible chest X-ray research pipeline and a demonstrable prototype that accepts a chest X-ray and produces two parallel AI outputs: a three-class classification result and a generated radiology report. The classification side should include the ResNet-18 and ViT-B/16 baselines, held-out evaluation, and ResNet Grad-CAM examples. The report-generation side should include the current BLIP baseline and, subject to successful completion of the prepared experiment, a controlled comparison between randomized, pretrained baseline, and fine-tuned BLIP variants on the same held-out Indiana cases.</w:t>
      </w:r>
    </w:p>
    <w:p>
      <w:pPr>
        <w:spacing w:after="100" w:line="252" w:lineRule="auto"/>
      </w:pPr>
      <w:r>
        <w:t>The end-of-semester result is expected to demonstrate technical feasibility and research findings rather than clinical readiness. The team should be able to show what the models predict, where the classifier appears to focus, how generated reports compare with reference text, and where the system fails or produces inconsistent outputs. These Fall 2026 results will form the foundation for deeper training, ablation studies, extended evaluation, integration, and final reporting in Spring 2027.</w:t>
      </w:r>
    </w:p>
    <w:sectPr w:rsidR="00F41537" w:rsidRPr="00C75CC7">
      <w:footerReference w:type="default" r:id="rId10"/>
      <w:pgSz w:w="12240" w:h="15840"/>
      <w:pgMar w:top="936" w:right="1080" w:bottom="936"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CSCI 408 — Requirements &amp; Design — Fall 2026  |  </w:t>
      <w:fldChar w:fldCharType="begin"/>
      <w:instrText xml:space="preserve"> PAGE </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4B14"/>
    <w:multiLevelType w:val="multilevel"/>
    <w:tmpl w:val="1DF82E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5516DE"/>
    <w:multiLevelType w:val="multilevel"/>
    <w:tmpl w:val="02EEE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B13DB8"/>
    <w:multiLevelType w:val="multilevel"/>
    <w:tmpl w:val="05387EB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3A266F"/>
    <w:multiLevelType w:val="multilevel"/>
    <w:tmpl w:val="77EE76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2BC2353"/>
    <w:multiLevelType w:val="hybridMultilevel"/>
    <w:tmpl w:val="D9647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235879"/>
    <w:multiLevelType w:val="multilevel"/>
    <w:tmpl w:val="DA126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E4259B"/>
    <w:multiLevelType w:val="hybridMultilevel"/>
    <w:tmpl w:val="38CA2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1B679D"/>
    <w:multiLevelType w:val="multilevel"/>
    <w:tmpl w:val="626AD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12E491A"/>
    <w:multiLevelType w:val="multilevel"/>
    <w:tmpl w:val="4DBC7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E5163C"/>
    <w:multiLevelType w:val="multilevel"/>
    <w:tmpl w:val="3B241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183415"/>
    <w:multiLevelType w:val="hybridMultilevel"/>
    <w:tmpl w:val="3FBA22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9747FD"/>
    <w:multiLevelType w:val="hybridMultilevel"/>
    <w:tmpl w:val="D700C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6110AE"/>
    <w:multiLevelType w:val="hybridMultilevel"/>
    <w:tmpl w:val="1E8E7CF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40" w:hanging="360"/>
      </w:pPr>
      <w:rPr>
        <w:rFonts w:ascii="Courier New" w:hAnsi="Courier New" w:cs="Courier New" w:hint="default"/>
      </w:rPr>
    </w:lvl>
    <w:lvl w:ilvl="2" w:tplc="04090005" w:tentative="1">
      <w:start w:val="1"/>
      <w:numFmt w:val="bullet"/>
      <w:lvlText w:val=""/>
      <w:lvlJc w:val="left"/>
      <w:pPr>
        <w:ind w:left="960" w:hanging="360"/>
      </w:pPr>
      <w:rPr>
        <w:rFonts w:ascii="Wingdings" w:hAnsi="Wingdings" w:hint="default"/>
      </w:rPr>
    </w:lvl>
    <w:lvl w:ilvl="3" w:tplc="04090001" w:tentative="1">
      <w:start w:val="1"/>
      <w:numFmt w:val="bullet"/>
      <w:lvlText w:val=""/>
      <w:lvlJc w:val="left"/>
      <w:pPr>
        <w:ind w:left="1680" w:hanging="360"/>
      </w:pPr>
      <w:rPr>
        <w:rFonts w:ascii="Symbol" w:hAnsi="Symbol" w:hint="default"/>
      </w:rPr>
    </w:lvl>
    <w:lvl w:ilvl="4" w:tplc="04090003" w:tentative="1">
      <w:start w:val="1"/>
      <w:numFmt w:val="bullet"/>
      <w:lvlText w:val="o"/>
      <w:lvlJc w:val="left"/>
      <w:pPr>
        <w:ind w:left="2400" w:hanging="360"/>
      </w:pPr>
      <w:rPr>
        <w:rFonts w:ascii="Courier New" w:hAnsi="Courier New" w:cs="Courier New" w:hint="default"/>
      </w:rPr>
    </w:lvl>
    <w:lvl w:ilvl="5" w:tplc="04090005" w:tentative="1">
      <w:start w:val="1"/>
      <w:numFmt w:val="bullet"/>
      <w:lvlText w:val=""/>
      <w:lvlJc w:val="left"/>
      <w:pPr>
        <w:ind w:left="3120" w:hanging="360"/>
      </w:pPr>
      <w:rPr>
        <w:rFonts w:ascii="Wingdings" w:hAnsi="Wingdings" w:hint="default"/>
      </w:rPr>
    </w:lvl>
    <w:lvl w:ilvl="6" w:tplc="04090001" w:tentative="1">
      <w:start w:val="1"/>
      <w:numFmt w:val="bullet"/>
      <w:lvlText w:val=""/>
      <w:lvlJc w:val="left"/>
      <w:pPr>
        <w:ind w:left="3840" w:hanging="360"/>
      </w:pPr>
      <w:rPr>
        <w:rFonts w:ascii="Symbol" w:hAnsi="Symbol" w:hint="default"/>
      </w:rPr>
    </w:lvl>
    <w:lvl w:ilvl="7" w:tplc="04090003" w:tentative="1">
      <w:start w:val="1"/>
      <w:numFmt w:val="bullet"/>
      <w:lvlText w:val="o"/>
      <w:lvlJc w:val="left"/>
      <w:pPr>
        <w:ind w:left="4560" w:hanging="360"/>
      </w:pPr>
      <w:rPr>
        <w:rFonts w:ascii="Courier New" w:hAnsi="Courier New" w:cs="Courier New" w:hint="default"/>
      </w:rPr>
    </w:lvl>
    <w:lvl w:ilvl="8" w:tplc="04090005" w:tentative="1">
      <w:start w:val="1"/>
      <w:numFmt w:val="bullet"/>
      <w:lvlText w:val=""/>
      <w:lvlJc w:val="left"/>
      <w:pPr>
        <w:ind w:left="5280" w:hanging="360"/>
      </w:pPr>
      <w:rPr>
        <w:rFonts w:ascii="Wingdings" w:hAnsi="Wingdings" w:hint="default"/>
      </w:rPr>
    </w:lvl>
  </w:abstractNum>
  <w:abstractNum w:abstractNumId="13" w15:restartNumberingAfterBreak="0">
    <w:nsid w:val="61677B6B"/>
    <w:multiLevelType w:val="hybridMultilevel"/>
    <w:tmpl w:val="BD5C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65A4596"/>
    <w:multiLevelType w:val="hybridMultilevel"/>
    <w:tmpl w:val="AEA22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FA0CF6"/>
    <w:multiLevelType w:val="hybridMultilevel"/>
    <w:tmpl w:val="C7629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9AA5C2C"/>
    <w:multiLevelType w:val="multilevel"/>
    <w:tmpl w:val="7E18F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AF974C8"/>
    <w:multiLevelType w:val="multilevel"/>
    <w:tmpl w:val="CAB04C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24608204">
    <w:abstractNumId w:val="9"/>
  </w:num>
  <w:num w:numId="2" w16cid:durableId="1928732450">
    <w:abstractNumId w:val="7"/>
  </w:num>
  <w:num w:numId="3" w16cid:durableId="1661423937">
    <w:abstractNumId w:val="5"/>
  </w:num>
  <w:num w:numId="4" w16cid:durableId="633682093">
    <w:abstractNumId w:val="17"/>
  </w:num>
  <w:num w:numId="5" w16cid:durableId="715813108">
    <w:abstractNumId w:val="16"/>
  </w:num>
  <w:num w:numId="6" w16cid:durableId="716707067">
    <w:abstractNumId w:val="8"/>
  </w:num>
  <w:num w:numId="7" w16cid:durableId="2002466934">
    <w:abstractNumId w:val="3"/>
  </w:num>
  <w:num w:numId="8" w16cid:durableId="1242328101">
    <w:abstractNumId w:val="1"/>
  </w:num>
  <w:num w:numId="9" w16cid:durableId="1366448230">
    <w:abstractNumId w:val="0"/>
  </w:num>
  <w:num w:numId="10" w16cid:durableId="833298531">
    <w:abstractNumId w:val="6"/>
  </w:num>
  <w:num w:numId="11" w16cid:durableId="802431005">
    <w:abstractNumId w:val="14"/>
  </w:num>
  <w:num w:numId="12" w16cid:durableId="726030067">
    <w:abstractNumId w:val="13"/>
  </w:num>
  <w:num w:numId="13" w16cid:durableId="1450661956">
    <w:abstractNumId w:val="12"/>
  </w:num>
  <w:num w:numId="14" w16cid:durableId="636029308">
    <w:abstractNumId w:val="10"/>
  </w:num>
  <w:num w:numId="15" w16cid:durableId="1649944362">
    <w:abstractNumId w:val="11"/>
  </w:num>
  <w:num w:numId="16" w16cid:durableId="641689980">
    <w:abstractNumId w:val="2"/>
  </w:num>
  <w:num w:numId="17" w16cid:durableId="368922772">
    <w:abstractNumId w:val="4"/>
  </w:num>
  <w:num w:numId="18" w16cid:durableId="1503928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M1MDIyNzA0Nre0NDNS0lEKTi0uzszPAymwrAUA+1s6fiwAAAA="/>
  </w:docVars>
  <w:rsids>
    <w:rsidRoot w:val="00A00CB1"/>
    <w:rsid w:val="00091529"/>
    <w:rsid w:val="00096660"/>
    <w:rsid w:val="00116A2D"/>
    <w:rsid w:val="001D68AA"/>
    <w:rsid w:val="001E51DE"/>
    <w:rsid w:val="00286C64"/>
    <w:rsid w:val="00301FD1"/>
    <w:rsid w:val="00340FF9"/>
    <w:rsid w:val="00355D3C"/>
    <w:rsid w:val="003F24F4"/>
    <w:rsid w:val="004075D0"/>
    <w:rsid w:val="00407E46"/>
    <w:rsid w:val="004473D4"/>
    <w:rsid w:val="00466967"/>
    <w:rsid w:val="00480617"/>
    <w:rsid w:val="004A6F3F"/>
    <w:rsid w:val="004B3FFD"/>
    <w:rsid w:val="004F0819"/>
    <w:rsid w:val="005049E4"/>
    <w:rsid w:val="0056733B"/>
    <w:rsid w:val="0064025F"/>
    <w:rsid w:val="006854A1"/>
    <w:rsid w:val="006A2F71"/>
    <w:rsid w:val="006D1E60"/>
    <w:rsid w:val="00714F18"/>
    <w:rsid w:val="00741D53"/>
    <w:rsid w:val="0083694E"/>
    <w:rsid w:val="00854240"/>
    <w:rsid w:val="00862D98"/>
    <w:rsid w:val="009472F1"/>
    <w:rsid w:val="0095403F"/>
    <w:rsid w:val="00A00CB1"/>
    <w:rsid w:val="00A11C2E"/>
    <w:rsid w:val="00A672FE"/>
    <w:rsid w:val="00A81DBA"/>
    <w:rsid w:val="00A871A3"/>
    <w:rsid w:val="00AA67E4"/>
    <w:rsid w:val="00AC57A8"/>
    <w:rsid w:val="00AF5239"/>
    <w:rsid w:val="00B02848"/>
    <w:rsid w:val="00B04017"/>
    <w:rsid w:val="00B213DA"/>
    <w:rsid w:val="00B82D8E"/>
    <w:rsid w:val="00BA220F"/>
    <w:rsid w:val="00BF5B4E"/>
    <w:rsid w:val="00C16E74"/>
    <w:rsid w:val="00C422BC"/>
    <w:rsid w:val="00C50B46"/>
    <w:rsid w:val="00C55085"/>
    <w:rsid w:val="00C56171"/>
    <w:rsid w:val="00C75CC7"/>
    <w:rsid w:val="00C76208"/>
    <w:rsid w:val="00C83C82"/>
    <w:rsid w:val="00C95638"/>
    <w:rsid w:val="00CD0BB1"/>
    <w:rsid w:val="00D778C8"/>
    <w:rsid w:val="00DB18FB"/>
    <w:rsid w:val="00DD0E83"/>
    <w:rsid w:val="00DE1E90"/>
    <w:rsid w:val="00E16A99"/>
    <w:rsid w:val="00E60D0B"/>
    <w:rsid w:val="00EB3B5B"/>
    <w:rsid w:val="00F27FDE"/>
    <w:rsid w:val="00F32455"/>
    <w:rsid w:val="00F366AA"/>
    <w:rsid w:val="00F41537"/>
    <w:rsid w:val="00F6245B"/>
    <w:rsid w:val="00F9604F"/>
    <w:rsid w:val="00FE387C"/>
    <w:rsid w:val="00FE3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52823"/>
  <w15:docId w15:val="{F9126468-E6F3-4E18-80BB-CEAD48534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eastAsia="Arial"/>
      <w:sz w:val="21"/>
    </w:rPr>
  </w:style>
  <w:style w:type="paragraph" w:styleId="Heading1">
    <w:name w:val="heading 1"/>
    <w:basedOn w:val="Normal"/>
    <w:next w:val="Normal"/>
    <w:uiPriority w:val="9"/>
    <w:qFormat/>
    <w:pPr>
      <w:keepNext/>
      <w:keepLines/>
      <w:spacing w:before="400" w:after="120"/>
      <w:outlineLvl w:val="0"/>
    </w:pPr>
    <w:rPr>
      <w:rFonts w:ascii="Arial" w:hAnsi="Arial" w:eastAsia="Arial"/>
      <w:b/>
      <w:sz w:val="28"/>
      <w:szCs w:val="40"/>
    </w:rPr>
  </w:style>
  <w:style w:type="paragraph" w:styleId="Heading2">
    <w:name w:val="heading 2"/>
    <w:basedOn w:val="Normal"/>
    <w:next w:val="Normal"/>
    <w:uiPriority w:val="9"/>
    <w:semiHidden/>
    <w:unhideWhenUsed/>
    <w:qFormat/>
    <w:pPr>
      <w:keepNext/>
      <w:keepLines/>
      <w:spacing w:before="360" w:after="120"/>
      <w:outlineLvl w:val="1"/>
    </w:pPr>
    <w:rPr>
      <w:rFonts w:ascii="Arial" w:hAnsi="Arial" w:eastAsia="Arial"/>
      <w:b/>
      <w:sz w:val="24"/>
      <w:szCs w:val="32"/>
    </w:rPr>
  </w:style>
  <w:style w:type="paragraph" w:styleId="Heading3">
    <w:name w:val="heading 3"/>
    <w:basedOn w:val="Normal"/>
    <w:next w:val="Normal"/>
    <w:uiPriority w:val="9"/>
    <w:semiHidden/>
    <w:unhideWhenUsed/>
    <w:qFormat/>
    <w:pPr>
      <w:keepNext/>
      <w:keepLines/>
      <w:spacing w:before="320" w:after="80"/>
      <w:outlineLvl w:val="2"/>
    </w:pPr>
    <w:rPr>
      <w:rFonts w:ascii="Arial" w:hAnsi="Arial" w:eastAsia="Arial"/>
      <w:b/>
      <w:color w:val="434343"/>
      <w:sz w:val="22"/>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rFonts w:ascii="Arial" w:hAnsi="Arial" w:eastAsia="Arial"/>
      <w:b/>
      <w:sz w:val="36"/>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4473D4"/>
    <w:pPr>
      <w:ind w:left="720"/>
    </w:pPr>
  </w:style>
  <w:style w:type="paragraph" w:styleId="NormalWeb">
    <w:name w:val="Normal (Web)"/>
    <w:basedOn w:val="Normal"/>
    <w:uiPriority w:val="99"/>
    <w:unhideWhenUsed/>
    <w:rsid w:val="00116A2D"/>
    <w:pPr>
      <w:spacing w:before="100" w:beforeAutospacing="1" w:after="100" w:afterAutospacing="1" w:line="240" w:lineRule="auto"/>
      <w:contextualSpacing w:val="0"/>
    </w:pPr>
    <w:rPr>
      <w:rFonts w:ascii="Times New Roman" w:eastAsia="Times New Roman" w:hAnsi="Times New Roman" w:cs="Times New Roman"/>
      <w:sz w:val="24"/>
      <w:szCs w:val="24"/>
      <w:lang w:val="en-GB" w:eastAsia="ko-KR"/>
    </w:rPr>
  </w:style>
  <w:style w:type="character" w:styleId="Hyperlink">
    <w:name w:val="Hyperlink"/>
    <w:basedOn w:val="DefaultParagraphFont"/>
    <w:uiPriority w:val="99"/>
    <w:unhideWhenUsed/>
    <w:rsid w:val="00A11C2E"/>
    <w:rPr>
      <w:color w:val="0000FF" w:themeColor="hyperlink"/>
      <w:u w:val="single"/>
    </w:rPr>
  </w:style>
  <w:style w:type="character" w:styleId="UnresolvedMention">
    <w:name w:val="Unresolved Mention"/>
    <w:basedOn w:val="DefaultParagraphFont"/>
    <w:uiPriority w:val="99"/>
    <w:semiHidden/>
    <w:unhideWhenUsed/>
    <w:rsid w:val="00C95638"/>
    <w:rPr>
      <w:color w:val="605E5C"/>
      <w:shd w:val="clear" w:color="auto" w:fill="E1DFDD"/>
    </w:rPr>
  </w:style>
  <w:style w:type="character" w:styleId="FollowedHyperlink">
    <w:name w:val="FollowedHyperlink"/>
    <w:basedOn w:val="DefaultParagraphFont"/>
    <w:uiPriority w:val="99"/>
    <w:semiHidden/>
    <w:unhideWhenUsed/>
    <w:rsid w:val="00480617"/>
    <w:rPr>
      <w:color w:val="800080" w:themeColor="followedHyperlink"/>
      <w:u w:val="single"/>
    </w:rPr>
  </w:style>
  <w:style w:type="paragraph" w:customStyle="1" w:styleId="SmallNote">
    <w:name w:val="Small Note"/>
    <w:rPr>
      <w:rFonts w:ascii="Arial" w:hAnsi="Arial"/>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8214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C4B5AA-E828-4FBF-BC48-0BAC00B7F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175</Words>
  <Characters>1003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enver ever</dc:creator>
  <cp:lastModifiedBy>Anh Tu Nguyen</cp:lastModifiedBy>
  <cp:revision>9</cp:revision>
  <dcterms:created xsi:type="dcterms:W3CDTF">2023-08-22T06:56:00Z</dcterms:created>
  <dcterms:modified xsi:type="dcterms:W3CDTF">2026-09-29T10:38:00Z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0362bbfbf89ead36dd69fef64d05717663daa928518e41eb7c4d2a0a0efb7c81</vt:lpwstr>
  </property>
</Properties>
</file>