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1 — Diagnostic Risk-Constrained Intermediate Feature Compression</w:t>
      </w:r>
    </w:p>
    <w:p>
      <w:pPr>
        <w:pStyle w:val="Subtitle"/>
      </w:pPr>
      <w:r>
        <w:t>MICCAI 2027 research brief  •  Student implementation instructions  •  28 October 2026</w:t>
      </w:r>
    </w:p>
    <w:p>
      <w:pPr>
        <w:pStyle w:val="Heading1"/>
      </w:pPr>
      <w:r>
        <w:t>1. Scientific question and hypothesis</w:t>
      </w:r>
    </w:p>
    <w:p>
      <w:r>
        <w:t>At a matched transmitted bitrate, risk-aware compression will better preserve small-lesion sensitivity and diagnostic discrimination than reconstruction-only bottlenecks. This is a testable hypothesis, not an established result.</w:t>
      </w:r>
    </w:p>
    <w:p>
      <w:pPr>
        <w:pStyle w:val="Heading1"/>
      </w:pPr>
      <w:r>
        <w:t>2. System diagram (implementation order)</w:t>
      </w:r>
    </w:p>
    <w:p>
      <w:r>
        <w:t>CXR → frozen/trained backbone E → split feature F → quantized encoder C → bitstream → decoder D → downstream network H → disease probabilities. A separate reference teacher predicts from the uncompressed F. Optional annotated lesions provide a diagnostic preservation signal.</w:t>
      </w:r>
    </w:p>
    <w:p>
      <w:pPr>
        <w:pStyle w:val="Heading1"/>
      </w:pPr>
      <w:r>
        <w:t>3. Shared experimental rules</w:t>
      </w:r>
    </w:p>
    <w:p>
      <w:pPr>
        <w:pStyle w:val="Heading2"/>
      </w:pPr>
      <w:r>
        <w:t>Objective and controlled comparison</w:t>
      </w:r>
    </w:p>
    <w:p>
      <w:r>
        <w:t>All methods must use the same patient-level splits, image preprocessing, pretrained encoder checkpoint, downstream head, bit budget, and training schedule. Report mean ± standard deviation over three random seeds. Select hyperparameters on validation data only. Never tune on the test set.</w:t>
      </w:r>
    </w:p>
    <w:p>
      <w:pPr>
        <w:pStyle w:val="Heading2"/>
      </w:pPr>
      <w:r>
        <w:t>Datasets and leakage controls</w:t>
      </w:r>
    </w:p>
    <w:p>
      <w:r>
        <w:t>Start with a public CXR dataset providing image-level disease labels (CheXpert or MIMIC-CXR-JPG, subject to data-use approval). Use VinDr-CXR for bounding-box localization and, if feasible, CheXlocalize for pixel-wise localization evaluation. Do not pool patients across train/validation/test. Explicitly document uncertainty label handling, prevalence and patient identifiers. A clinical collaborator must review any claims of clinical utility.</w:t>
      </w:r>
    </w:p>
    <w:p>
      <w:pPr>
        <w:pStyle w:val="Heading2"/>
      </w:pPr>
      <w:r>
        <w:t>Baseline stack</w:t>
      </w:r>
    </w:p>
    <w:p>
      <w:r>
        <w:t>Implement a fixed DenseNet-121 classifier and optionally a ViT-B/16 encoder. Extract features at two or three candidate split points. Evaluate: uncompressed FP16 transmission, uniform 8-/4-bit quantization, PCA or linear projection, and a learned bottleneck encoder-decoder. Train or recalibrate the downstream classifier consistently. Record feature tensor shape, serialized message length in bytes, compressor parameters, encoding/decoding wall-clock time and AUROC.</w:t>
      </w:r>
    </w:p>
    <w:p>
      <w:pPr>
        <w:pStyle w:val="Heading2"/>
      </w:pPr>
      <w:r>
        <w:t>Rate accounting</w:t>
      </w:r>
    </w:p>
    <w:p>
      <w:r>
        <w:t>For every image, measure actual serialized bytes after entropy coding, plus metadata, masks, routing decisions and headers. Rate is 8 × transmitted bytes per image; compare at matched bits/image (or bits/pixel for fixed image dimensions). Do NOT claim compression solely from latent dimensionality. State whether transport protocol overhead is excluded and measure it separately in the deployment experiment.</w:t>
      </w:r>
    </w:p>
    <w:p>
      <w:pPr>
        <w:pStyle w:val="Heading2"/>
      </w:pPr>
      <w:r>
        <w:t>Statistics</w:t>
      </w:r>
    </w:p>
    <w:p>
      <w:r>
        <w:t>Report per-disease AUROC with bootstrap 95% confidence intervals clustered by patient; sensitivity at a prespecified specificity (e.g., 90%) and macro AUROC. For paired comparisons use paired patient-level bootstrap intervals. Correct for multiple endpoints or designate one primary endpoint. Give all absolute differences, not only relative improvements.</w:t>
      </w:r>
    </w:p>
    <w:p>
      <w:pPr>
        <w:pStyle w:val="Heading2"/>
      </w:pPr>
      <w:r>
        <w:t>Reproducibility</w:t>
      </w:r>
    </w:p>
    <w:p>
      <w:r>
        <w:t>Track dataset manifests, model checkpoint hashes, environment.yml/requirements.txt, seeds, hardware, exact preprocessing, experiment configuration files and evaluation scripts. Save predictions and per-image byte counts. Produce one-click runs for the base classifier, codec baselines and proposed approach.</w:t>
      </w:r>
    </w:p>
    <w:p>
      <w:pPr>
        <w:pStyle w:val="Heading1"/>
      </w:pPr>
      <w:r>
        <w:t>4. Technical work packages</w:t>
      </w:r>
    </w:p>
    <w:p>
      <w:pPr>
        <w:pStyle w:val="Heading2"/>
      </w:pPr>
      <w:r>
        <w:t>Stage 1: reference and probes</w:t>
      </w:r>
    </w:p>
    <w:p>
      <w:r>
        <w:t>Train the uncompressed CXR diagnosis baseline; pick 2–3 split layers and evaluate sensitivity to uniform 8-, 6-, 4- and 2-bit quantization before building a new codec.</w:t>
      </w:r>
    </w:p>
    <w:p>
      <w:pPr>
        <w:pStyle w:val="Heading2"/>
      </w:pPr>
      <w:r>
        <w:t>Stage 2: learned bottleneck</w:t>
      </w:r>
    </w:p>
    <w:p>
      <w:r>
        <w:t>Build compressor C using 1×1 convolutions or token projections, quantization with a straight-through estimator, an entropy model P(z), and decoder D. Optimize L = L_cls + λ_rate R + λ_rec ||F − F_hat||². Sweep λ_rate rather than arbitrarily selecting latent dimensions.</w:t>
      </w:r>
    </w:p>
    <w:p>
      <w:pPr>
        <w:pStyle w:val="Heading2"/>
      </w:pPr>
      <w:r>
        <w:t>Stage 3: diagnostic-risk loss</w:t>
      </w:r>
    </w:p>
    <w:p>
      <w:r>
        <w:t>Replace feature reconstruction emphasis with L = L_cls + λR + αL_lesion + βL_teacher. For image labels, L_cls is weighted BCE / focal BCE; for annotated pathology boxes, L_lesion can be ROI feature consistency or bounding-box-weighted student/teacher response consistency. L_teacher is KL divergence or temperature-scaled logit distillation between compressed and uncompressed predictions.</w:t>
      </w:r>
    </w:p>
    <w:p>
      <w:pPr>
        <w:pStyle w:val="Heading2"/>
      </w:pPr>
      <w:r>
        <w:t>Stage 4: risk weighting</w:t>
      </w:r>
    </w:p>
    <w:p>
      <w:r>
        <w:t>Estimate risk weights only from training labels and validation errors. Predefine lesion-size strata using annotated box area fraction (&lt;1%, 1–5%, &gt;5% is a provisional stratification; adjust using dataset quantiles and report final thresholds). Avoid using test ground-truth boxes to drive the compressor at inference.</w:t>
      </w:r>
    </w:p>
    <w:p>
      <w:pPr>
        <w:pStyle w:val="Heading2"/>
      </w:pPr>
      <w:r>
        <w:t>Stage 5: end-to-end fine-tuning</w:t>
      </w:r>
    </w:p>
    <w:p>
      <w:r>
        <w:t>Initially freeze E and train C,D,H. Then optionally fine-tune the last encoder block at a smaller learning rate. Compare both protocols to ensure apparent gains are not caused only by additional trainable parameters.</w:t>
      </w:r>
    </w:p>
    <w:p>
      <w:pPr>
        <w:pStyle w:val="Heading1"/>
      </w:pPr>
      <w:r>
        <w:t>5. Controlled ablation experiments</w:t>
      </w:r>
    </w:p>
    <w:p>
      <w:pPr>
        <w:pStyle w:val="ListBullet"/>
      </w:pPr>
      <w:r>
        <w:t>Remove lesion loss while keeping the identical codec and compute budget.</w:t>
      </w:r>
    </w:p>
    <w:p>
      <w:pPr>
        <w:pStyle w:val="ListBullet"/>
      </w:pPr>
      <w:r>
        <w:t>Remove teacher consistency; compare feature MSE versus logit distillation.</w:t>
      </w:r>
    </w:p>
    <w:p>
      <w:pPr>
        <w:pStyle w:val="ListBullet"/>
      </w:pPr>
      <w:r>
        <w:t>Compare frozen versus partially trainable encoder.</w:t>
      </w:r>
    </w:p>
    <w:p>
      <w:pPr>
        <w:pStyle w:val="ListBullet"/>
      </w:pPr>
      <w:r>
        <w:t>Compare with versus without inverse-prevalence class weighting.</w:t>
      </w:r>
    </w:p>
    <w:p>
      <w:pPr>
        <w:pStyle w:val="ListBullet"/>
      </w:pPr>
      <w:r>
        <w:t>Evaluate each split point and each bitrate on the exact same patient set.</w:t>
      </w:r>
    </w:p>
    <w:p>
      <w:pPr>
        <w:pStyle w:val="Heading1"/>
      </w:pPr>
      <w:r>
        <w:t>6. Tables and figures students must submit</w:t>
      </w:r>
    </w:p>
    <w:p>
      <w:pPr>
        <w:pStyle w:val="ListBullet"/>
      </w:pPr>
      <w:r>
        <w:t>Rate–AUROC Pareto curves; one curve for each baseline and proposal.</w:t>
      </w:r>
    </w:p>
    <w:p>
      <w:pPr>
        <w:pStyle w:val="ListBullet"/>
      </w:pPr>
      <w:r>
        <w:t>Small-lesion sensitivity at fixed specificity versus bitrate, with patient-bootstrap intervals.</w:t>
      </w:r>
    </w:p>
    <w:p>
      <w:pPr>
        <w:pStyle w:val="ListBullet"/>
      </w:pPr>
      <w:r>
        <w:t>Per-disease AUROC and localization agreement before/after compression.</w:t>
      </w:r>
    </w:p>
    <w:p>
      <w:pPr>
        <w:pStyle w:val="ListBullet"/>
      </w:pPr>
      <w:r>
        <w:t>Qualitative examples of matched-bitrate false negatives with annotated boxes (never display identifiable metadata).</w:t>
      </w:r>
    </w:p>
    <w:p>
      <w:pPr>
        <w:pStyle w:val="Heading1"/>
      </w:pPr>
      <w:r>
        <w:t>7. Standard experiment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Configuration</w:t>
            </w:r>
          </w:p>
        </w:tc>
        <w:tc>
          <w:tcPr>
            <w:tcW w:type="dxa" w:w="2469"/>
          </w:tcPr>
          <w:p>
            <w:r>
              <w:t>Bit budget</w:t>
            </w:r>
          </w:p>
        </w:tc>
        <w:tc>
          <w:tcPr>
            <w:tcW w:type="dxa" w:w="2469"/>
          </w:tcPr>
          <w:p>
            <w:r>
              <w:t>Primary metric</w:t>
            </w:r>
          </w:p>
        </w:tc>
        <w:tc>
          <w:tcPr>
            <w:tcW w:type="dxa" w:w="2469"/>
          </w:tcPr>
          <w:p>
            <w:r>
              <w:t>Secondary metric</w:t>
            </w:r>
          </w:p>
        </w:tc>
      </w:tr>
      <w:tr>
        <w:tc>
          <w:tcPr>
            <w:tcW w:type="dxa" w:w="2469"/>
          </w:tcPr>
          <w:p>
            <w:r>
              <w:t>Uncompressed FP16</w:t>
            </w:r>
          </w:p>
        </w:tc>
        <w:tc>
          <w:tcPr>
            <w:tcW w:type="dxa" w:w="2469"/>
          </w:tcPr>
          <w:p>
            <w:r>
              <w:t>100% reference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Sensitivity @ 90% specificity</w:t>
            </w:r>
          </w:p>
        </w:tc>
      </w:tr>
      <w:tr>
        <w:tc>
          <w:tcPr>
            <w:tcW w:type="dxa" w:w="2469"/>
          </w:tcPr>
          <w:p>
            <w:r>
              <w:t>Uniform quantization</w:t>
            </w:r>
          </w:p>
        </w:tc>
        <w:tc>
          <w:tcPr>
            <w:tcW w:type="dxa" w:w="2469"/>
          </w:tcPr>
          <w:p>
            <w:r>
              <w:t>50/25/10/5%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Actual bytes/image</w:t>
            </w:r>
          </w:p>
        </w:tc>
      </w:tr>
      <w:tr>
        <w:tc>
          <w:tcPr>
            <w:tcW w:type="dxa" w:w="2469"/>
          </w:tcPr>
          <w:p>
            <w:r>
              <w:t>Learned bottleneck</w:t>
            </w:r>
          </w:p>
        </w:tc>
        <w:tc>
          <w:tcPr>
            <w:tcW w:type="dxa" w:w="2469"/>
          </w:tcPr>
          <w:p>
            <w:r>
              <w:t>Matched achieved rates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Latency and ROI retention</w:t>
            </w:r>
          </w:p>
        </w:tc>
      </w:tr>
      <w:tr>
        <w:tc>
          <w:tcPr>
            <w:tcW w:type="dxa" w:w="2469"/>
          </w:tcPr>
          <w:p>
            <w:r>
              <w:t>Proposed method</w:t>
            </w:r>
          </w:p>
        </w:tc>
        <w:tc>
          <w:tcPr>
            <w:tcW w:type="dxa" w:w="2469"/>
          </w:tcPr>
          <w:p>
            <w:r>
              <w:t>Matched achieved rates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Small-lesion sensitivity</w:t>
            </w:r>
          </w:p>
        </w:tc>
      </w:tr>
    </w:tbl>
    <w:p>
      <w:pPr>
        <w:pStyle w:val="Heading1"/>
      </w:pPr>
      <w:r>
        <w:t>8. Student deliverables and checkpoints</w:t>
      </w:r>
    </w:p>
    <w:p>
      <w:pPr>
        <w:pStyle w:val="ListBullet"/>
      </w:pPr>
      <w:r>
        <w:t>Week 1: dataset audit, patient-split manifest, uncertainty-label policy, trained uncompressed baseline.</w:t>
      </w:r>
    </w:p>
    <w:p>
      <w:pPr>
        <w:pStyle w:val="ListBullet"/>
      </w:pPr>
      <w:r>
        <w:t>Week 2: feature shape/size profiling and simple quantization at 2–3 split layers.</w:t>
      </w:r>
    </w:p>
    <w:p>
      <w:pPr>
        <w:pStyle w:val="ListBullet"/>
      </w:pPr>
      <w:r>
        <w:t>Weeks 3–4: learned codec and fully reproducible matched-rate baselines.</w:t>
      </w:r>
    </w:p>
    <w:p>
      <w:pPr>
        <w:pStyle w:val="ListBullet"/>
      </w:pPr>
      <w:r>
        <w:t>Weeks 5–6: proposed method, training logs, rate accounting, ablations.</w:t>
      </w:r>
    </w:p>
    <w:p>
      <w:pPr>
        <w:pStyle w:val="ListBullet"/>
      </w:pPr>
      <w:r>
        <w:t>Weeks 7–8: external or localization evaluation, CIs, failure cases, clean figures and draft Methods/Results.</w:t>
      </w:r>
    </w:p>
    <w:p>
      <w:pPr>
        <w:pStyle w:val="Heading1"/>
      </w:pPr>
      <w:r>
        <w:t>9. Minimum evidence to advance toward a paper</w:t>
      </w:r>
    </w:p>
    <w:p>
      <w:r>
        <w:t>Proceed to manuscript development only if the new diagnostic loss improves the primary medical endpoint at two or more matched bitrates and the confidence interval excludes a clinically negligible improvement threshold agreed before test evaluation. If gains disappear after controlling for training budget, report this as a negative finding.</w:t>
      </w:r>
    </w:p>
    <w:p>
      <w:pPr>
        <w:pStyle w:val="Heading1"/>
      </w:pPr>
      <w:r>
        <w:t>10. Reporting checklist</w:t>
      </w:r>
    </w:p>
    <w:p>
      <w:pPr>
        <w:pStyle w:val="ListBullet"/>
      </w:pPr>
      <w:r>
        <w:t>Provide configuration YAML for each experiment, model/dataset hashes and exact random seeds.</w:t>
      </w:r>
    </w:p>
    <w:p>
      <w:pPr>
        <w:pStyle w:val="ListBullet"/>
      </w:pPr>
      <w:r>
        <w:t>Present both achieved rate and target rate; state if encoded bitstream was actually produced.</w:t>
      </w:r>
    </w:p>
    <w:p>
      <w:pPr>
        <w:pStyle w:val="ListBullet"/>
      </w:pPr>
      <w:r>
        <w:t>Include uncertainty intervals, class prevalence and pathology-specific metrics.</w:t>
      </w:r>
    </w:p>
    <w:p>
      <w:pPr>
        <w:pStyle w:val="ListBullet"/>
      </w:pPr>
      <w:r>
        <w:t>Distinguish model parameter count, peak RAM, transferred feature bytes and total latency; these are different quantities.</w:t>
      </w:r>
    </w:p>
    <w:p>
      <w:pPr>
        <w:pStyle w:val="ListBullet"/>
      </w:pPr>
      <w:r>
        <w:t>State failure modes, limitations, potential clinical bias and non-clinical/research-only intended use.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Research design draft • For student training and experimental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5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25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25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