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2 — Uncertainty-Guided Spatial/Token Bit Allocation</w:t>
      </w:r>
    </w:p>
    <w:p>
      <w:pPr>
        <w:pStyle w:val="Subtitle"/>
      </w:pPr>
      <w:r>
        <w:t>MICCAI 2027 research brief  •  Student implementation instructions  •  28 October 2026</w:t>
      </w:r>
    </w:p>
    <w:p>
      <w:pPr>
        <w:pStyle w:val="Heading1"/>
      </w:pPr>
      <w:r>
        <w:t>1. Scientific question and hypothesis</w:t>
      </w:r>
    </w:p>
    <w:p>
      <w:r>
        <w:t>Allocating extra bits to regions that are diagnostically uncertain, as well as likely pathological, can outperform saliency-only allocation without increasing total transmitted bits. Uncertainty can also reflect artifacts or domain shift, so this must be tested.</w:t>
      </w:r>
    </w:p>
    <w:p>
      <w:pPr>
        <w:pStyle w:val="Heading1"/>
      </w:pPr>
      <w:r>
        <w:t>2. System diagram (implementation order)</w:t>
      </w:r>
    </w:p>
    <w:p>
      <w:r>
        <w:t>Image → encoder E → feature grid/tokens F; lightweight importance head S(F) and uncertainty head U(F) → allocator A(S,U,B) → per-region quantization/latent channels → entropy coding → decoder + downstream diagnosis head. The encoder, allocator and codec must be measured separately for computational cost.</w:t>
      </w:r>
    </w:p>
    <w:p>
      <w:pPr>
        <w:pStyle w:val="Heading1"/>
      </w:pPr>
      <w:r>
        <w:t>3. Shared experimental rules</w:t>
      </w:r>
    </w:p>
    <w:p>
      <w:pPr>
        <w:pStyle w:val="Heading2"/>
      </w:pPr>
      <w:r>
        <w:t>Objective and controlled comparison</w:t>
      </w:r>
    </w:p>
    <w:p>
      <w:r>
        <w:t>All methods must use the same patient-level splits, image preprocessing, pretrained encoder checkpoint, downstream head, bit budget, and training schedule. Report mean ± standard deviation over three random seeds. Select hyperparameters on validation data only. Never tune on the test set.</w:t>
      </w:r>
    </w:p>
    <w:p>
      <w:pPr>
        <w:pStyle w:val="Heading2"/>
      </w:pPr>
      <w:r>
        <w:t>Datasets and leakage controls</w:t>
      </w:r>
    </w:p>
    <w:p>
      <w:r>
        <w:t>Start with a public CXR dataset providing image-level disease labels (CheXpert or MIMIC-CXR-JPG, subject to data-use approval). Use VinDr-CXR for bounding-box localization and, if feasible, CheXlocalize for pixel-wise localization evaluation. Do not pool patients across train/validation/test. Explicitly document uncertainty label handling, prevalence and patient identifiers. A clinical collaborator must review any claims of clinical utility.</w:t>
      </w:r>
    </w:p>
    <w:p>
      <w:pPr>
        <w:pStyle w:val="Heading2"/>
      </w:pPr>
      <w:r>
        <w:t>Baseline stack</w:t>
      </w:r>
    </w:p>
    <w:p>
      <w:r>
        <w:t>Implement a fixed DenseNet-121 classifier and optionally a ViT-B/16 encoder. Extract features at two or three candidate split points. Evaluate: uncompressed FP16 transmission, uniform 8-/4-bit quantization, PCA or linear projection, and a learned bottleneck encoder-decoder. Train or recalibrate the downstream classifier consistently. Record feature tensor shape, serialized message length in bytes, compressor parameters, encoding/decoding wall-clock time and AUROC.</w:t>
      </w:r>
    </w:p>
    <w:p>
      <w:pPr>
        <w:pStyle w:val="Heading2"/>
      </w:pPr>
      <w:r>
        <w:t>Rate accounting</w:t>
      </w:r>
    </w:p>
    <w:p>
      <w:r>
        <w:t>For every image, measure actual serialized bytes after entropy coding, plus metadata, masks, routing decisions and headers. Rate is 8 × transmitted bytes per image; compare at matched bits/image (or bits/pixel for fixed image dimensions). Do NOT claim compression solely from latent dimensionality. State whether transport protocol overhead is excluded and measure it separately in the deployment experiment.</w:t>
      </w:r>
    </w:p>
    <w:p>
      <w:pPr>
        <w:pStyle w:val="Heading2"/>
      </w:pPr>
      <w:r>
        <w:t>Statistics</w:t>
      </w:r>
    </w:p>
    <w:p>
      <w:r>
        <w:t>Report per-disease AUROC with bootstrap 95% confidence intervals clustered by patient; sensitivity at a prespecified specificity (e.g., 90%) and macro AUROC. For paired comparisons use paired patient-level bootstrap intervals. Correct for multiple endpoints or designate one primary endpoint. Give all absolute differences, not only relative improvements.</w:t>
      </w:r>
    </w:p>
    <w:p>
      <w:pPr>
        <w:pStyle w:val="Heading2"/>
      </w:pPr>
      <w:r>
        <w:t>Reproducibility</w:t>
      </w:r>
    </w:p>
    <w:p>
      <w:r>
        <w:t>Track dataset manifests, model checkpoint hashes, environment.yml/requirements.txt, seeds, hardware, exact preprocessing, experiment configuration files and evaluation scripts. Save predictions and per-image byte counts. Produce one-click runs for the base classifier, codec baselines and proposed approach.</w:t>
      </w:r>
    </w:p>
    <w:p>
      <w:pPr>
        <w:pStyle w:val="Heading1"/>
      </w:pPr>
      <w:r>
        <w:t>4. Technical work packages</w:t>
      </w:r>
    </w:p>
    <w:p>
      <w:pPr>
        <w:pStyle w:val="Heading2"/>
      </w:pPr>
      <w:r>
        <w:t>Stage 1: define uncertainty</w:t>
      </w:r>
    </w:p>
    <w:p>
      <w:r>
        <w:t>Start with MC-dropout or a 3-model ensemble teacher to compute predictive entropy or variance; optionally distill uncertainty into a small head for inference. Separate aleatoric from epistemic signals only if estimators are calibrated and experimentally justified.</w:t>
      </w:r>
    </w:p>
    <w:p>
      <w:pPr>
        <w:pStyle w:val="Heading2"/>
      </w:pPr>
      <w:r>
        <w:t>Stage 2: local importance</w:t>
      </w:r>
    </w:p>
    <w:p>
      <w:r>
        <w:t>Build a patch-level importance target using annotated lesions on training data where available, or teacher-derived feature perturbation/gradient sensitivity. Never use ground-truth lesion annotations at inference. Normalize per-image saliency for reproducibility.</w:t>
      </w:r>
    </w:p>
    <w:p>
      <w:pPr>
        <w:pStyle w:val="Heading2"/>
      </w:pPr>
      <w:r>
        <w:t>Stage 3: differentiable allocator</w:t>
      </w:r>
    </w:p>
    <w:p>
      <w:r>
        <w:t>For each patch i define score s_i = a × importance_i + b × uncertainty_i. Produce a bit allocation q_i in {2,4,8} or soft mixture; enforce sum_i estimated_bits(q_i) ≤ B using Lagrangian penalty or constrained top-k allocation. Account for the cost of transmitting allocation maps.</w:t>
      </w:r>
    </w:p>
    <w:p>
      <w:pPr>
        <w:pStyle w:val="Heading2"/>
      </w:pPr>
      <w:r>
        <w:t>Stage 4: calibrated risk handling</w:t>
      </w:r>
    </w:p>
    <w:p>
      <w:r>
        <w:t>Measure whether high uncertainty is driven by motion/noise or out-of-distribution cases. Use reliability diagrams, expected calibration error and per-pathology subgroup analysis. Compare predictive entropy versus ensemble disagreement, and learn a small gate if uncertainty allocation harms easy examples.</w:t>
      </w:r>
    </w:p>
    <w:p>
      <w:pPr>
        <w:pStyle w:val="Heading2"/>
      </w:pPr>
      <w:r>
        <w:t>Stage 5: train/evaluate</w:t>
      </w:r>
    </w:p>
    <w:p>
      <w:r>
        <w:t>Pretrain encoder + diagnosis head; fix it to fit codec and allocation. Compare uniform quantization, random allocation, saliency-only, uncertainty-only, saliency+uncertainty at identical true byte counts. Repeat on a second dataset without retraining allocator as an external-shift test.</w:t>
      </w:r>
    </w:p>
    <w:p>
      <w:pPr>
        <w:pStyle w:val="Heading1"/>
      </w:pPr>
      <w:r>
        <w:t>5. Controlled ablation experiments</w:t>
      </w:r>
    </w:p>
    <w:p>
      <w:pPr>
        <w:pStyle w:val="ListBullet"/>
      </w:pPr>
      <w:r>
        <w:t>Saliency only vs uncertainty only vs combined allocation.</w:t>
      </w:r>
    </w:p>
    <w:p>
      <w:pPr>
        <w:pStyle w:val="ListBullet"/>
      </w:pPr>
      <w:r>
        <w:t>Predictive entropy vs ensemble variance vs MC-dropout variance.</w:t>
      </w:r>
    </w:p>
    <w:p>
      <w:pPr>
        <w:pStyle w:val="ListBullet"/>
      </w:pPr>
      <w:r>
        <w:t>Hard vs soft allocation and allocation-header overhead.</w:t>
      </w:r>
    </w:p>
    <w:p>
      <w:pPr>
        <w:pStyle w:val="ListBullet"/>
      </w:pPr>
      <w:r>
        <w:t>Teacher-generated versus student-predicted uncertainty; report runtime cost.</w:t>
      </w:r>
    </w:p>
    <w:p>
      <w:pPr>
        <w:pStyle w:val="ListBullet"/>
      </w:pPr>
      <w:r>
        <w:t>Under distribution shift and clean versus noisy subsets.</w:t>
      </w:r>
    </w:p>
    <w:p>
      <w:pPr>
        <w:pStyle w:val="Heading1"/>
      </w:pPr>
      <w:r>
        <w:t>6. Tables and figures students must submit</w:t>
      </w:r>
    </w:p>
    <w:p>
      <w:pPr>
        <w:pStyle w:val="ListBullet"/>
      </w:pPr>
      <w:r>
        <w:t>Spatial bit-allocation heatmaps alongside expert lesion boxes.</w:t>
      </w:r>
    </w:p>
    <w:p>
      <w:pPr>
        <w:pStyle w:val="ListBullet"/>
      </w:pPr>
      <w:r>
        <w:t>Matched-rate AUROC and sensitivity curves for allocation methods.</w:t>
      </w:r>
    </w:p>
    <w:p>
      <w:pPr>
        <w:pStyle w:val="ListBullet"/>
      </w:pPr>
      <w:r>
        <w:t>Calibration and failure analyses on high-uncertainty images.</w:t>
      </w:r>
    </w:p>
    <w:p>
      <w:pPr>
        <w:pStyle w:val="ListBullet"/>
      </w:pPr>
      <w:r>
        <w:t>Per-image allocation overhead, encoder latency, peak GPU memory, and actual transmission size.</w:t>
      </w:r>
    </w:p>
    <w:p>
      <w:pPr>
        <w:pStyle w:val="Heading1"/>
      </w:pPr>
      <w:r>
        <w:t>7. Standard experiment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Configuration</w:t>
            </w:r>
          </w:p>
        </w:tc>
        <w:tc>
          <w:tcPr>
            <w:tcW w:type="dxa" w:w="2469"/>
          </w:tcPr>
          <w:p>
            <w:r>
              <w:t>Bit budget</w:t>
            </w:r>
          </w:p>
        </w:tc>
        <w:tc>
          <w:tcPr>
            <w:tcW w:type="dxa" w:w="2469"/>
          </w:tcPr>
          <w:p>
            <w:r>
              <w:t>Primary metric</w:t>
            </w:r>
          </w:p>
        </w:tc>
        <w:tc>
          <w:tcPr>
            <w:tcW w:type="dxa" w:w="2469"/>
          </w:tcPr>
          <w:p>
            <w:r>
              <w:t>Secondary metric</w:t>
            </w:r>
          </w:p>
        </w:tc>
      </w:tr>
      <w:tr>
        <w:tc>
          <w:tcPr>
            <w:tcW w:type="dxa" w:w="2469"/>
          </w:tcPr>
          <w:p>
            <w:r>
              <w:t>Uncompressed FP16</w:t>
            </w:r>
          </w:p>
        </w:tc>
        <w:tc>
          <w:tcPr>
            <w:tcW w:type="dxa" w:w="2469"/>
          </w:tcPr>
          <w:p>
            <w:r>
              <w:t>100% reference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Sensitivity @ 90% specificity</w:t>
            </w:r>
          </w:p>
        </w:tc>
      </w:tr>
      <w:tr>
        <w:tc>
          <w:tcPr>
            <w:tcW w:type="dxa" w:w="2469"/>
          </w:tcPr>
          <w:p>
            <w:r>
              <w:t>Uniform quantization</w:t>
            </w:r>
          </w:p>
        </w:tc>
        <w:tc>
          <w:tcPr>
            <w:tcW w:type="dxa" w:w="2469"/>
          </w:tcPr>
          <w:p>
            <w:r>
              <w:t>50/25/10/5%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Actual bytes/image</w:t>
            </w:r>
          </w:p>
        </w:tc>
      </w:tr>
      <w:tr>
        <w:tc>
          <w:tcPr>
            <w:tcW w:type="dxa" w:w="2469"/>
          </w:tcPr>
          <w:p>
            <w:r>
              <w:t>Learned bottleneck</w:t>
            </w:r>
          </w:p>
        </w:tc>
        <w:tc>
          <w:tcPr>
            <w:tcW w:type="dxa" w:w="2469"/>
          </w:tcPr>
          <w:p>
            <w:r>
              <w:t>Matched achieved rates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Latency and ROI retention</w:t>
            </w:r>
          </w:p>
        </w:tc>
      </w:tr>
      <w:tr>
        <w:tc>
          <w:tcPr>
            <w:tcW w:type="dxa" w:w="2469"/>
          </w:tcPr>
          <w:p>
            <w:r>
              <w:t>Proposed method</w:t>
            </w:r>
          </w:p>
        </w:tc>
        <w:tc>
          <w:tcPr>
            <w:tcW w:type="dxa" w:w="2469"/>
          </w:tcPr>
          <w:p>
            <w:r>
              <w:t>Matched achieved rates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Small-lesion sensitivity</w:t>
            </w:r>
          </w:p>
        </w:tc>
      </w:tr>
    </w:tbl>
    <w:p>
      <w:pPr>
        <w:pStyle w:val="Heading1"/>
      </w:pPr>
      <w:r>
        <w:t>8. Student deliverables and checkpoints</w:t>
      </w:r>
    </w:p>
    <w:p>
      <w:pPr>
        <w:pStyle w:val="ListBullet"/>
      </w:pPr>
      <w:r>
        <w:t>Week 1: dataset audit, patient-split manifest, uncertainty-label policy, trained uncompressed baseline.</w:t>
      </w:r>
    </w:p>
    <w:p>
      <w:pPr>
        <w:pStyle w:val="ListBullet"/>
      </w:pPr>
      <w:r>
        <w:t>Week 2: feature shape/size profiling and simple quantization at 2–3 split layers.</w:t>
      </w:r>
    </w:p>
    <w:p>
      <w:pPr>
        <w:pStyle w:val="ListBullet"/>
      </w:pPr>
      <w:r>
        <w:t>Weeks 3–4: learned codec and fully reproducible matched-rate baselines.</w:t>
      </w:r>
    </w:p>
    <w:p>
      <w:pPr>
        <w:pStyle w:val="ListBullet"/>
      </w:pPr>
      <w:r>
        <w:t>Weeks 5–6: proposed method, training logs, rate accounting, ablations.</w:t>
      </w:r>
    </w:p>
    <w:p>
      <w:pPr>
        <w:pStyle w:val="ListBullet"/>
      </w:pPr>
      <w:r>
        <w:t>Weeks 7–8: external or localization evaluation, CIs, failure cases, clean figures and draft Methods/Results.</w:t>
      </w:r>
    </w:p>
    <w:p>
      <w:pPr>
        <w:pStyle w:val="Heading1"/>
      </w:pPr>
      <w:r>
        <w:t>9. Minimum evidence to advance toward a paper</w:t>
      </w:r>
    </w:p>
    <w:p>
      <w:r>
        <w:t>Claim improved allocation only if combined uncertainty+saliency outperforms saliency-only at equal measured bytes, without degrading sensitivity on the smallest lesion stratum or on a prespecified shifted test domain.</w:t>
      </w:r>
    </w:p>
    <w:p>
      <w:pPr>
        <w:pStyle w:val="Heading1"/>
      </w:pPr>
      <w:r>
        <w:t>10. Reporting checklist</w:t>
      </w:r>
    </w:p>
    <w:p>
      <w:pPr>
        <w:pStyle w:val="ListBullet"/>
      </w:pPr>
      <w:r>
        <w:t>Provide configuration YAML for each experiment, model/dataset hashes and exact random seeds.</w:t>
      </w:r>
    </w:p>
    <w:p>
      <w:pPr>
        <w:pStyle w:val="ListBullet"/>
      </w:pPr>
      <w:r>
        <w:t>Present both achieved rate and target rate; state if encoded bitstream was actually produced.</w:t>
      </w:r>
    </w:p>
    <w:p>
      <w:pPr>
        <w:pStyle w:val="ListBullet"/>
      </w:pPr>
      <w:r>
        <w:t>Include uncertainty intervals, class prevalence and pathology-specific metrics.</w:t>
      </w:r>
    </w:p>
    <w:p>
      <w:pPr>
        <w:pStyle w:val="ListBullet"/>
      </w:pPr>
      <w:r>
        <w:t>Distinguish model parameter count, peak RAM, transferred feature bytes and total latency; these are different quantities.</w:t>
      </w:r>
    </w:p>
    <w:p>
      <w:pPr>
        <w:pStyle w:val="ListBullet"/>
      </w:pPr>
      <w:r>
        <w:t>State failure modes, limitations, potential clinical bias and non-clinical/research-only intended use.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Research design draft • For student training and experimental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5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25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25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