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3 — Single-Model Variable-Rate Feature Codec for Medical Split Inference</w:t>
      </w:r>
    </w:p>
    <w:p>
      <w:pPr>
        <w:pStyle w:val="Subtitle"/>
      </w:pPr>
      <w:r>
        <w:t>MICCAI 2027 research brief  •  Student implementation instructions  •  28 October 2026</w:t>
      </w:r>
    </w:p>
    <w:p>
      <w:pPr>
        <w:pStyle w:val="Heading1"/>
      </w:pPr>
      <w:r>
        <w:t>1. Scientific question and hypothesis</w:t>
      </w:r>
    </w:p>
    <w:p>
      <w:r>
        <w:t>One bit-budget-conditioned codec can serve several bandwidth targets while remaining competitive with separately trained fixed-rate models and preserving diagnostic utility.</w:t>
      </w:r>
    </w:p>
    <w:p>
      <w:pPr>
        <w:pStyle w:val="Heading1"/>
      </w:pPr>
      <w:r>
        <w:t>2. System diagram (implementation order)</w:t>
      </w:r>
    </w:p>
    <w:p>
      <w:r>
        <w:t>CXR → encoder E → feature F → bitrate-conditioned compressive transform C(F,b) → scalar/learned quantization → entropy coding → bitstream and compact rate header → conditional decoder D(z,b) → diagnosis head H. b is the target true bits/image, not an unconstrained latent dimension.</w:t>
      </w:r>
    </w:p>
    <w:p>
      <w:pPr>
        <w:pStyle w:val="Heading1"/>
      </w:pPr>
      <w:r>
        <w:t>3. Shared experimental rules</w:t>
      </w:r>
    </w:p>
    <w:p>
      <w:pPr>
        <w:pStyle w:val="Heading2"/>
      </w:pPr>
      <w:r>
        <w:t>Objective and controlled comparison</w:t>
      </w:r>
    </w:p>
    <w:p>
      <w:r>
        <w:t>All methods must use the same patient-level splits, image preprocessing, pretrained encoder checkpoint, downstream head, bit budget, and training schedule. Report mean ± standard deviation over three random seeds. Select hyperparameters on validation data only. Never tune on the test set.</w:t>
      </w:r>
    </w:p>
    <w:p>
      <w:pPr>
        <w:pStyle w:val="Heading2"/>
      </w:pPr>
      <w:r>
        <w:t>Datasets and leakage controls</w:t>
      </w:r>
    </w:p>
    <w:p>
      <w:r>
        <w:t>Start with a public CXR dataset providing image-level disease labels (CheXpert or MIMIC-CXR-JPG, subject to data-use approval). Use VinDr-CXR for bounding-box localization and, if feasible, CheXlocalize for pixel-wise localization evaluation. Do not pool patients across train/validation/test. Explicitly document uncertainty label handling, prevalence and patient identifiers. A clinical collaborator must review any claims of clinical utility.</w:t>
      </w:r>
    </w:p>
    <w:p>
      <w:pPr>
        <w:pStyle w:val="Heading2"/>
      </w:pPr>
      <w:r>
        <w:t>Baseline stack</w:t>
      </w:r>
    </w:p>
    <w:p>
      <w:r>
        <w:t>Implement a fixed DenseNet-121 classifier and optionally a ViT-B/16 encoder. Extract features at two or three candidate split points. Evaluate: uncompressed FP16 transmission, uniform 8-/4-bit quantization, PCA or linear projection, and a learned bottleneck encoder-decoder. Train or recalibrate the downstream classifier consistently. Record feature tensor shape, serialized message length in bytes, compressor parameters, encoding/decoding wall-clock time and AUROC.</w:t>
      </w:r>
    </w:p>
    <w:p>
      <w:pPr>
        <w:pStyle w:val="Heading2"/>
      </w:pPr>
      <w:r>
        <w:t>Rate accounting</w:t>
      </w:r>
    </w:p>
    <w:p>
      <w:r>
        <w:t>For every image, measure actual serialized bytes after entropy coding, plus metadata, masks, routing decisions and headers. Rate is 8 × transmitted bytes per image; compare at matched bits/image (or bits/pixel for fixed image dimensions). Do NOT claim compression solely from latent dimensionality. State whether transport protocol overhead is excluded and measure it separately in the deployment experiment.</w:t>
      </w:r>
    </w:p>
    <w:p>
      <w:pPr>
        <w:pStyle w:val="Heading2"/>
      </w:pPr>
      <w:r>
        <w:t>Statistics</w:t>
      </w:r>
    </w:p>
    <w:p>
      <w:r>
        <w:t>Report per-disease AUROC with bootstrap 95% confidence intervals clustered by patient; sensitivity at a prespecified specificity (e.g., 90%) and macro AUROC. For paired comparisons use paired patient-level bootstrap intervals. Correct for multiple endpoints or designate one primary endpoint. Give all absolute differences, not only relative improvements.</w:t>
      </w:r>
    </w:p>
    <w:p>
      <w:pPr>
        <w:pStyle w:val="Heading2"/>
      </w:pPr>
      <w:r>
        <w:t>Reproducibility</w:t>
      </w:r>
    </w:p>
    <w:p>
      <w:r>
        <w:t>Track dataset manifests, model checkpoint hashes, environment.yml/requirements.txt, seeds, hardware, exact preprocessing, experiment configuration files and evaluation scripts. Save predictions and per-image byte counts. Produce one-click runs for the base classifier, codec baselines and proposed approach.</w:t>
      </w:r>
    </w:p>
    <w:p>
      <w:pPr>
        <w:pStyle w:val="Heading1"/>
      </w:pPr>
      <w:r>
        <w:t>4. Technical work packages</w:t>
      </w:r>
    </w:p>
    <w:p>
      <w:pPr>
        <w:pStyle w:val="Heading2"/>
      </w:pPr>
      <w:r>
        <w:t>Stage 1: rate targets</w:t>
      </w:r>
    </w:p>
    <w:p>
      <w:r>
        <w:t>Choose target budgets based on empirical baseline feature traffic: 50%, 25%, 10% and 5% of uncompressed FP16 feature bytes. Treat these as initial targets; report what achieved rates actually are and whether each target is feasible.</w:t>
      </w:r>
    </w:p>
    <w:p>
      <w:pPr>
        <w:pStyle w:val="Heading2"/>
      </w:pPr>
      <w:r>
        <w:t>Stage 2: conditional codec</w:t>
      </w:r>
    </w:p>
    <w:p>
      <w:r>
        <w:t>Use FiLM-style conditioning or a small rate embedding to control quantization scale, channel gates or token widths. Train on a sampled bitrate target every mini-batch; minimize L = L_cls + λ(b)R + γ|max(0,R−b)| + αL_distill, with a carefully validated implementation of the rate constraint.</w:t>
      </w:r>
    </w:p>
    <w:p>
      <w:pPr>
        <w:pStyle w:val="Heading2"/>
      </w:pPr>
      <w:r>
        <w:t>Stage 3: actual bitstream</w:t>
      </w:r>
    </w:p>
    <w:p>
      <w:r>
        <w:t>Implement entropy model with arithmetic/range coding or an existing reproducible codec library. Serialize shape, split location, rate ID, allocation maps, and codec metadata. Calculate achieved rate using the complete encoded byte stream.</w:t>
      </w:r>
    </w:p>
    <w:p>
      <w:pPr>
        <w:pStyle w:val="Heading2"/>
      </w:pPr>
      <w:r>
        <w:t>Stage 4: compare rate-specialized models</w:t>
      </w:r>
    </w:p>
    <w:p>
      <w:r>
        <w:t>Train one independently optimized fixed-rate learned compressor for each target, with total training compute and shared model initialization recorded. Also compare uniform quantization and naive dynamic token/channel dropping.</w:t>
      </w:r>
    </w:p>
    <w:p>
      <w:pPr>
        <w:pStyle w:val="Heading2"/>
      </w:pPr>
      <w:r>
        <w:t>Stage 5: deployment simulation</w:t>
      </w:r>
    </w:p>
    <w:p>
      <w:r>
        <w:t>Emulate low/medium/high bandwidth and include transmission time T_total = T_edge + T_encode + bitstream_bits/bandwidth + T_decode + T_cloud. Compare with all-edge and full-image-to-cloud baselines. Report p50/p95 latency, throughput, peak edge memory, and power only if measured.</w:t>
      </w:r>
    </w:p>
    <w:p>
      <w:pPr>
        <w:pStyle w:val="Heading1"/>
      </w:pPr>
      <w:r>
        <w:t>5. Controlled ablation experiments</w:t>
      </w:r>
    </w:p>
    <w:p>
      <w:pPr>
        <w:pStyle w:val="ListBullet"/>
      </w:pPr>
      <w:r>
        <w:t>One conditional model vs four separate fixed-rate models.</w:t>
      </w:r>
    </w:p>
    <w:p>
      <w:pPr>
        <w:pStyle w:val="ListBullet"/>
      </w:pPr>
      <w:r>
        <w:t>FiLM conditioning vs rate-conditioned quantization vs learned gates.</w:t>
      </w:r>
    </w:p>
    <w:p>
      <w:pPr>
        <w:pStyle w:val="ListBullet"/>
      </w:pPr>
      <w:r>
        <w:t>With/without teacher distillation.</w:t>
      </w:r>
    </w:p>
    <w:p>
      <w:pPr>
        <w:pStyle w:val="ListBullet"/>
      </w:pPr>
      <w:r>
        <w:t>Different split locations and varying edge compute assumptions.</w:t>
      </w:r>
    </w:p>
    <w:p>
      <w:pPr>
        <w:pStyle w:val="ListBullet"/>
      </w:pPr>
      <w:r>
        <w:t>In-distribution vs external-dataset rate–accuracy robustness.</w:t>
      </w:r>
    </w:p>
    <w:p>
      <w:pPr>
        <w:pStyle w:val="Heading1"/>
      </w:pPr>
      <w:r>
        <w:t>6. Tables and figures students must submit</w:t>
      </w:r>
    </w:p>
    <w:p>
      <w:pPr>
        <w:pStyle w:val="ListBullet"/>
      </w:pPr>
      <w:r>
        <w:t>Achieved bitrate versus target bitrate and associated variance.</w:t>
      </w:r>
    </w:p>
    <w:p>
      <w:pPr>
        <w:pStyle w:val="ListBullet"/>
      </w:pPr>
      <w:r>
        <w:t>Rate–AUROC curve comparing single-model and separately trained codecs.</w:t>
      </w:r>
    </w:p>
    <w:p>
      <w:pPr>
        <w:pStyle w:val="ListBullet"/>
      </w:pPr>
      <w:r>
        <w:t>Encoding/decoding runtime and model-storage overhead versus fixed-rate alternatives.</w:t>
      </w:r>
    </w:p>
    <w:p>
      <w:pPr>
        <w:pStyle w:val="ListBullet"/>
      </w:pPr>
      <w:r>
        <w:t>End-to-end latency under documented bandwidth and compute profiles.</w:t>
      </w:r>
    </w:p>
    <w:p>
      <w:pPr>
        <w:pStyle w:val="Heading1"/>
      </w:pPr>
      <w:r>
        <w:t>7. Standard experiment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Configuration</w:t>
            </w:r>
          </w:p>
        </w:tc>
        <w:tc>
          <w:tcPr>
            <w:tcW w:type="dxa" w:w="2469"/>
          </w:tcPr>
          <w:p>
            <w:r>
              <w:t>Bit budget</w:t>
            </w:r>
          </w:p>
        </w:tc>
        <w:tc>
          <w:tcPr>
            <w:tcW w:type="dxa" w:w="2469"/>
          </w:tcPr>
          <w:p>
            <w:r>
              <w:t>Primary metric</w:t>
            </w:r>
          </w:p>
        </w:tc>
        <w:tc>
          <w:tcPr>
            <w:tcW w:type="dxa" w:w="2469"/>
          </w:tcPr>
          <w:p>
            <w:r>
              <w:t>Secondary metric</w:t>
            </w:r>
          </w:p>
        </w:tc>
      </w:tr>
      <w:tr>
        <w:tc>
          <w:tcPr>
            <w:tcW w:type="dxa" w:w="2469"/>
          </w:tcPr>
          <w:p>
            <w:r>
              <w:t>Uncompressed FP16</w:t>
            </w:r>
          </w:p>
        </w:tc>
        <w:tc>
          <w:tcPr>
            <w:tcW w:type="dxa" w:w="2469"/>
          </w:tcPr>
          <w:p>
            <w:r>
              <w:t>100% reference</w:t>
            </w:r>
          </w:p>
        </w:tc>
        <w:tc>
          <w:tcPr>
            <w:tcW w:type="dxa" w:w="2469"/>
          </w:tcPr>
          <w:p>
            <w:r>
              <w:t>Macro AUROC</w:t>
            </w:r>
          </w:p>
        </w:tc>
        <w:tc>
          <w:tcPr>
            <w:tcW w:type="dxa" w:w="2469"/>
          </w:tcPr>
          <w:p>
            <w:r>
              <w:t>Sensitivity @ 90% specificity</w:t>
            </w:r>
          </w:p>
        </w:tc>
      </w:tr>
      <w:tr>
        <w:tc>
          <w:tcPr>
            <w:tcW w:type="dxa" w:w="2469"/>
          </w:tcPr>
          <w:p>
            <w:r>
              <w:t>Uniform quantization</w:t>
            </w:r>
          </w:p>
        </w:tc>
        <w:tc>
          <w:tcPr>
            <w:tcW w:type="dxa" w:w="2469"/>
          </w:tcPr>
          <w:p>
            <w:r>
              <w:t>50/25/10/5%</w:t>
            </w:r>
          </w:p>
        </w:tc>
        <w:tc>
          <w:tcPr>
            <w:tcW w:type="dxa" w:w="2469"/>
          </w:tcPr>
          <w:p>
            <w:r>
              <w:t>Macro AUROC</w:t>
            </w:r>
          </w:p>
        </w:tc>
        <w:tc>
          <w:tcPr>
            <w:tcW w:type="dxa" w:w="2469"/>
          </w:tcPr>
          <w:p>
            <w:r>
              <w:t>Actual bytes/image</w:t>
            </w:r>
          </w:p>
        </w:tc>
      </w:tr>
      <w:tr>
        <w:tc>
          <w:tcPr>
            <w:tcW w:type="dxa" w:w="2469"/>
          </w:tcPr>
          <w:p>
            <w:r>
              <w:t>Learned bottleneck</w:t>
            </w:r>
          </w:p>
        </w:tc>
        <w:tc>
          <w:tcPr>
            <w:tcW w:type="dxa" w:w="2469"/>
          </w:tcPr>
          <w:p>
            <w:r>
              <w:t>Matched achieved rates</w:t>
            </w:r>
          </w:p>
        </w:tc>
        <w:tc>
          <w:tcPr>
            <w:tcW w:type="dxa" w:w="2469"/>
          </w:tcPr>
          <w:p>
            <w:r>
              <w:t>Macro AUROC</w:t>
            </w:r>
          </w:p>
        </w:tc>
        <w:tc>
          <w:tcPr>
            <w:tcW w:type="dxa" w:w="2469"/>
          </w:tcPr>
          <w:p>
            <w:r>
              <w:t>Latency and ROI retention</w:t>
            </w:r>
          </w:p>
        </w:tc>
      </w:tr>
      <w:tr>
        <w:tc>
          <w:tcPr>
            <w:tcW w:type="dxa" w:w="2469"/>
          </w:tcPr>
          <w:p>
            <w:r>
              <w:t>Proposed method</w:t>
            </w:r>
          </w:p>
        </w:tc>
        <w:tc>
          <w:tcPr>
            <w:tcW w:type="dxa" w:w="2469"/>
          </w:tcPr>
          <w:p>
            <w:r>
              <w:t>Matched achieved rates</w:t>
            </w:r>
          </w:p>
        </w:tc>
        <w:tc>
          <w:tcPr>
            <w:tcW w:type="dxa" w:w="2469"/>
          </w:tcPr>
          <w:p>
            <w:r>
              <w:t>Macro AUROC</w:t>
            </w:r>
          </w:p>
        </w:tc>
        <w:tc>
          <w:tcPr>
            <w:tcW w:type="dxa" w:w="2469"/>
          </w:tcPr>
          <w:p>
            <w:r>
              <w:t>Small-lesion sensitivity</w:t>
            </w:r>
          </w:p>
        </w:tc>
      </w:tr>
    </w:tbl>
    <w:p>
      <w:pPr>
        <w:pStyle w:val="Heading1"/>
      </w:pPr>
      <w:r>
        <w:t>8. Student deliverables and checkpoints</w:t>
      </w:r>
    </w:p>
    <w:p>
      <w:pPr>
        <w:pStyle w:val="ListBullet"/>
      </w:pPr>
      <w:r>
        <w:t>Week 1: dataset audit, patient-split manifest, uncertainty-label policy, trained uncompressed baseline.</w:t>
      </w:r>
    </w:p>
    <w:p>
      <w:pPr>
        <w:pStyle w:val="ListBullet"/>
      </w:pPr>
      <w:r>
        <w:t>Week 2: feature shape/size profiling and simple quantization at 2–3 split layers.</w:t>
      </w:r>
    </w:p>
    <w:p>
      <w:pPr>
        <w:pStyle w:val="ListBullet"/>
      </w:pPr>
      <w:r>
        <w:t>Weeks 3–4: learned codec and fully reproducible matched-rate baselines.</w:t>
      </w:r>
    </w:p>
    <w:p>
      <w:pPr>
        <w:pStyle w:val="ListBullet"/>
      </w:pPr>
      <w:r>
        <w:t>Weeks 5–6: proposed method, training logs, rate accounting, ablations.</w:t>
      </w:r>
    </w:p>
    <w:p>
      <w:pPr>
        <w:pStyle w:val="ListBullet"/>
      </w:pPr>
      <w:r>
        <w:t>Weeks 7–8: external or localization evaluation, CIs, failure cases, clean figures and draft Methods/Results.</w:t>
      </w:r>
    </w:p>
    <w:p>
      <w:pPr>
        <w:pStyle w:val="Heading1"/>
      </w:pPr>
      <w:r>
        <w:t>9. Minimum evidence to advance toward a paper</w:t>
      </w:r>
    </w:p>
    <w:p>
      <w:r>
        <w:t>A meaningful result is a single deployable codec that closely tracks target budgets and yields a competitive Pareto curve while reducing model management/storage relative to multiple fixed-rate codecs. Do not claim all operating points improve without matched-rate evidence.</w:t>
      </w:r>
    </w:p>
    <w:p>
      <w:pPr>
        <w:pStyle w:val="Heading1"/>
      </w:pPr>
      <w:r>
        <w:t>10. Reporting checklist</w:t>
      </w:r>
    </w:p>
    <w:p>
      <w:pPr>
        <w:pStyle w:val="ListBullet"/>
      </w:pPr>
      <w:r>
        <w:t>Provide configuration YAML for each experiment, model/dataset hashes and exact random seeds.</w:t>
      </w:r>
    </w:p>
    <w:p>
      <w:pPr>
        <w:pStyle w:val="ListBullet"/>
      </w:pPr>
      <w:r>
        <w:t>Present both achieved rate and target rate; state if encoded bitstream was actually produced.</w:t>
      </w:r>
    </w:p>
    <w:p>
      <w:pPr>
        <w:pStyle w:val="ListBullet"/>
      </w:pPr>
      <w:r>
        <w:t>Include uncertainty intervals, class prevalence and pathology-specific metrics.</w:t>
      </w:r>
    </w:p>
    <w:p>
      <w:pPr>
        <w:pStyle w:val="ListBullet"/>
      </w:pPr>
      <w:r>
        <w:t>Distinguish model parameter count, peak RAM, transferred feature bytes and total latency; these are different quantities.</w:t>
      </w:r>
    </w:p>
    <w:p>
      <w:pPr>
        <w:pStyle w:val="ListBullet"/>
      </w:pPr>
      <w:r>
        <w:t>State failure modes, limitations, potential clinical bias and non-clinical/research-only intended use.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Research design draft • For student training and experimental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5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325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325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