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u w:val="none"/>
          <w:lang w:val="ru-RU"/>
        </w:rPr>
        <w:br/>
        <w:t xml:space="preserve">ФАКУЛЬТЕТ  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ru-RU"/>
        </w:rPr>
        <w:t>«Информатика и системы управления»</w:t>
        <w:br/>
      </w:r>
      <w:r>
        <w:rPr>
          <w:rFonts w:eastAsia="Times New Roman" w:cs="Times New Roman" w:ascii="Times New Roman" w:hAnsi="Times New Roman"/>
          <w:sz w:val="28"/>
          <w:szCs w:val="28"/>
          <w:u w:val="none"/>
          <w:lang w:val="ru-RU"/>
        </w:rPr>
        <w:t xml:space="preserve">КАФЕДРА 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ru-RU"/>
        </w:rPr>
        <w:t>«Информационная безопасность»</w:t>
      </w:r>
    </w:p>
    <w:p>
      <w:pPr>
        <w:pStyle w:val="Normal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ОТЧЕТ</w:t>
        <w:br/>
        <w:t xml:space="preserve">по лабораторной работе №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4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br/>
        <w:t>по учебной дисциплине «Алгоритмические языки»</w:t>
        <w:br/>
        <w:t>на тему: «Использование объектов своих классов в последовательных контейнерах библиотеки STL в языке Си++»</w:t>
        <w:br/>
      </w:r>
    </w:p>
    <w:p>
      <w:pPr>
        <w:pStyle w:val="Normal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Вариант 23</w:t>
      </w:r>
    </w:p>
    <w:p>
      <w:pPr>
        <w:pStyle w:val="Normal"/>
        <w:spacing w:lineRule="auto" w:line="360"/>
        <w:ind w:left="0" w:hanging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0" w:hanging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0" w:hanging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0" w:hanging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0" w:hanging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Выполнил:</w:t>
        <w:tab/>
        <w:tab/>
        <w:tab/>
        <w:br/>
        <w:t>Студент 1 курса, гр. ИУ8-24</w:t>
        <w:br/>
        <w:t>Терехин Данила</w:t>
      </w:r>
    </w:p>
    <w:p>
      <w:pPr>
        <w:pStyle w:val="Normal"/>
        <w:shd w:val="nil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Normal"/>
        <w:spacing w:lineRule="auto" w:line="360"/>
        <w:ind w:left="0" w:firstLine="709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Цель работы:</w:t>
      </w:r>
    </w:p>
    <w:p>
      <w:pPr>
        <w:pStyle w:val="Normal"/>
        <w:spacing w:lineRule="auto" w:line="360"/>
        <w:ind w:left="0"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Практическое применение контейнеров стандартной библиотеки шаблонов (STL) для хранения объектов пользовательского класса, а также использование методов и алгоритмов STL для работы с этими контейнерами.</w:t>
      </w:r>
    </w:p>
    <w:p>
      <w:pPr>
        <w:pStyle w:val="Normal"/>
        <w:spacing w:lineRule="auto" w:line="360"/>
        <w:ind w:left="0" w:firstLine="709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Задачи работы: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Изучить необходимые учебные материалы, посвященные последовательным контейнерам библиотеки шаблонов в языке Си++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Разработать программу на языке Си++ для решения заданного варианта задания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Отладить программу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 w:val="false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ja-JP"/>
        </w:rPr>
        <w:t>П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редставить результаты работы программы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 w:val="false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Подготовить отчет по лабораторной работе</w:t>
      </w:r>
    </w:p>
    <w:p>
      <w:pPr>
        <w:pStyle w:val="Normal"/>
        <w:spacing w:lineRule="auto" w:line="360"/>
        <w:ind w:left="0" w:firstLine="709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Выполнение работы: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ab/>
      </w:r>
      <w:r>
        <w:rPr>
          <w:rFonts w:ascii="Times New Roman" w:hAnsi="Times New Roman"/>
          <w:b/>
          <w:bCs/>
          <w:color w:val="3B3B3B"/>
          <w:sz w:val="28"/>
          <w:szCs w:val="28"/>
          <w:shd w:fill="FFFFFF" w:val="clear"/>
        </w:rPr>
        <w:t>Main.cpp</w:t>
      </w:r>
    </w:p>
    <w:p>
      <w:pPr>
        <w:pStyle w:val="Normal"/>
        <w:spacing w:lineRule="atLeast" w:line="228" w:before="0" w:after="0"/>
        <w:rPr>
          <w:rFonts w:ascii="Times New Roman" w:hAnsi="Times New Roman"/>
          <w:b/>
          <w:b/>
          <w:bCs/>
          <w:color w:val="3B3B3B"/>
          <w:sz w:val="28"/>
          <w:szCs w:val="28"/>
          <w:shd w:fill="FFFFFF" w:val="clear"/>
        </w:rPr>
      </w:pPr>
      <w:r>
        <w:rPr>
          <w:rFonts w:ascii="Times New Roman" w:hAnsi="Times New Roman"/>
          <w:b/>
          <w:bCs/>
          <w:color w:val="3B3B3B"/>
          <w:sz w:val="28"/>
          <w:szCs w:val="28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&lt;iostream&gt;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&lt;string&gt;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&lt;vector&gt;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&lt;deque&gt;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&lt;algorithm&gt;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#include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&lt;fstream&gt;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BankCredit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{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0000FF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public:</w:t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Конструктор для инициализации объекта BankCredit с заданными параметрами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BankCredit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name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double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amount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currency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double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rate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name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name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amount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amount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currency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currency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rate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rate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</w:t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Инициализация полей класса с переданными значениями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Конструктор копирования для создания копии объекта BankCredit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BankCredit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BankCredit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name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name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amount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amount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currency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currency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rate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rate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</w:t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Копирование значений из другого объекта BankCredit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Оператор присваивания копированием для копирования значений из другого объекта BankCredit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BankCredit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operator=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BankCredit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this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!=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Проверка на самоприсваивание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name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name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Копирование названия кредита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amount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amount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Копирование суммы кредита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currency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currency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Копирование типа валюты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rate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rate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Копирование ставки в процентах годовых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this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Возвращение текущего объекта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Перегруженная операция вставки в поток для удобного вывода объекта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friend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ostream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operator&lt;&lt;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ostream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BankCredit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name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 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amount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 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currency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 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rate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Вывод названия, суммы, типа валюты и ставки кредита в поток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os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Возвращение потока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Перегруженный оператор &lt; для сравнения объектов по ставке кредита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bool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operator&lt;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BankCredit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rate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other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rate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Сравнение ставок кредитов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0000FF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private: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name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Название кредита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double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amount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Сумма кредита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currency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Тип валюты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double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rate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Ставка в процентах годовых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main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ifstream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input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"input.txt"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Открытие файла для чтения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ofstream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output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"output.txt"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Открытие файла для записи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!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input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is_open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||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!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output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is_open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())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cerr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"Error opening file!"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endl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BankCredit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&gt;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creditsVector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Вектор для хранения объектов BankCredit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deque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BankCredit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&gt;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creditsDeque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Дек для хранения объектов BankCredit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name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double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amount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rate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currency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Чтение данных из файла и заполнение вектора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while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input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&gt;&gt;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name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&gt;&gt;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amount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&gt;&gt;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currency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&gt;&gt;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rate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creditsVector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emplace_back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name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amount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currency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rate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Вывод исходного контейнера в файл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output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"Original Vector:"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endl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auto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creditsVector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output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endl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Сортировка вектора по ставке кредита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sort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creditsVector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begin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(),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creditsVector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end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());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Вывод отсортированного контейнера в файл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output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"Sorted Vector:"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endl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auto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creditsVector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output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endl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Копирование отсортированного вектора в дек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copy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creditsVector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begin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(),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creditsVector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end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(),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back_inserter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creditsDeque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));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// Вывод скопированного контейнера в файл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output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"Copied Deque:"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endl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const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auto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&amp;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creditsDeque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) {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output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credit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&lt;&lt;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4"/>
          <w:szCs w:val="24"/>
          <w:shd w:fill="FFFFFF" w:val="clear"/>
        </w:rPr>
        <w:t>std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::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endl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input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close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();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Закрытие файла для чтения</w:t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4"/>
          <w:szCs w:val="24"/>
          <w:shd w:fill="FFFFFF" w:val="clear"/>
        </w:rPr>
        <w:t>output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4"/>
          <w:szCs w:val="24"/>
          <w:shd w:fill="FFFFFF" w:val="clear"/>
        </w:rPr>
        <w:t>close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();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 // Закрытие файла для записи</w:t>
      </w:r>
    </w:p>
    <w:p>
      <w:pPr>
        <w:pStyle w:val="Normal"/>
        <w:spacing w:lineRule="atLeast" w:line="228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 w:before="0" w:after="0"/>
        <w:rPr>
          <w:color w:val="3B3B3B"/>
          <w:sz w:val="24"/>
          <w:szCs w:val="24"/>
          <w:shd w:fill="FFFFFF" w:val="clear"/>
        </w:rPr>
      </w:pPr>
      <w:r>
        <w:rPr>
          <w:color w:val="3B3B3B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AF00DB"/>
          <w:sz w:val="24"/>
          <w:szCs w:val="24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3B3B3B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color w:val="A31515"/>
        </w:rPr>
      </w:pPr>
      <w:r>
        <w:rPr>
          <w:color w:val="A31515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3B3B3B"/>
          <w:sz w:val="17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17"/>
          <w:shd w:fill="FFFFFF" w:val="clear"/>
        </w:rPr>
      </w:r>
    </w:p>
    <w:p>
      <w:pPr>
        <w:pStyle w:val="Normal"/>
        <w:shd w:val="nil" w:color="000000"/>
        <w:ind w:firstLine="709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Файл со входными данными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input.txt: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ja-JP"/>
        </w:rPr>
        <w:t>Credit1 1000 USD 2.0</w:t>
      </w:r>
    </w:p>
    <w:p>
      <w:pPr>
        <w:pStyle w:val="Normal"/>
        <w:shd w:val="nil" w:color="000000"/>
        <w:ind w:hanging="0"/>
        <w:rPr>
          <w:lang w:eastAsia="ja-JP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ja-JP"/>
        </w:rPr>
        <w:t>Credit2 4200 EUR 3.5</w:t>
      </w:r>
    </w:p>
    <w:p>
      <w:pPr>
        <w:pStyle w:val="Normal"/>
        <w:shd w:val="nil" w:color="000000"/>
        <w:ind w:hanging="0"/>
        <w:rPr>
          <w:lang w:eastAsia="ja-JP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ja-JP"/>
        </w:rPr>
        <w:t>Credit4 3000 JPY 2.1</w:t>
      </w:r>
    </w:p>
    <w:p>
      <w:pPr>
        <w:pStyle w:val="Normal"/>
        <w:shd w:val="nil" w:color="000000"/>
        <w:ind w:hanging="0"/>
        <w:rPr>
          <w:lang w:eastAsia="ja-JP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ja-JP"/>
        </w:rPr>
        <w:t>Credit3 1500 GBP 4.2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Файл с выходными данными</w:t>
      </w:r>
      <w:r>
        <w:rPr>
          <w:rFonts w:ascii="Times New Roman" w:hAnsi="Times New Roman"/>
          <w:b/>
          <w:bCs/>
          <w:sz w:val="28"/>
          <w:szCs w:val="28"/>
        </w:rPr>
        <w:t xml:space="preserve"> – output.txt: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Original Vector: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Credit1 1000 USD 2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Credit2 4200 EUR 3.5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Credit4 3000 JPY 2.1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Credit3 1500 GBP 4.2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Sorted Vector: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Credit1 1000 USD 2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Credit4 3000 JPY 2.1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Credit2 4200 EUR 3.5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Credit3 1500 GBP 4.2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Copied Deque: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Credit1 1000 USD 2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Credit4 3000 JPY 2.1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Credit2 4200 EUR 3.5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Credit3 1500 GBP 4.2</w:t>
      </w:r>
    </w:p>
    <w:p>
      <w:pPr>
        <w:pStyle w:val="Normal"/>
        <w:shd w:val="nil" w:color="000000"/>
        <w:ind w:hanging="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Вывод:</w:t>
      </w:r>
    </w:p>
    <w:p>
      <w:pPr>
        <w:pStyle w:val="Normal"/>
        <w:shd w:val="nil" w:color="000000"/>
        <w:spacing w:lineRule="auto" w:line="276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ходе выполнения лабораторной работы было успешно реализовано использование объектов собственных классов в последовательных контейнерах библиотеки STL с применением различных методов и алгоритмов для работы с ними. Это позволило познакомиться с применением стандартной библиотеки шаблонов в практических задачах программирования.</w:t>
      </w:r>
    </w:p>
    <w:p>
      <w:pPr>
        <w:pStyle w:val="Normal"/>
        <w:shd w:val="nil" w:color="000000"/>
        <w:spacing w:lineRule="auto" w:line="276" w:before="0" w:after="200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sectPr>
      <w:headerReference w:type="first" r:id="rId2"/>
      <w:footerReference w:type="first" r:id="rId3"/>
      <w:type w:val="nextPage"/>
      <w:pgSz w:w="11906" w:h="16838"/>
      <w:pgMar w:left="1701" w:right="850" w:gutter="0" w:header="2409" w:top="1134" w:footer="709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altName w:val="Courier New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jc w:val="center"/>
      <w:rPr>
        <w:rFonts w:ascii="Times New Roman" w:hAnsi="Times New Roman" w:cs="Times New Roman"/>
        <w:b/>
        <w:b/>
        <w:bCs/>
        <w:sz w:val="28"/>
        <w:szCs w:val="28"/>
      </w:rPr>
    </w:pPr>
    <w:r>
      <w:rPr>
        <w:rFonts w:eastAsia="Times New Roman" w:cs="Times New Roman" w:ascii="Times New Roman" w:hAnsi="Times New Roman"/>
        <w:b/>
        <w:bCs/>
        <w:sz w:val="28"/>
        <w:szCs w:val="28"/>
      </w:rPr>
      <w:t>2024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1080135</wp:posOffset>
          </wp:positionH>
          <wp:positionV relativeFrom="page">
            <wp:posOffset>488950</wp:posOffset>
          </wp:positionV>
          <wp:extent cx="788670" cy="929640"/>
          <wp:effectExtent l="0" t="0" r="0" b="0"/>
          <wp:wrapNone/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8670" cy="929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1875155</wp:posOffset>
              </wp:positionH>
              <wp:positionV relativeFrom="page">
                <wp:posOffset>332105</wp:posOffset>
              </wp:positionV>
              <wp:extent cx="5441315" cy="1503045"/>
              <wp:effectExtent l="0" t="0" r="0" b="0"/>
              <wp:wrapNone/>
              <wp:docPr id="2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41400" cy="1503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4"/>
                            <w:spacing w:lineRule="auto" w:line="240" w:before="21" w:after="200"/>
                            <w:ind w:left="20" w:right="18" w:firstLine="1"/>
                            <w:jc w:val="center"/>
                            <w:rPr>
                              <w:rFonts w:ascii="Times New Roman" w:hAnsi="Times New Roman" w:cs="Times New Roman"/>
                              <w:b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bCs w:val="false"/>
                              <w:color w:val="000000"/>
                              <w:sz w:val="28"/>
                              <w:szCs w:val="24"/>
                              <w:lang w:val="ru-RU"/>
                            </w:rPr>
                            <w:t>Министерство науки и высшего образования Российской Федерации</w:t>
                            <w:br/>
                            <w:t xml:space="preserve"> Федеральное государственное бюджетное образовательное учреждение высшего образования</w:t>
                            <w:br/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bCs w:val="false"/>
                              <w:color w:val="00000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>«Московский государственный технический университет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bCs w:val="false"/>
                              <w:color w:val="000000"/>
                              <w:sz w:val="28"/>
                              <w:szCs w:val="24"/>
                              <w:lang w:val="ru-RU"/>
                            </w:rPr>
                            <w:t xml:space="preserve"> </w:t>
                            <w:br/>
                            <w:t xml:space="preserve">имени Н. Э. Баумана </w:t>
                            <w:br/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bCs w:val="false"/>
                              <w:color w:val="00000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(национальный исследовательский университет)» 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bCs w:val="false"/>
                              <w:color w:val="000000"/>
                              <w:sz w:val="28"/>
                              <w:szCs w:val="24"/>
                              <w:lang w:val="ru-RU"/>
                            </w:rPr>
                            <w:br/>
                            <w:t>(МГТУ им. Н. Э. Баумана)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147.65pt;margin-top:26.15pt;width:428.4pt;height:118.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4"/>
                      <w:spacing w:lineRule="auto" w:line="240" w:before="21" w:after="200"/>
                      <w:ind w:left="20" w:right="18" w:firstLine="1"/>
                      <w:jc w:val="center"/>
                      <w:rPr>
                        <w:rFonts w:ascii="Times New Roman" w:hAnsi="Times New Roman" w:cs="Times New Roman"/>
                        <w:b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b w:val="false"/>
                        <w:bCs w:val="false"/>
                        <w:color w:val="000000"/>
                        <w:sz w:val="28"/>
                        <w:szCs w:val="24"/>
                        <w:lang w:val="ru-RU"/>
                      </w:rPr>
                      <w:t>Министерство науки и высшего образования Российской Федерации</w:t>
                      <w:br/>
                      <w:t xml:space="preserve"> Федеральное государственное бюджетное образовательное учреждение высшего образования</w:t>
                      <w:br/>
                    </w:r>
                    <w:r>
                      <w:rPr>
                        <w:rFonts w:eastAsia="Times New Roman" w:cs="Times New Roman" w:ascii="Times New Roman" w:hAnsi="Times New Roman"/>
                        <w:b w:val="false"/>
                        <w:bCs w:val="false"/>
                        <w:color w:val="000000"/>
                        <w:spacing w:val="-2"/>
                        <w:sz w:val="28"/>
                        <w:szCs w:val="24"/>
                        <w:lang w:val="ru-RU"/>
                      </w:rPr>
                      <w:t>«Московский государственный технический университет</w:t>
                    </w:r>
                    <w:r>
                      <w:rPr>
                        <w:rFonts w:eastAsia="Times New Roman" w:cs="Times New Roman" w:ascii="Times New Roman" w:hAnsi="Times New Roman"/>
                        <w:b w:val="false"/>
                        <w:bCs w:val="false"/>
                        <w:color w:val="000000"/>
                        <w:sz w:val="28"/>
                        <w:szCs w:val="24"/>
                        <w:lang w:val="ru-RU"/>
                      </w:rPr>
                      <w:t xml:space="preserve"> </w:t>
                      <w:br/>
                      <w:t xml:space="preserve">имени Н. Э. Баумана </w:t>
                      <w:br/>
                    </w:r>
                    <w:r>
                      <w:rPr>
                        <w:rFonts w:eastAsia="Times New Roman" w:cs="Times New Roman" w:ascii="Times New Roman" w:hAnsi="Times New Roman"/>
                        <w:b w:val="false"/>
                        <w:bCs w:val="false"/>
                        <w:color w:val="000000"/>
                        <w:spacing w:val="-2"/>
                        <w:sz w:val="28"/>
                        <w:szCs w:val="24"/>
                        <w:lang w:val="ru-RU"/>
                      </w:rPr>
                      <w:t xml:space="preserve">(национальный исследовательский университет)» </w:t>
                    </w:r>
                    <w:r>
                      <w:rPr>
                        <w:rFonts w:eastAsia="Times New Roman" w:cs="Times New Roman" w:ascii="Times New Roman" w:hAnsi="Times New Roman"/>
                        <w:b w:val="false"/>
                        <w:bCs w:val="false"/>
                        <w:color w:val="000000"/>
                        <w:sz w:val="28"/>
                        <w:szCs w:val="24"/>
                        <w:lang w:val="ru-RU"/>
                      </w:rPr>
                      <w:br/>
                      <w:t>(МГТУ им. Н. Э. Баумана)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Style18"/>
      <w:rPr/>
    </w:pPr>
    <w:r>
      <w:rPr/>
      <mc:AlternateContent>
        <mc:Choice Requires="wpg">
          <w:drawing>
            <wp:anchor behindDoc="1" distT="0" distB="2540" distL="4445" distR="3175" simplePos="0" locked="0" layoutInCell="0" allowOverlap="1" relativeHeight="3">
              <wp:simplePos x="0" y="0"/>
              <wp:positionH relativeFrom="page">
                <wp:posOffset>1080135</wp:posOffset>
              </wp:positionH>
              <wp:positionV relativeFrom="page">
                <wp:posOffset>1871345</wp:posOffset>
              </wp:positionV>
              <wp:extent cx="6332855" cy="49530"/>
              <wp:effectExtent l="4445" t="0" r="3175" b="2540"/>
              <wp:wrapNone/>
              <wp:docPr id="4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2760" cy="49680"/>
                        <a:chOff x="0" y="0"/>
                        <a:chExt cx="6332760" cy="496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332760" cy="33480"/>
                        </a:xfrm>
                        <a:custGeom>
                          <a:avLst/>
                          <a:gdLst>
                            <a:gd name="textAreaLeft" fmla="*/ 0 w 3590280"/>
                            <a:gd name="textAreaRight" fmla="*/ 3591000 w 3590280"/>
                            <a:gd name="textAreaTop" fmla="*/ 0 h 19080"/>
                            <a:gd name="textAreaBottom" fmla="*/ 19800 h 19080"/>
                          </a:gdLst>
                          <a:ahLst/>
                          <a:rect l="textAreaLeft" t="textAreaTop" r="textAreaRight" b="textAreaBottom"/>
                          <a:pathLst>
                            <a:path w="6332855" h="33020">
                              <a:moveTo>
                                <a:pt x="6332397" y="0"/>
                              </a:moveTo>
                              <a:lnTo>
                                <a:pt x="0" y="0"/>
                              </a:lnTo>
                              <a:lnTo>
                                <a:pt x="0" y="32397"/>
                              </a:lnTo>
                              <a:lnTo>
                                <a:pt x="6332397" y="32397"/>
                              </a:lnTo>
                              <a:lnTo>
                                <a:pt x="63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48960"/>
                          <a:ext cx="6332760" cy="720"/>
                        </a:xfrm>
                        <a:custGeom>
                          <a:avLst/>
                          <a:gdLst>
                            <a:gd name="textAreaLeft" fmla="*/ 0 w 3590280"/>
                            <a:gd name="textAreaRight" fmla="*/ 3591000 w 3590280"/>
                            <a:gd name="textAreaTop" fmla="*/ 0 h 360"/>
                            <a:gd name="textAreaBottom" fmla="*/ 1440 h 360"/>
                          </a:gdLst>
                          <a:ahLst/>
                          <a:rect l="textAreaLeft" t="textAreaTop" r="textAreaRight" b="textAreaBottom"/>
                          <a:pathLst>
                            <a:path w="6332855" h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noFill/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85.05pt;margin-top:147.35pt;width:498.65pt;height:3.9pt" coordorigin="1701,2947" coordsize="9973,78"/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14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8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5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50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7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717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Символ сноски"/>
    <w:uiPriority w:val="99"/>
    <w:unhideWhenUsed/>
    <w:qFormat/>
    <w:rPr>
      <w:vertAlign w:val="superscript"/>
    </w:rPr>
  </w:style>
  <w:style w:type="character" w:styleId="Style7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9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Style15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6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9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0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1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2">
    <w:name w:val="Index Heading"/>
    <w:basedOn w:val="Style10"/>
    <w:pPr/>
    <w:rPr/>
  </w:style>
  <w:style w:type="paragraph" w:styleId="Style23">
    <w:name w:val="TOC Heading"/>
    <w:uiPriority w:val="39"/>
    <w:unhideWhenUsed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Style2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LibreOffice/7.4.4.2$Windows_X86_64 LibreOffice_project/85569322deea74ec9134968a29af2df5663baa21</Application>
  <AppVersion>15.0000</AppVersion>
  <Pages>8</Pages>
  <Words>689</Words>
  <Characters>4529</Characters>
  <CharactersWithSpaces>5494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2024-06-16T17:08:49Z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