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aps/>
        </w:rPr>
      </w:pPr>
      <w:r>
        <w:rPr>
          <w:caps/>
        </w:rPr>
        <w:t>Техническое задание</w:t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/>
      </w:pPr>
      <w:r>
        <w:rPr/>
        <w:t>Функциональные, технические и качественные характеристики товара, работы, услуги, эксплуатационные характеристики товара, результата работ, услуг (при необходимости)</w:t>
      </w:r>
    </w:p>
    <w:p>
      <w:pPr>
        <w:pStyle w:val="Normal"/>
        <w:jc w:val="center"/>
        <w:rPr/>
      </w:pPr>
      <w:r>
        <w:rPr/>
        <w:t>Используемые для определения соответствия потребностям заказчика или эквивалентности предлагаемого к поставке или к использованию при выполнении работ, оказании услуг товара максимальные и (или) минимальные значения показателей товара и показатели, значения которых не могут изменяться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10"/>
        <w:gridCol w:w="1540"/>
        <w:gridCol w:w="1731"/>
        <w:gridCol w:w="1036"/>
        <w:gridCol w:w="5110"/>
        <w:gridCol w:w="2212"/>
        <w:gridCol w:w="2530"/>
      </w:tblGrid>
      <w:tr>
        <w:trPr>
          <w:trHeight w:val="20" w:hRule="atLeast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товара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показателя товара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Единица измерения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Значение показателя товара, которое не может изменяться участником при подаче заявки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Значение показателя товара, при определении которого участником используются только точные цифровые или иные параметры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Значение показателя товара, при определении которого участником могут не использоваться точные цифровые или иные параметры</w:t>
            </w:r>
          </w:p>
        </w:tc>
      </w:tr>
      <w:tr>
        <w:trPr>
          <w:trHeight w:val="20" w:hRule="atLeast"/>
        </w:trPr>
        <w:tc>
          <w:tcPr>
            <w:tcW w:w="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  <w:r>
              <w:rPr/>
              <w:t>.</w:t>
            </w:r>
          </w:p>
        </w:tc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Изделия колбасные вареные, в том числе фаршированные мясные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Вид изделия колбасного вареного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Сардельки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0" w:hRule="atLeast"/>
        </w:trPr>
        <w:tc>
          <w:tcPr>
            <w:tcW w:w="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Общие требования</w:t>
            </w:r>
            <w:r>
              <w:rPr>
                <w:bCs/>
                <w:vertAlign w:val="superscript"/>
              </w:rPr>
              <w:t>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Соответствие: Технический регламент Таможенного союза «О безопасности пищевой продукции» от 09.12.2011 ТР ТС 021/2011, Технический регламент Таможенного союза «</w:t>
            </w:r>
            <w:r>
              <w:rPr/>
              <w:t>О безопасности мяса и мясной продукции</w:t>
            </w:r>
            <w:r>
              <w:rPr>
                <w:bCs/>
              </w:rPr>
              <w:t>» от 09.10.2013 ТР ТС 034/2013.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</w:rPr>
              <w:t xml:space="preserve">Товар </w:t>
            </w:r>
            <w:r>
              <w:rPr>
                <w:bCs/>
                <w:color w:val="000000"/>
              </w:rPr>
              <w:t xml:space="preserve">по показателям качества и безопасности должен соответствовать требованиям ГОСТ Р 52196-2011 «Изделия колбасные вареные. Технические условия» </w:t>
            </w:r>
            <w:r>
              <w:rPr>
                <w:rFonts w:eastAsia="Calibri"/>
              </w:rPr>
              <w:t>.</w:t>
            </w:r>
          </w:p>
        </w:tc>
      </w:tr>
      <w:tr>
        <w:trPr>
          <w:trHeight w:val="20" w:hRule="atLeast"/>
        </w:trPr>
        <w:tc>
          <w:tcPr>
            <w:tcW w:w="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Категория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</w:rPr>
              <w:t>Б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0" w:hRule="atLeast"/>
        </w:trPr>
        <w:tc>
          <w:tcPr>
            <w:tcW w:w="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lang w:val="en-US"/>
              </w:rPr>
            </w:pPr>
            <w:r>
              <w:rPr>
                <w:bCs/>
              </w:rPr>
              <w:t>Упаковка</w:t>
            </w:r>
            <w:r>
              <w:rPr>
                <w:bCs/>
                <w:vertAlign w:val="superscript"/>
                <w:lang w:val="en-US"/>
              </w:rPr>
              <w:t>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 xml:space="preserve">Соответствие: Технический регламент Таможенного союза «О безопасности упаковки» </w:t>
            </w:r>
            <w:r>
              <w:rPr>
                <w:bCs/>
                <w:iCs/>
              </w:rPr>
              <w:t xml:space="preserve">от 16.08.2011 </w:t>
            </w:r>
            <w:r>
              <w:rPr>
                <w:bCs/>
              </w:rPr>
              <w:t>ТР ТС 005/2011.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hnormanonformat"/>
              <w:spacing w:beforeAutospacing="0" w:before="0" w:afterAutospacing="0"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735" w:hRule="atLeast"/>
        </w:trPr>
        <w:tc>
          <w:tcPr>
            <w:tcW w:w="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Маркировка</w:t>
            </w:r>
            <w:r>
              <w:rPr>
                <w:bCs/>
                <w:vertAlign w:val="superscript"/>
              </w:rPr>
              <w:t>3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  <w:iCs/>
              </w:rPr>
              <w:t>Соответствие: Технический регламент Таможенного союза «Пищевая продукция в части ее маркировки» от 09.12.2011 ТР ТС 022/2011.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hnormanonformat"/>
              <w:spacing w:beforeAutospacing="0" w:before="0" w:afterAutospacing="0"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170" w:hRule="atLeast"/>
        </w:trPr>
        <w:tc>
          <w:tcPr>
            <w:tcW w:w="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Наименование колбасного изделия</w:t>
            </w:r>
            <w:r>
              <w:rPr>
                <w:bCs/>
                <w:vertAlign w:val="superscript"/>
              </w:rPr>
              <w:t>4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  <w:iCs/>
              </w:rPr>
              <w:t>«</w:t>
            </w:r>
            <w:r>
              <w:rPr>
                <w:bCs/>
                <w:iCs/>
              </w:rPr>
              <w:t>Обыкновенные</w:t>
            </w:r>
            <w:r>
              <w:rPr>
                <w:bCs/>
                <w:iCs/>
              </w:rPr>
              <w:t>»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hnormanonformat"/>
              <w:spacing w:beforeAutospacing="0" w:before="0" w:afterAutospacing="0"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tbl>
      <w:tblPr>
        <w:tblW w:w="1456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90"/>
        <w:gridCol w:w="1545"/>
        <w:gridCol w:w="1755"/>
        <w:gridCol w:w="1020"/>
        <w:gridCol w:w="5100"/>
        <w:gridCol w:w="2265"/>
        <w:gridCol w:w="2490"/>
      </w:tblGrid>
      <w:tr>
        <w:trPr>
          <w:trHeight w:val="363" w:hRule="atLeast"/>
        </w:trPr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/>
            </w:pPr>
            <w:r>
              <w:rPr/>
            </w:r>
          </w:p>
        </w:tc>
        <w:tc>
          <w:tcPr>
            <w:tcW w:w="1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Печень говяжья замороженная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Общие требования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Соответствие: Технический регламент Таможенного союза «О безопасности пищевой продукции» от 09.12.2011 ТР ТС 021/2011, Технический регламент Таможенного союза «О безопасности мяса и мясной продукции» от 09.10.2013 ТР ТС 034/2013.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Товар по показателям качества и безопасности должен соответствовать требованиям ГОСТ 32244-2013 «</w:t>
            </w:r>
            <w:r>
              <w:rPr/>
              <w:t>Субпродукты мясные обработанные. Технические условия»</w:t>
            </w:r>
            <w:r>
              <w:rPr>
                <w:bCs/>
              </w:rPr>
              <w:t xml:space="preserve"> </w:t>
            </w:r>
            <w:r>
              <w:rPr>
                <w:rFonts w:eastAsia="Calibri"/>
              </w:rPr>
              <w:t>или других технических документов с показателями качества и безопасности, не ниже указанных для данного товара.</w:t>
            </w:r>
          </w:p>
        </w:tc>
      </w:tr>
      <w:tr>
        <w:trPr>
          <w:trHeight w:val="2538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/>
            </w:pPr>
            <w:r>
              <w:rPr/>
            </w:r>
          </w:p>
        </w:tc>
        <w:tc>
          <w:tcPr>
            <w:tcW w:w="1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Упаковка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Транспортная упаковка и упаковочные материалы должны быть чистыми, сухими, без постороннего запаха.</w:t>
            </w:r>
          </w:p>
          <w:p>
            <w:pPr>
              <w:pStyle w:val="Normal"/>
              <w:rPr/>
            </w:pPr>
            <w:r>
              <w:rPr>
                <w:bCs/>
              </w:rPr>
              <w:t>Соответствие: Технический регламент Таможенного союза «О безопасности упаковки» от 16.08.2011 ТР ТС 005/2011.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Замороженную печень упаковывают в пленки или пакеты целыми изделиями при поштучном замораживании или в виде блоков.</w:t>
            </w:r>
          </w:p>
          <w:p>
            <w:pPr>
              <w:pStyle w:val="Normal"/>
              <w:rPr/>
            </w:pPr>
            <w:r>
              <w:rPr>
                <w:bCs/>
              </w:rPr>
              <w:t>Транспортная упаковка: ящики из гофрированного картона или ящики полимерные многооборотные.</w:t>
            </w:r>
          </w:p>
        </w:tc>
      </w:tr>
      <w:tr>
        <w:trPr>
          <w:trHeight w:val="2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/>
            </w:pPr>
            <w:r>
              <w:rPr/>
            </w:r>
          </w:p>
        </w:tc>
        <w:tc>
          <w:tcPr>
            <w:tcW w:w="1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Cs/>
              </w:rPr>
              <w:t>Маркировка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Cs/>
                <w:iCs/>
              </w:rPr>
              <w:t xml:space="preserve">Соответствие: Технический регламент </w:t>
            </w:r>
            <w:r>
              <w:rPr>
                <w:rFonts w:eastAsia="Calibri" w:eastAsiaTheme="minorHAnsi"/>
                <w:lang w:eastAsia="en-US"/>
              </w:rPr>
              <w:t>Таможенного союза «Пищевая продукция в части ее маркировки» от 09.12.2011 ТР ТС 022/2011</w:t>
            </w:r>
            <w:r>
              <w:rPr>
                <w:bCs/>
                <w:iCs/>
              </w:rPr>
              <w:t>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/>
            </w:pPr>
            <w:r>
              <w:rPr/>
            </w:r>
          </w:p>
        </w:tc>
        <w:tc>
          <w:tcPr>
            <w:tcW w:w="1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Цвет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От светло-коричневого до темно-коричневого с оттенками</w:t>
            </w:r>
          </w:p>
        </w:tc>
      </w:tr>
      <w:tr>
        <w:trPr>
          <w:trHeight w:val="1398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rPr/>
            </w:pPr>
            <w:r>
              <w:rPr/>
            </w:r>
          </w:p>
        </w:tc>
        <w:tc>
          <w:tcPr>
            <w:tcW w:w="1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Cs/>
              </w:rPr>
              <w:t>Внешний вид и запах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Без наружных кровеносных сосудов и желчных протоков; без лимфатических узлов, желчного пузыря и прирезей посторонних тканей.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jc w:val="left"/>
              <w:rPr/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Запах свойственный доброкачественным субпродуктам, характерный для конкретного наименования, без постороннего.</w:t>
            </w:r>
          </w:p>
        </w:tc>
      </w:tr>
    </w:tbl>
    <w:p>
      <w:pPr>
        <w:pStyle w:val="Normal"/>
        <w:jc w:val="center"/>
        <w:rPr>
          <w:i/>
          <w:i/>
          <w:lang w:val="x-none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709" w:top="1701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21c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2621cb"/>
    <w:rPr>
      <w:rFonts w:ascii="Arial" w:hAnsi="Arial" w:eastAsia="Times New Roman" w:cs="Arial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21cb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4"/>
    <w:uiPriority w:val="99"/>
    <w:semiHidden/>
    <w:qFormat/>
    <w:rsid w:val="002621cb"/>
    <w:rPr>
      <w:sz w:val="20"/>
      <w:szCs w:val="20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2621cb"/>
    <w:rPr>
      <w:rFonts w:ascii="Tahoma" w:hAnsi="Tahoma" w:eastAsia="Times New Roman" w:cs="Tahoma"/>
      <w:sz w:val="16"/>
      <w:szCs w:val="16"/>
      <w:lang w:eastAsia="ru-RU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83000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830005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ConsPlusNormal1" w:customStyle="1">
    <w:name w:val="ConsPlusNormal"/>
    <w:link w:val="ConsPlusNormal0"/>
    <w:qFormat/>
    <w:rsid w:val="002621cb"/>
    <w:pPr>
      <w:widowControl w:val="false"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eastAsia="ru-RU" w:val="ru-RU" w:bidi="ar-SA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2621c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2621cb"/>
    <w:pPr/>
    <w:rPr>
      <w:rFonts w:ascii="Tahoma" w:hAnsi="Tahoma" w:cs="Tahoma"/>
      <w:sz w:val="16"/>
      <w:szCs w:val="16"/>
    </w:rPr>
  </w:style>
  <w:style w:type="paragraph" w:styleId="Tekstob" w:customStyle="1">
    <w:name w:val="tekstob"/>
    <w:basedOn w:val="Normal"/>
    <w:qFormat/>
    <w:rsid w:val="00391231"/>
    <w:pPr>
      <w:spacing w:beforeAutospacing="1" w:afterAutospacing="1"/>
    </w:pPr>
    <w:rPr>
      <w:rFonts w:eastAsia="Calibri"/>
      <w:sz w:val="24"/>
      <w:szCs w:val="24"/>
    </w:rPr>
  </w:style>
  <w:style w:type="paragraph" w:styleId="Tehnormanonformat" w:customStyle="1">
    <w:name w:val="tehnormanonformat"/>
    <w:basedOn w:val="Normal"/>
    <w:qFormat/>
    <w:rsid w:val="00391231"/>
    <w:pPr>
      <w:spacing w:beforeAutospacing="1" w:afterAutospacing="1"/>
    </w:pPr>
    <w:rPr>
      <w:rFonts w:eastAsia="Calibri"/>
      <w:sz w:val="24"/>
      <w:szCs w:val="24"/>
    </w:rPr>
  </w:style>
  <w:style w:type="paragraph" w:styleId="Style23" w:customStyle="1">
    <w:name w:val="Нормальный (таблица)"/>
    <w:basedOn w:val="Normal"/>
    <w:next w:val="Normal"/>
    <w:uiPriority w:val="99"/>
    <w:qFormat/>
    <w:rsid w:val="00d31662"/>
    <w:pPr>
      <w:widowControl w:val="false"/>
      <w:jc w:val="both"/>
    </w:pPr>
    <w:rPr>
      <w:rFonts w:ascii="Arial" w:hAnsi="Arial" w:eastAsia="Calibri" w:cs="Arial"/>
      <w:sz w:val="24"/>
      <w:szCs w:val="24"/>
    </w:rPr>
  </w:style>
  <w:style w:type="paragraph" w:styleId="Style24">
    <w:name w:val="Header"/>
    <w:basedOn w:val="Normal"/>
    <w:link w:val="aa"/>
    <w:uiPriority w:val="99"/>
    <w:unhideWhenUsed/>
    <w:rsid w:val="008300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c"/>
    <w:uiPriority w:val="99"/>
    <w:unhideWhenUsed/>
    <w:rsid w:val="008300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c90b6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E17FB-DEE7-4C9F-B596-05094D06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LibreOffice/6.2.3.2$Windows_x86 LibreOffice_project/aecc05fe267cc68dde00352a451aa867b3b546ac</Application>
  <Pages>2</Pages>
  <Words>377</Words>
  <Characters>2750</Characters>
  <CharactersWithSpaces>3081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2019-02-08T09:38:00Z</dcterms:created>
  <dc:creator/>
  <dc:description/>
  <dc:language>ru-RU</dc:language>
  <cp:lastModifiedBy/>
  <dcterms:modified xsi:type="dcterms:W3CDTF">2019-07-02T10:26:06Z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