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44F97" w14:textId="77777777" w:rsidR="00654E8F" w:rsidRPr="001549D3" w:rsidRDefault="00654E8F" w:rsidP="0001436A">
      <w:pPr>
        <w:pStyle w:val="SupplementaryMaterial"/>
        <w:rPr>
          <w:b w:val="0"/>
        </w:rPr>
      </w:pPr>
      <w:r w:rsidRPr="001549D3">
        <w:t>Supplementary Material</w:t>
      </w:r>
    </w:p>
    <w:p w14:paraId="0C1E3C16" w14:textId="77777777" w:rsidR="00293619" w:rsidRPr="00F5700F" w:rsidRDefault="00293619" w:rsidP="00293619">
      <w:pPr>
        <w:jc w:val="center"/>
        <w:rPr>
          <w:rFonts w:ascii="Times" w:hAnsi="Times" w:cs="Times New Roman"/>
          <w:sz w:val="32"/>
          <w:szCs w:val="32"/>
        </w:rPr>
      </w:pPr>
      <w:r w:rsidRPr="00F5700F">
        <w:rPr>
          <w:rFonts w:cs="Times New Roman"/>
          <w:b/>
          <w:bCs/>
          <w:sz w:val="32"/>
          <w:szCs w:val="32"/>
        </w:rPr>
        <w:t xml:space="preserve">Are </w:t>
      </w:r>
      <w:proofErr w:type="spellStart"/>
      <w:r w:rsidRPr="00F5700F">
        <w:rPr>
          <w:rFonts w:cs="Times New Roman"/>
          <w:b/>
          <w:bCs/>
          <w:sz w:val="32"/>
          <w:szCs w:val="32"/>
        </w:rPr>
        <w:t>oligotypes</w:t>
      </w:r>
      <w:proofErr w:type="spellEnd"/>
      <w:r w:rsidRPr="00F5700F">
        <w:rPr>
          <w:rFonts w:cs="Times New Roman"/>
          <w:b/>
          <w:bCs/>
          <w:sz w:val="32"/>
          <w:szCs w:val="32"/>
        </w:rPr>
        <w:t xml:space="preserve"> meaningful ecological and phylogenetic units? A case study of </w:t>
      </w:r>
      <w:r w:rsidRPr="00341C5F">
        <w:rPr>
          <w:rFonts w:cs="Times New Roman"/>
          <w:b/>
          <w:bCs/>
          <w:i/>
          <w:iCs/>
          <w:sz w:val="32"/>
          <w:szCs w:val="32"/>
        </w:rPr>
        <w:t>Microcystis</w:t>
      </w:r>
      <w:r w:rsidRPr="00F5700F">
        <w:rPr>
          <w:rFonts w:cs="Times New Roman"/>
          <w:b/>
          <w:bCs/>
          <w:i/>
          <w:iCs/>
          <w:sz w:val="32"/>
          <w:szCs w:val="32"/>
        </w:rPr>
        <w:t xml:space="preserve"> </w:t>
      </w:r>
      <w:r w:rsidRPr="00F5700F">
        <w:rPr>
          <w:rFonts w:cs="Times New Roman"/>
          <w:b/>
          <w:bCs/>
          <w:sz w:val="32"/>
          <w:szCs w:val="32"/>
        </w:rPr>
        <w:t>in freshwater lakes</w:t>
      </w:r>
    </w:p>
    <w:p w14:paraId="7EF3BE80" w14:textId="77777777" w:rsidR="00293619" w:rsidRPr="00370B94" w:rsidRDefault="00293619" w:rsidP="00293619">
      <w:pPr>
        <w:spacing w:before="240" w:after="0"/>
        <w:rPr>
          <w:rFonts w:cs="Times New Roman"/>
          <w:b/>
          <w:szCs w:val="24"/>
        </w:rPr>
      </w:pPr>
      <w:r w:rsidRPr="00370B94">
        <w:rPr>
          <w:rFonts w:cs="Times New Roman"/>
          <w:b/>
          <w:szCs w:val="24"/>
        </w:rPr>
        <w:t>Michelle A. Berry</w:t>
      </w:r>
      <w:r w:rsidRPr="00370B94">
        <w:rPr>
          <w:rFonts w:cs="Times New Roman"/>
          <w:b/>
          <w:szCs w:val="24"/>
          <w:vertAlign w:val="superscript"/>
        </w:rPr>
        <w:t>1</w:t>
      </w:r>
      <w:r w:rsidRPr="00370B94">
        <w:rPr>
          <w:rFonts w:cs="Times New Roman"/>
          <w:b/>
          <w:szCs w:val="24"/>
        </w:rPr>
        <w:t>, Jeffrey D. White</w:t>
      </w:r>
      <w:r w:rsidRPr="00370B94">
        <w:rPr>
          <w:rFonts w:cs="Times New Roman"/>
          <w:b/>
          <w:szCs w:val="24"/>
          <w:vertAlign w:val="superscript"/>
        </w:rPr>
        <w:t>2</w:t>
      </w:r>
      <w:r w:rsidRPr="00370B94">
        <w:rPr>
          <w:rFonts w:cs="Times New Roman"/>
          <w:b/>
          <w:szCs w:val="24"/>
        </w:rPr>
        <w:t>, Timothy W. Davis</w:t>
      </w:r>
      <w:r w:rsidRPr="00370B94">
        <w:rPr>
          <w:rFonts w:cs="Times New Roman"/>
          <w:b/>
          <w:szCs w:val="24"/>
          <w:vertAlign w:val="superscript"/>
        </w:rPr>
        <w:t>3</w:t>
      </w:r>
      <w:r w:rsidRPr="00370B94">
        <w:rPr>
          <w:rFonts w:cs="Times New Roman"/>
          <w:b/>
          <w:szCs w:val="24"/>
        </w:rPr>
        <w:t xml:space="preserve">, </w:t>
      </w:r>
      <w:proofErr w:type="spellStart"/>
      <w:r w:rsidRPr="00370B94">
        <w:rPr>
          <w:rFonts w:cs="Times New Roman"/>
          <w:b/>
          <w:szCs w:val="24"/>
        </w:rPr>
        <w:t>Sunit</w:t>
      </w:r>
      <w:proofErr w:type="spellEnd"/>
      <w:r w:rsidRPr="00370B94">
        <w:rPr>
          <w:rFonts w:cs="Times New Roman"/>
          <w:b/>
          <w:szCs w:val="24"/>
        </w:rPr>
        <w:t xml:space="preserve"> Jain</w:t>
      </w:r>
      <w:r w:rsidRPr="00370B94">
        <w:rPr>
          <w:rFonts w:cs="Times New Roman"/>
          <w:b/>
          <w:szCs w:val="24"/>
          <w:vertAlign w:val="superscript"/>
        </w:rPr>
        <w:t>4</w:t>
      </w:r>
      <w:proofErr w:type="gramStart"/>
      <w:r w:rsidRPr="00370B94">
        <w:rPr>
          <w:rFonts w:cs="Times New Roman"/>
          <w:b/>
          <w:szCs w:val="24"/>
          <w:vertAlign w:val="superscript"/>
        </w:rPr>
        <w:t>,§</w:t>
      </w:r>
      <w:proofErr w:type="gramEnd"/>
      <w:r w:rsidRPr="00370B94">
        <w:rPr>
          <w:rFonts w:cs="Times New Roman"/>
          <w:b/>
          <w:szCs w:val="24"/>
        </w:rPr>
        <w:t>, Thomas H. Johengen</w:t>
      </w:r>
      <w:r w:rsidRPr="00370B94">
        <w:rPr>
          <w:rFonts w:cs="Times New Roman"/>
          <w:b/>
          <w:szCs w:val="24"/>
          <w:vertAlign w:val="superscript"/>
        </w:rPr>
        <w:t>5</w:t>
      </w:r>
      <w:r w:rsidRPr="00370B94">
        <w:rPr>
          <w:rFonts w:cs="Times New Roman"/>
          <w:b/>
          <w:szCs w:val="24"/>
        </w:rPr>
        <w:t>, Gregory J. Dick</w:t>
      </w:r>
      <w:r w:rsidRPr="00370B94">
        <w:rPr>
          <w:rFonts w:cs="Times New Roman"/>
          <w:b/>
          <w:szCs w:val="24"/>
          <w:vertAlign w:val="superscript"/>
        </w:rPr>
        <w:t>4</w:t>
      </w:r>
      <w:r w:rsidRPr="00370B94">
        <w:rPr>
          <w:rFonts w:cs="Times New Roman"/>
          <w:b/>
          <w:szCs w:val="24"/>
        </w:rPr>
        <w:t>, Orlando Sarnelle</w:t>
      </w:r>
      <w:r w:rsidRPr="00370B94">
        <w:rPr>
          <w:rFonts w:cs="Times New Roman"/>
          <w:b/>
          <w:szCs w:val="24"/>
          <w:vertAlign w:val="superscript"/>
        </w:rPr>
        <w:t>6</w:t>
      </w:r>
      <w:r w:rsidRPr="00370B94">
        <w:rPr>
          <w:rFonts w:cs="Times New Roman"/>
          <w:b/>
          <w:szCs w:val="24"/>
        </w:rPr>
        <w:t>, and Vincent J. Denef</w:t>
      </w:r>
      <w:r w:rsidRPr="00370B94">
        <w:rPr>
          <w:rFonts w:cs="Times New Roman"/>
          <w:b/>
          <w:szCs w:val="24"/>
          <w:vertAlign w:val="superscript"/>
        </w:rPr>
        <w:t>1*</w:t>
      </w:r>
    </w:p>
    <w:p w14:paraId="67E042A3" w14:textId="77777777" w:rsidR="002868E2" w:rsidRPr="00994A3D" w:rsidRDefault="002868E2" w:rsidP="00994A3D">
      <w:pPr>
        <w:spacing w:before="240" w:after="0"/>
        <w:rPr>
          <w:rFonts w:cs="Times New Roman"/>
        </w:rPr>
      </w:pPr>
      <w:r w:rsidRPr="00994A3D">
        <w:rPr>
          <w:rFonts w:cs="Times New Roman"/>
          <w:b/>
        </w:rPr>
        <w:t xml:space="preserve">* Correspondence: </w:t>
      </w:r>
      <w:r w:rsidR="00293619">
        <w:rPr>
          <w:rFonts w:cs="Times New Roman"/>
        </w:rPr>
        <w:t xml:space="preserve">Vincent </w:t>
      </w:r>
      <w:proofErr w:type="spellStart"/>
      <w:r w:rsidR="00293619">
        <w:rPr>
          <w:rFonts w:cs="Times New Roman"/>
        </w:rPr>
        <w:t>Denef</w:t>
      </w:r>
      <w:proofErr w:type="spellEnd"/>
      <w:r w:rsidR="00994A3D" w:rsidRPr="00994A3D">
        <w:rPr>
          <w:rFonts w:cs="Times New Roman"/>
        </w:rPr>
        <w:t xml:space="preserve">: </w:t>
      </w:r>
      <w:r w:rsidR="00293619">
        <w:rPr>
          <w:rFonts w:cs="Times New Roman"/>
        </w:rPr>
        <w:t>vdenef@umich.edu</w:t>
      </w:r>
    </w:p>
    <w:p w14:paraId="21695716" w14:textId="77777777" w:rsidR="00DD3579" w:rsidRDefault="00DD3579" w:rsidP="00DD3579">
      <w:pPr>
        <w:pStyle w:val="NormalWeb"/>
        <w:spacing w:before="0" w:beforeAutospacing="0" w:after="0" w:afterAutospacing="0" w:line="480" w:lineRule="auto"/>
        <w:rPr>
          <w:b/>
          <w:bCs/>
          <w:color w:val="000000"/>
        </w:rPr>
      </w:pPr>
    </w:p>
    <w:p w14:paraId="613EA1BC" w14:textId="77777777" w:rsidR="00DD3579" w:rsidRPr="00DD3579" w:rsidRDefault="00DD3579" w:rsidP="00DD3579">
      <w:pPr>
        <w:spacing w:before="0" w:after="0" w:line="480" w:lineRule="auto"/>
        <w:rPr>
          <w:rFonts w:eastAsia="Times New Roman" w:cs="Times New Roman"/>
          <w:szCs w:val="24"/>
        </w:rPr>
      </w:pPr>
      <w:r w:rsidRPr="00DD3579">
        <w:rPr>
          <w:rFonts w:eastAsia="Times New Roman" w:cs="Times New Roman"/>
          <w:b/>
          <w:bCs/>
          <w:color w:val="000000"/>
          <w:szCs w:val="24"/>
        </w:rPr>
        <w:t>Materials and Methods</w:t>
      </w:r>
    </w:p>
    <w:p w14:paraId="3ACF92B9" w14:textId="77777777" w:rsidR="00DD3579" w:rsidRPr="00DD3579" w:rsidRDefault="00DD3579" w:rsidP="00DD3579">
      <w:pPr>
        <w:numPr>
          <w:ilvl w:val="1"/>
          <w:numId w:val="20"/>
        </w:numPr>
        <w:spacing w:before="0" w:after="0"/>
        <w:rPr>
          <w:rFonts w:eastAsia="Times New Roman" w:cs="Times New Roman"/>
          <w:i/>
          <w:iCs/>
          <w:color w:val="000000"/>
          <w:szCs w:val="24"/>
        </w:rPr>
      </w:pPr>
      <w:r w:rsidRPr="00DD3579">
        <w:rPr>
          <w:rFonts w:eastAsia="Times New Roman" w:cs="Times New Roman"/>
          <w:i/>
          <w:iCs/>
          <w:color w:val="000000"/>
          <w:szCs w:val="24"/>
        </w:rPr>
        <w:t>Lake Erie field sample collection</w:t>
      </w:r>
    </w:p>
    <w:p w14:paraId="483C8C7D" w14:textId="77777777" w:rsidR="00DD3579" w:rsidRPr="00DD3579" w:rsidRDefault="00DD3579" w:rsidP="00DD3579">
      <w:pPr>
        <w:spacing w:before="0" w:after="0"/>
        <w:ind w:left="360"/>
        <w:rPr>
          <w:rFonts w:eastAsia="Times New Roman" w:cs="Times New Roman"/>
          <w:szCs w:val="24"/>
        </w:rPr>
      </w:pPr>
    </w:p>
    <w:p w14:paraId="55E6639C" w14:textId="77777777" w:rsidR="00DD3579" w:rsidRPr="00DD3579" w:rsidRDefault="00DD3579" w:rsidP="00DD3579">
      <w:pPr>
        <w:spacing w:before="0" w:after="0"/>
        <w:rPr>
          <w:rFonts w:eastAsia="Times New Roman" w:cs="Times New Roman"/>
          <w:color w:val="000000"/>
          <w:szCs w:val="24"/>
        </w:rPr>
      </w:pPr>
      <w:r w:rsidRPr="00DD3579">
        <w:rPr>
          <w:rFonts w:eastAsia="Times New Roman" w:cs="Times New Roman"/>
          <w:color w:val="000000"/>
          <w:szCs w:val="24"/>
        </w:rPr>
        <w:t xml:space="preserve">Samples were collected approximately weekly between mid-June and late October, 2014 from three stations (nearshore1, nearshore2, offshore) in the western basin of Lake Erie, which correspond to NOAA long-term monitoring sites WE12, WE2, WE4 respectively (NOAA-GLERL). Nearshore1 is closest to the water intake for the city of Toledo, nearshore2 is near the mouth of the Maumee River, and the offshore site is on the edge of typical bloom perimeter. Using a peristaltic pump, we collected a 20 L depth-integrated (0.5 m from surface - 1 m below bottom) water sample. Two liters of lake water was poured through a </w:t>
      </w:r>
      <w:proofErr w:type="gramStart"/>
      <w:r w:rsidRPr="00DD3579">
        <w:rPr>
          <w:rFonts w:eastAsia="Times New Roman" w:cs="Times New Roman"/>
          <w:color w:val="000000"/>
          <w:szCs w:val="24"/>
        </w:rPr>
        <w:t xml:space="preserve">100 </w:t>
      </w:r>
      <w:proofErr w:type="spellStart"/>
      <w:r w:rsidRPr="00DD3579">
        <w:rPr>
          <w:rFonts w:eastAsia="Times New Roman" w:cs="Times New Roman"/>
          <w:color w:val="000000"/>
          <w:szCs w:val="24"/>
        </w:rPr>
        <w:t>μm</w:t>
      </w:r>
      <w:proofErr w:type="spellEnd"/>
      <w:proofErr w:type="gram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Nitex</w:t>
      </w:r>
      <w:proofErr w:type="spellEnd"/>
      <w:r w:rsidRPr="00DD3579">
        <w:rPr>
          <w:rFonts w:eastAsia="Times New Roman" w:cs="Times New Roman"/>
          <w:color w:val="000000"/>
          <w:szCs w:val="24"/>
        </w:rPr>
        <w:t xml:space="preserve"> mesh filter to collect the large colonial fraction. (</w:t>
      </w:r>
      <w:proofErr w:type="spellStart"/>
      <w:r w:rsidRPr="00DD3579">
        <w:rPr>
          <w:rFonts w:eastAsia="Times New Roman" w:cs="Times New Roman"/>
          <w:color w:val="000000"/>
          <w:szCs w:val="24"/>
        </w:rPr>
        <w:t>Wildco</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Inc</w:t>
      </w:r>
      <w:proofErr w:type="spellEnd"/>
      <w:r w:rsidRPr="00DD3579">
        <w:rPr>
          <w:rFonts w:eastAsia="Times New Roman" w:cs="Times New Roman"/>
          <w:color w:val="000000"/>
          <w:szCs w:val="24"/>
        </w:rPr>
        <w:t xml:space="preserve">, Yulee, FL). The </w:t>
      </w:r>
      <w:proofErr w:type="spellStart"/>
      <w:r w:rsidRPr="00DD3579">
        <w:rPr>
          <w:rFonts w:eastAsia="Times New Roman" w:cs="Times New Roman"/>
          <w:color w:val="000000"/>
          <w:szCs w:val="24"/>
        </w:rPr>
        <w:t>retentate</w:t>
      </w:r>
      <w:proofErr w:type="spellEnd"/>
      <w:r w:rsidRPr="00DD3579">
        <w:rPr>
          <w:rFonts w:eastAsia="Times New Roman" w:cs="Times New Roman"/>
          <w:color w:val="000000"/>
          <w:szCs w:val="24"/>
        </w:rPr>
        <w:t xml:space="preserve"> from the </w:t>
      </w:r>
      <w:proofErr w:type="gramStart"/>
      <w:r w:rsidRPr="00DD3579">
        <w:rPr>
          <w:rFonts w:eastAsia="Times New Roman" w:cs="Times New Roman"/>
          <w:color w:val="000000"/>
          <w:szCs w:val="24"/>
        </w:rPr>
        <w:t xml:space="preserve">100 </w:t>
      </w:r>
      <w:proofErr w:type="spellStart"/>
      <w:r w:rsidRPr="00DD3579">
        <w:rPr>
          <w:rFonts w:eastAsia="Times New Roman" w:cs="Times New Roman"/>
          <w:color w:val="000000"/>
          <w:szCs w:val="24"/>
        </w:rPr>
        <w:t>μm</w:t>
      </w:r>
      <w:proofErr w:type="spellEnd"/>
      <w:proofErr w:type="gramEnd"/>
      <w:r w:rsidRPr="00DD3579">
        <w:rPr>
          <w:rFonts w:eastAsia="Times New Roman" w:cs="Times New Roman"/>
          <w:color w:val="000000"/>
          <w:szCs w:val="24"/>
        </w:rPr>
        <w:t xml:space="preserve"> mesh was backwashed into a falcon tube using altered BG-11 medium and </w:t>
      </w:r>
      <w:proofErr w:type="spellStart"/>
      <w:r w:rsidRPr="00DD3579">
        <w:rPr>
          <w:rFonts w:eastAsia="Times New Roman" w:cs="Times New Roman"/>
          <w:color w:val="000000"/>
          <w:szCs w:val="24"/>
        </w:rPr>
        <w:t>RNAlater</w:t>
      </w:r>
      <w:proofErr w:type="spellEnd"/>
      <w:r w:rsidRPr="00DD3579">
        <w:rPr>
          <w:rFonts w:eastAsia="Times New Roman" w:cs="Times New Roman"/>
          <w:color w:val="000000"/>
          <w:szCs w:val="24"/>
        </w:rPr>
        <w:t xml:space="preserve"> was added in a 2:1 ratio with the backwash. These samples were filtered onto a 47 mm diameter, 1 </w:t>
      </w:r>
      <w:proofErr w:type="spellStart"/>
      <w:r w:rsidRPr="00DD3579">
        <w:rPr>
          <w:rFonts w:eastAsia="Times New Roman" w:cs="Times New Roman"/>
          <w:color w:val="000000"/>
          <w:szCs w:val="24"/>
        </w:rPr>
        <w:t>μm</w:t>
      </w:r>
      <w:proofErr w:type="spellEnd"/>
      <w:r w:rsidRPr="00DD3579">
        <w:rPr>
          <w:rFonts w:eastAsia="Times New Roman" w:cs="Times New Roman"/>
          <w:color w:val="000000"/>
          <w:szCs w:val="24"/>
        </w:rPr>
        <w:t xml:space="preserve"> pore size Glass Fiber Filter (Millipore, Inc., Billerica, MA) with a syringe. After filtration, all filters were placed into 2 ml </w:t>
      </w:r>
      <w:proofErr w:type="spellStart"/>
      <w:r w:rsidRPr="00DD3579">
        <w:rPr>
          <w:rFonts w:eastAsia="Times New Roman" w:cs="Times New Roman"/>
          <w:color w:val="000000"/>
          <w:szCs w:val="24"/>
        </w:rPr>
        <w:t>cryovials</w:t>
      </w:r>
      <w:proofErr w:type="spellEnd"/>
      <w:r w:rsidRPr="00DD3579">
        <w:rPr>
          <w:rFonts w:eastAsia="Times New Roman" w:cs="Times New Roman"/>
          <w:color w:val="000000"/>
          <w:szCs w:val="24"/>
        </w:rPr>
        <w:t xml:space="preserve"> with 1 ml of </w:t>
      </w:r>
      <w:proofErr w:type="spellStart"/>
      <w:r w:rsidRPr="00DD3579">
        <w:rPr>
          <w:rFonts w:eastAsia="Times New Roman" w:cs="Times New Roman"/>
          <w:color w:val="000000"/>
          <w:szCs w:val="24"/>
        </w:rPr>
        <w:t>RNAlater</w:t>
      </w:r>
      <w:proofErr w:type="spellEnd"/>
      <w:r w:rsidRPr="00DD3579">
        <w:rPr>
          <w:rFonts w:eastAsia="Times New Roman" w:cs="Times New Roman"/>
          <w:color w:val="000000"/>
          <w:szCs w:val="24"/>
        </w:rPr>
        <w:t xml:space="preserve"> and frozen at -80 degrees C until extraction.</w:t>
      </w:r>
    </w:p>
    <w:p w14:paraId="02884D77" w14:textId="77777777" w:rsidR="00DD3579" w:rsidRPr="00DD3579" w:rsidRDefault="00DD3579" w:rsidP="00DD3579">
      <w:pPr>
        <w:spacing w:before="0" w:after="0"/>
        <w:ind w:firstLine="720"/>
        <w:rPr>
          <w:rFonts w:eastAsia="Times New Roman" w:cs="Times New Roman"/>
          <w:szCs w:val="24"/>
        </w:rPr>
      </w:pPr>
    </w:p>
    <w:p w14:paraId="42107006"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Particulate </w:t>
      </w:r>
      <w:proofErr w:type="spellStart"/>
      <w:r w:rsidRPr="00DD3579">
        <w:rPr>
          <w:rFonts w:eastAsia="Times New Roman" w:cs="Times New Roman"/>
          <w:color w:val="000000"/>
          <w:szCs w:val="24"/>
        </w:rPr>
        <w:t>microcystins</w:t>
      </w:r>
      <w:proofErr w:type="spellEnd"/>
      <w:r w:rsidRPr="00DD3579">
        <w:rPr>
          <w:rFonts w:eastAsia="Times New Roman" w:cs="Times New Roman"/>
          <w:color w:val="000000"/>
          <w:szCs w:val="24"/>
        </w:rPr>
        <w:t xml:space="preserve"> were extracted and analyzed using </w:t>
      </w:r>
      <w:proofErr w:type="gramStart"/>
      <w:r w:rsidRPr="00DD3579">
        <w:rPr>
          <w:rFonts w:eastAsia="Times New Roman" w:cs="Times New Roman"/>
          <w:color w:val="000000"/>
          <w:szCs w:val="24"/>
        </w:rPr>
        <w:t xml:space="preserve">the </w:t>
      </w:r>
      <w:proofErr w:type="spellStart"/>
      <w:r w:rsidRPr="00DD3579">
        <w:rPr>
          <w:rFonts w:eastAsia="Times New Roman" w:cs="Times New Roman"/>
          <w:color w:val="000000"/>
          <w:szCs w:val="24"/>
        </w:rPr>
        <w:t>the</w:t>
      </w:r>
      <w:proofErr w:type="spellEnd"/>
      <w:proofErr w:type="gramEnd"/>
      <w:r w:rsidRPr="00DD3579">
        <w:rPr>
          <w:rFonts w:eastAsia="Times New Roman" w:cs="Times New Roman"/>
          <w:color w:val="000000"/>
          <w:szCs w:val="24"/>
        </w:rPr>
        <w:t xml:space="preserve"> methods described in Davis et al. (2015) and reported in Cory et al. (2016). Phosphorus measurements were analyzed at the NOAA Great Lakes Environmental Research Laboratory using standard techniques (EPA 1979).</w:t>
      </w:r>
    </w:p>
    <w:p w14:paraId="0BA66CF4" w14:textId="77777777" w:rsidR="003F48D0" w:rsidRDefault="003F48D0" w:rsidP="00DD3579">
      <w:pPr>
        <w:spacing w:before="0" w:after="0"/>
        <w:rPr>
          <w:rFonts w:eastAsia="Times New Roman" w:cs="Times New Roman"/>
          <w:i/>
          <w:iCs/>
          <w:color w:val="000000"/>
          <w:szCs w:val="24"/>
        </w:rPr>
      </w:pPr>
    </w:p>
    <w:p w14:paraId="0AAE7DCC" w14:textId="77777777" w:rsidR="00DD3579" w:rsidRPr="00DD3579" w:rsidRDefault="003F48D0" w:rsidP="00DD3579">
      <w:pPr>
        <w:spacing w:before="0" w:after="0"/>
        <w:rPr>
          <w:rFonts w:eastAsia="Times New Roman" w:cs="Times New Roman"/>
          <w:szCs w:val="24"/>
        </w:rPr>
      </w:pPr>
      <w:r>
        <w:rPr>
          <w:rFonts w:eastAsia="Times New Roman" w:cs="Times New Roman"/>
          <w:i/>
          <w:iCs/>
          <w:color w:val="000000"/>
          <w:szCs w:val="24"/>
        </w:rPr>
        <w:t xml:space="preserve">1.2 </w:t>
      </w:r>
      <w:r w:rsidR="00DD3579" w:rsidRPr="00DD3579">
        <w:rPr>
          <w:rFonts w:eastAsia="Times New Roman" w:cs="Times New Roman"/>
          <w:i/>
          <w:iCs/>
          <w:color w:val="000000"/>
          <w:szCs w:val="24"/>
        </w:rPr>
        <w:t>Inland lake sampling and culturing of laboratory strains</w:t>
      </w:r>
    </w:p>
    <w:p w14:paraId="631CB494" w14:textId="77777777" w:rsidR="00DD3579" w:rsidRPr="00DD3579" w:rsidRDefault="00DD3579" w:rsidP="00DD3579">
      <w:pPr>
        <w:spacing w:before="0" w:after="0"/>
        <w:rPr>
          <w:rFonts w:eastAsia="Times New Roman" w:cs="Times New Roman"/>
          <w:szCs w:val="24"/>
        </w:rPr>
      </w:pPr>
    </w:p>
    <w:p w14:paraId="5F4877D1"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Water samples were collected via two pooled casts of an integrating tube sampler (12 m</w:t>
      </w:r>
      <w:r w:rsidRPr="00DD3579">
        <w:rPr>
          <w:rFonts w:ascii="Arial" w:eastAsia="Times New Roman" w:hAnsi="Arial" w:cs="Arial"/>
          <w:color w:val="000000"/>
          <w:sz w:val="22"/>
        </w:rPr>
        <w:t xml:space="preserve"> </w:t>
      </w:r>
      <w:r w:rsidRPr="00DD3579">
        <w:rPr>
          <w:rFonts w:eastAsia="Times New Roman" w:cs="Times New Roman"/>
          <w:color w:val="000000"/>
          <w:szCs w:val="24"/>
        </w:rPr>
        <w:t xml:space="preserve">length × 2.5 cm </w:t>
      </w:r>
      <w:proofErr w:type="spellStart"/>
      <w:r w:rsidRPr="00DD3579">
        <w:rPr>
          <w:rFonts w:eastAsia="Times New Roman" w:cs="Times New Roman"/>
          <w:color w:val="000000"/>
          <w:szCs w:val="24"/>
        </w:rPr>
        <w:t>i.d.</w:t>
      </w:r>
      <w:proofErr w:type="spellEnd"/>
      <w:r w:rsidRPr="00DD3579">
        <w:rPr>
          <w:rFonts w:eastAsia="Times New Roman" w:cs="Times New Roman"/>
          <w:color w:val="000000"/>
          <w:szCs w:val="24"/>
        </w:rPr>
        <w:t>) from the mixed layer of 14 lakes distributed across southern Michigan,</w:t>
      </w:r>
      <w:r w:rsidRPr="00DD3579">
        <w:rPr>
          <w:rFonts w:ascii="Arial" w:eastAsia="Times New Roman" w:hAnsi="Arial" w:cs="Arial"/>
          <w:color w:val="000000"/>
          <w:sz w:val="22"/>
        </w:rPr>
        <w:t xml:space="preserve"> </w:t>
      </w:r>
      <w:r w:rsidRPr="00DD3579">
        <w:rPr>
          <w:rFonts w:eastAsia="Times New Roman" w:cs="Times New Roman"/>
          <w:color w:val="000000"/>
          <w:szCs w:val="24"/>
        </w:rPr>
        <w:t xml:space="preserve">between 5 July and 19 </w:t>
      </w:r>
      <w:proofErr w:type="gramStart"/>
      <w:r w:rsidRPr="00DD3579">
        <w:rPr>
          <w:rFonts w:eastAsia="Times New Roman" w:cs="Times New Roman"/>
          <w:color w:val="000000"/>
          <w:szCs w:val="24"/>
        </w:rPr>
        <w:t>August,</w:t>
      </w:r>
      <w:proofErr w:type="gramEnd"/>
      <w:r w:rsidRPr="00DD3579">
        <w:rPr>
          <w:rFonts w:eastAsia="Times New Roman" w:cs="Times New Roman"/>
          <w:color w:val="000000"/>
          <w:szCs w:val="24"/>
        </w:rPr>
        <w:t xml:space="preserve"> 2011, and again between 6-15 August, 2013 (Table S2). The lakes ranged widely in potential primary productivity as mean summer total phosphorus (TP; 7.9-196.8 μg L</w:t>
      </w:r>
      <w:r w:rsidRPr="00DD3579">
        <w:rPr>
          <w:rFonts w:eastAsia="Times New Roman" w:cs="Times New Roman"/>
          <w:color w:val="000000"/>
          <w:sz w:val="14"/>
          <w:szCs w:val="14"/>
          <w:vertAlign w:val="superscript"/>
        </w:rPr>
        <w:t>-1</w:t>
      </w:r>
      <w:r w:rsidRPr="00DD3579">
        <w:rPr>
          <w:rFonts w:eastAsia="Times New Roman" w:cs="Times New Roman"/>
          <w:color w:val="000000"/>
          <w:szCs w:val="24"/>
        </w:rPr>
        <w:t>, Table S2), determined using standard colorimetric techniques (molybdenum-blue method) and long path</w:t>
      </w:r>
      <w:r w:rsidR="005B565E">
        <w:rPr>
          <w:rFonts w:eastAsia="Times New Roman" w:cs="Times New Roman"/>
          <w:color w:val="000000"/>
          <w:szCs w:val="24"/>
        </w:rPr>
        <w:t xml:space="preserve"> </w:t>
      </w:r>
      <w:r w:rsidRPr="00DD3579">
        <w:rPr>
          <w:rFonts w:eastAsia="Times New Roman" w:cs="Times New Roman"/>
          <w:color w:val="000000"/>
          <w:szCs w:val="24"/>
        </w:rPr>
        <w:t xml:space="preserve">length spectrophotometry following </w:t>
      </w:r>
      <w:proofErr w:type="spellStart"/>
      <w:r w:rsidRPr="00DD3579">
        <w:rPr>
          <w:rFonts w:eastAsia="Times New Roman" w:cs="Times New Roman"/>
          <w:color w:val="000000"/>
          <w:szCs w:val="24"/>
        </w:rPr>
        <w:t>persulfate</w:t>
      </w:r>
      <w:proofErr w:type="spellEnd"/>
      <w:r w:rsidRPr="00DD3579">
        <w:rPr>
          <w:rFonts w:eastAsia="Times New Roman" w:cs="Times New Roman"/>
          <w:color w:val="000000"/>
          <w:szCs w:val="24"/>
        </w:rPr>
        <w:t xml:space="preserve"> digestion of organic matter (Murphy &amp; Riley 1962; </w:t>
      </w:r>
      <w:proofErr w:type="spellStart"/>
      <w:r w:rsidRPr="00DD3579">
        <w:rPr>
          <w:rFonts w:eastAsia="Times New Roman" w:cs="Times New Roman"/>
          <w:color w:val="000000"/>
          <w:szCs w:val="24"/>
        </w:rPr>
        <w:t>Menzel</w:t>
      </w:r>
      <w:proofErr w:type="spellEnd"/>
      <w:r w:rsidRPr="00DD3579">
        <w:rPr>
          <w:rFonts w:eastAsia="Times New Roman" w:cs="Times New Roman"/>
          <w:color w:val="000000"/>
          <w:szCs w:val="24"/>
        </w:rPr>
        <w:t xml:space="preserve"> &amp; Corwin 1965).</w:t>
      </w:r>
    </w:p>
    <w:p w14:paraId="7A2975E6" w14:textId="77777777" w:rsidR="00DD3579" w:rsidRPr="00DD3579" w:rsidRDefault="00DD3579" w:rsidP="00DD3579">
      <w:pPr>
        <w:spacing w:before="0" w:after="0"/>
        <w:rPr>
          <w:rFonts w:eastAsia="Times New Roman" w:cs="Times New Roman"/>
          <w:szCs w:val="24"/>
        </w:rPr>
      </w:pPr>
    </w:p>
    <w:p w14:paraId="239CE4C1" w14:textId="77777777" w:rsidR="00DD3579" w:rsidRPr="00DD3579" w:rsidRDefault="00DD3579" w:rsidP="00DD3579">
      <w:pPr>
        <w:spacing w:before="0" w:after="0"/>
        <w:rPr>
          <w:rFonts w:eastAsia="Times New Roman" w:cs="Times New Roman"/>
          <w:szCs w:val="24"/>
        </w:rPr>
      </w:pPr>
      <w:r w:rsidRPr="00DD3579">
        <w:rPr>
          <w:rFonts w:eastAsia="Times New Roman" w:cs="Times New Roman"/>
          <w:i/>
          <w:iCs/>
          <w:color w:val="000000"/>
          <w:szCs w:val="24"/>
        </w:rPr>
        <w:t>Microcystis</w:t>
      </w:r>
      <w:r w:rsidRPr="00DD3579">
        <w:rPr>
          <w:rFonts w:eastAsia="Times New Roman" w:cs="Times New Roman"/>
          <w:color w:val="000000"/>
          <w:szCs w:val="24"/>
        </w:rPr>
        <w:t xml:space="preserve"> was isolated under a dissecting microscope (16×, Leica MS5) by pipetting individual colonies through a series of six washes in sterile 0.5× WC-S growth medium within a well plate (Corning, Inc., Corning, NY), prior to being transferred into individual 20 mL tubes of growth </w:t>
      </w:r>
      <w:r w:rsidRPr="00DD3579">
        <w:rPr>
          <w:rFonts w:eastAsia="Times New Roman" w:cs="Times New Roman"/>
          <w:color w:val="000000"/>
          <w:szCs w:val="24"/>
        </w:rPr>
        <w:lastRenderedPageBreak/>
        <w:t xml:space="preserve">medium (White et al. 2011). Isolates were given unique designations identifying the originating lake, year, and strain number (e.g., BK11-02; Table S2). Once established, strains were maintained in 200 mL batch cultures of 0.5× WC-S medium at 23°C and ~80 </w:t>
      </w:r>
      <w:proofErr w:type="spellStart"/>
      <w:r w:rsidRPr="00DD3579">
        <w:rPr>
          <w:rFonts w:eastAsia="Times New Roman" w:cs="Times New Roman"/>
          <w:color w:val="000000"/>
          <w:szCs w:val="24"/>
        </w:rPr>
        <w:t>μmol</w:t>
      </w:r>
      <w:proofErr w:type="spellEnd"/>
      <w:r w:rsidRPr="00DD3579">
        <w:rPr>
          <w:rFonts w:eastAsia="Times New Roman" w:cs="Times New Roman"/>
          <w:color w:val="000000"/>
          <w:szCs w:val="24"/>
        </w:rPr>
        <w:t xml:space="preserve"> m</w:t>
      </w:r>
      <w:r w:rsidRPr="00DD3579">
        <w:rPr>
          <w:rFonts w:eastAsia="Times New Roman" w:cs="Times New Roman"/>
          <w:color w:val="000000"/>
          <w:sz w:val="14"/>
          <w:szCs w:val="14"/>
          <w:vertAlign w:val="superscript"/>
        </w:rPr>
        <w:t>-2</w:t>
      </w:r>
      <w:r w:rsidRPr="00DD3579">
        <w:rPr>
          <w:rFonts w:eastAsia="Times New Roman" w:cs="Times New Roman"/>
          <w:color w:val="000000"/>
          <w:szCs w:val="24"/>
        </w:rPr>
        <w:t xml:space="preserve"> s</w:t>
      </w:r>
      <w:r w:rsidRPr="00DD3579">
        <w:rPr>
          <w:rFonts w:eastAsia="Times New Roman" w:cs="Times New Roman"/>
          <w:color w:val="000000"/>
          <w:sz w:val="14"/>
          <w:szCs w:val="14"/>
          <w:vertAlign w:val="superscript"/>
        </w:rPr>
        <w:t>-1</w:t>
      </w:r>
      <w:r w:rsidRPr="00DD3579">
        <w:rPr>
          <w:rFonts w:eastAsia="Times New Roman" w:cs="Times New Roman"/>
          <w:color w:val="000000"/>
          <w:szCs w:val="24"/>
        </w:rPr>
        <w:t xml:space="preserve"> on a 12:12 h </w:t>
      </w:r>
      <w:proofErr w:type="spellStart"/>
      <w:r w:rsidRPr="00DD3579">
        <w:rPr>
          <w:rFonts w:eastAsia="Times New Roman" w:cs="Times New Roman"/>
          <w:color w:val="000000"/>
          <w:szCs w:val="24"/>
        </w:rPr>
        <w:t>light</w:t>
      </w:r>
      <w:proofErr w:type="gramStart"/>
      <w:r w:rsidRPr="00DD3579">
        <w:rPr>
          <w:rFonts w:eastAsia="Times New Roman" w:cs="Times New Roman"/>
          <w:color w:val="000000"/>
          <w:szCs w:val="24"/>
        </w:rPr>
        <w:t>:dark</w:t>
      </w:r>
      <w:proofErr w:type="spellEnd"/>
      <w:proofErr w:type="gramEnd"/>
      <w:r w:rsidRPr="00DD3579">
        <w:rPr>
          <w:rFonts w:eastAsia="Times New Roman" w:cs="Times New Roman"/>
          <w:color w:val="000000"/>
          <w:szCs w:val="24"/>
        </w:rPr>
        <w:t xml:space="preserve"> cycle, with an inoculum of culture transferred to fresh, sterile medium on a monthly basis. Subsamples of cultures for DNA analysis were filtered onto membrane filters, immediately frozen, and stored until extraction.</w:t>
      </w:r>
    </w:p>
    <w:p w14:paraId="55007EAD" w14:textId="77777777" w:rsidR="00DD3579" w:rsidRPr="00DD3579" w:rsidRDefault="00DD3579" w:rsidP="00DD3579">
      <w:pPr>
        <w:spacing w:before="0" w:after="0"/>
        <w:rPr>
          <w:rFonts w:eastAsia="Times New Roman" w:cs="Times New Roman"/>
          <w:i/>
          <w:iCs/>
          <w:color w:val="000000"/>
          <w:szCs w:val="24"/>
        </w:rPr>
      </w:pPr>
    </w:p>
    <w:p w14:paraId="0F08A664" w14:textId="77777777" w:rsidR="00DD3579" w:rsidRPr="00DD3579" w:rsidRDefault="003F48D0" w:rsidP="00DD3579">
      <w:pPr>
        <w:spacing w:before="0" w:after="0"/>
        <w:rPr>
          <w:rFonts w:eastAsia="Times New Roman" w:cs="Times New Roman"/>
          <w:szCs w:val="24"/>
        </w:rPr>
      </w:pPr>
      <w:r>
        <w:rPr>
          <w:rFonts w:eastAsia="Times New Roman" w:cs="Times New Roman"/>
          <w:i/>
          <w:iCs/>
          <w:color w:val="000000"/>
          <w:szCs w:val="24"/>
        </w:rPr>
        <w:t>1.3</w:t>
      </w:r>
      <w:r w:rsidR="00DD3579">
        <w:rPr>
          <w:rFonts w:eastAsia="Times New Roman" w:cs="Times New Roman"/>
          <w:i/>
          <w:iCs/>
          <w:color w:val="000000"/>
          <w:szCs w:val="24"/>
        </w:rPr>
        <w:t xml:space="preserve"> </w:t>
      </w:r>
      <w:r w:rsidR="00DD3579" w:rsidRPr="00DD3579">
        <w:rPr>
          <w:rFonts w:eastAsia="Times New Roman" w:cs="Times New Roman"/>
          <w:i/>
          <w:iCs/>
          <w:color w:val="000000"/>
          <w:szCs w:val="24"/>
        </w:rPr>
        <w:t>DNA extraction and sequencing</w:t>
      </w:r>
    </w:p>
    <w:p w14:paraId="59E40140" w14:textId="77777777" w:rsidR="003F48D0" w:rsidRDefault="003F48D0" w:rsidP="00DD3579">
      <w:pPr>
        <w:spacing w:before="0" w:after="0"/>
        <w:rPr>
          <w:rFonts w:eastAsia="Times New Roman" w:cs="Times New Roman"/>
          <w:color w:val="000000"/>
          <w:szCs w:val="24"/>
        </w:rPr>
      </w:pPr>
    </w:p>
    <w:p w14:paraId="1B10D390"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Filters were thawed at room temperature and for field samples, dipped into sterile PBS to remove </w:t>
      </w:r>
      <w:proofErr w:type="spellStart"/>
      <w:r w:rsidRPr="00DD3579">
        <w:rPr>
          <w:rFonts w:eastAsia="Times New Roman" w:cs="Times New Roman"/>
          <w:color w:val="000000"/>
          <w:szCs w:val="24"/>
        </w:rPr>
        <w:t>RNAlater</w:t>
      </w:r>
      <w:proofErr w:type="spellEnd"/>
      <w:r w:rsidRPr="00DD3579">
        <w:rPr>
          <w:rFonts w:eastAsia="Times New Roman" w:cs="Times New Roman"/>
          <w:color w:val="000000"/>
          <w:szCs w:val="24"/>
        </w:rPr>
        <w:t xml:space="preserve"> preservative. The filter was incubated in 100 </w:t>
      </w:r>
      <w:proofErr w:type="spellStart"/>
      <w:r w:rsidRPr="00DD3579">
        <w:rPr>
          <w:rFonts w:eastAsia="Times New Roman" w:cs="Times New Roman"/>
          <w:color w:val="000000"/>
          <w:szCs w:val="24"/>
        </w:rPr>
        <w:t>μL</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Qiagen</w:t>
      </w:r>
      <w:proofErr w:type="spellEnd"/>
      <w:r w:rsidRPr="00DD3579">
        <w:rPr>
          <w:rFonts w:eastAsia="Times New Roman" w:cs="Times New Roman"/>
          <w:color w:val="000000"/>
          <w:szCs w:val="24"/>
        </w:rPr>
        <w:t xml:space="preserve"> ATL tissue </w:t>
      </w:r>
      <w:proofErr w:type="spellStart"/>
      <w:r w:rsidRPr="00DD3579">
        <w:rPr>
          <w:rFonts w:eastAsia="Times New Roman" w:cs="Times New Roman"/>
          <w:color w:val="000000"/>
          <w:szCs w:val="24"/>
        </w:rPr>
        <w:t>lysis</w:t>
      </w:r>
      <w:proofErr w:type="spellEnd"/>
      <w:r w:rsidRPr="00DD3579">
        <w:rPr>
          <w:rFonts w:eastAsia="Times New Roman" w:cs="Times New Roman"/>
          <w:color w:val="000000"/>
          <w:szCs w:val="24"/>
        </w:rPr>
        <w:t xml:space="preserve"> buffer, 300 </w:t>
      </w:r>
      <w:proofErr w:type="spellStart"/>
      <w:r w:rsidRPr="00DD3579">
        <w:rPr>
          <w:rFonts w:eastAsia="Times New Roman" w:cs="Times New Roman"/>
          <w:color w:val="000000"/>
          <w:szCs w:val="24"/>
        </w:rPr>
        <w:t>μL</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Qiagen</w:t>
      </w:r>
      <w:proofErr w:type="spellEnd"/>
      <w:r w:rsidRPr="00DD3579">
        <w:rPr>
          <w:rFonts w:eastAsia="Times New Roman" w:cs="Times New Roman"/>
          <w:color w:val="000000"/>
          <w:szCs w:val="24"/>
        </w:rPr>
        <w:t xml:space="preserve"> AL </w:t>
      </w:r>
      <w:proofErr w:type="spellStart"/>
      <w:r w:rsidRPr="00DD3579">
        <w:rPr>
          <w:rFonts w:eastAsia="Times New Roman" w:cs="Times New Roman"/>
          <w:color w:val="000000"/>
          <w:szCs w:val="24"/>
        </w:rPr>
        <w:t>lysis</w:t>
      </w:r>
      <w:proofErr w:type="spellEnd"/>
      <w:r w:rsidRPr="00DD3579">
        <w:rPr>
          <w:rFonts w:eastAsia="Times New Roman" w:cs="Times New Roman"/>
          <w:color w:val="000000"/>
          <w:szCs w:val="24"/>
        </w:rPr>
        <w:t xml:space="preserve"> buffer, and </w:t>
      </w:r>
      <w:proofErr w:type="gramStart"/>
      <w:r w:rsidRPr="00DD3579">
        <w:rPr>
          <w:rFonts w:eastAsia="Times New Roman" w:cs="Times New Roman"/>
          <w:color w:val="000000"/>
          <w:szCs w:val="24"/>
        </w:rPr>
        <w:t xml:space="preserve">30 </w:t>
      </w:r>
      <w:proofErr w:type="spellStart"/>
      <w:r w:rsidRPr="00DD3579">
        <w:rPr>
          <w:rFonts w:eastAsia="Times New Roman" w:cs="Times New Roman"/>
          <w:color w:val="000000"/>
          <w:szCs w:val="24"/>
        </w:rPr>
        <w:t>μL</w:t>
      </w:r>
      <w:proofErr w:type="spellEnd"/>
      <w:proofErr w:type="gramEnd"/>
      <w:r w:rsidRPr="00DD3579">
        <w:rPr>
          <w:rFonts w:eastAsia="Times New Roman" w:cs="Times New Roman"/>
          <w:color w:val="000000"/>
          <w:szCs w:val="24"/>
        </w:rPr>
        <w:t xml:space="preserve"> proteinase K for 1 hour at 56 degrees C on a rotisserie at maximum speed. Cells were lysed by </w:t>
      </w:r>
      <w:proofErr w:type="spellStart"/>
      <w:r w:rsidRPr="00DD3579">
        <w:rPr>
          <w:rFonts w:eastAsia="Times New Roman" w:cs="Times New Roman"/>
          <w:color w:val="000000"/>
          <w:szCs w:val="24"/>
        </w:rPr>
        <w:t>vortexing</w:t>
      </w:r>
      <w:proofErr w:type="spellEnd"/>
      <w:r w:rsidRPr="00DD3579">
        <w:rPr>
          <w:rFonts w:eastAsia="Times New Roman" w:cs="Times New Roman"/>
          <w:color w:val="000000"/>
          <w:szCs w:val="24"/>
        </w:rPr>
        <w:t xml:space="preserve"> at maximum speed for 10 minutes. Lysates were homogenized with the </w:t>
      </w:r>
      <w:proofErr w:type="spellStart"/>
      <w:r w:rsidRPr="00DD3579">
        <w:rPr>
          <w:rFonts w:eastAsia="Times New Roman" w:cs="Times New Roman"/>
          <w:color w:val="000000"/>
          <w:szCs w:val="24"/>
        </w:rPr>
        <w:t>Qiashredder</w:t>
      </w:r>
      <w:proofErr w:type="spellEnd"/>
      <w:r w:rsidRPr="00DD3579">
        <w:rPr>
          <w:rFonts w:eastAsia="Times New Roman" w:cs="Times New Roman"/>
          <w:color w:val="000000"/>
          <w:szCs w:val="24"/>
        </w:rPr>
        <w:t xml:space="preserve"> column, and DNA was purified from the filtrate using the </w:t>
      </w:r>
      <w:proofErr w:type="spellStart"/>
      <w:r w:rsidRPr="00DD3579">
        <w:rPr>
          <w:rFonts w:eastAsia="Times New Roman" w:cs="Times New Roman"/>
          <w:color w:val="000000"/>
          <w:szCs w:val="24"/>
        </w:rPr>
        <w:t>DNeasy</w:t>
      </w:r>
      <w:proofErr w:type="spellEnd"/>
      <w:r w:rsidRPr="00DD3579">
        <w:rPr>
          <w:rFonts w:eastAsia="Times New Roman" w:cs="Times New Roman"/>
          <w:color w:val="000000"/>
          <w:szCs w:val="24"/>
        </w:rPr>
        <w:t xml:space="preserve"> Blood and Tissue kit according to standard protocol (</w:t>
      </w:r>
      <w:proofErr w:type="spellStart"/>
      <w:r w:rsidRPr="00DD3579">
        <w:rPr>
          <w:rFonts w:eastAsia="Times New Roman" w:cs="Times New Roman"/>
          <w:color w:val="000000"/>
          <w:szCs w:val="24"/>
        </w:rPr>
        <w:t>Qiagen</w:t>
      </w:r>
      <w:proofErr w:type="spellEnd"/>
      <w:r w:rsidRPr="00DD3579">
        <w:rPr>
          <w:rFonts w:eastAsia="Times New Roman" w:cs="Times New Roman"/>
          <w:color w:val="000000"/>
          <w:szCs w:val="24"/>
        </w:rPr>
        <w:t>, Hilden, Germany).</w:t>
      </w:r>
    </w:p>
    <w:p w14:paraId="6F90F095" w14:textId="77777777" w:rsidR="00DD3579" w:rsidRPr="00DD3579" w:rsidRDefault="00DD3579" w:rsidP="00DD3579">
      <w:pPr>
        <w:spacing w:before="0" w:after="0"/>
        <w:rPr>
          <w:rFonts w:eastAsia="Times New Roman" w:cs="Times New Roman"/>
          <w:color w:val="000000"/>
          <w:szCs w:val="24"/>
        </w:rPr>
      </w:pPr>
    </w:p>
    <w:p w14:paraId="266A89F4"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For 16S </w:t>
      </w:r>
      <w:proofErr w:type="spellStart"/>
      <w:r w:rsidRPr="00DD3579">
        <w:rPr>
          <w:rFonts w:eastAsia="Times New Roman" w:cs="Times New Roman"/>
          <w:color w:val="000000"/>
          <w:szCs w:val="24"/>
        </w:rPr>
        <w:t>amplicon</w:t>
      </w:r>
      <w:proofErr w:type="spellEnd"/>
      <w:r w:rsidRPr="00DD3579">
        <w:rPr>
          <w:rFonts w:eastAsia="Times New Roman" w:cs="Times New Roman"/>
          <w:color w:val="000000"/>
          <w:szCs w:val="24"/>
        </w:rPr>
        <w:t xml:space="preserve"> data, the V4 </w:t>
      </w:r>
      <w:proofErr w:type="spellStart"/>
      <w:r w:rsidRPr="00DD3579">
        <w:rPr>
          <w:rFonts w:eastAsia="Times New Roman" w:cs="Times New Roman"/>
          <w:color w:val="000000"/>
          <w:szCs w:val="24"/>
        </w:rPr>
        <w:t>hypervariable</w:t>
      </w:r>
      <w:proofErr w:type="spellEnd"/>
      <w:r w:rsidRPr="00DD3579">
        <w:rPr>
          <w:rFonts w:eastAsia="Times New Roman" w:cs="Times New Roman"/>
          <w:color w:val="000000"/>
          <w:szCs w:val="24"/>
        </w:rPr>
        <w:t xml:space="preserve"> region of the 16S </w:t>
      </w:r>
      <w:proofErr w:type="spellStart"/>
      <w:r w:rsidRPr="00DD3579">
        <w:rPr>
          <w:rFonts w:eastAsia="Times New Roman" w:cs="Times New Roman"/>
          <w:color w:val="000000"/>
          <w:szCs w:val="24"/>
        </w:rPr>
        <w:t>rRNA</w:t>
      </w:r>
      <w:proofErr w:type="spellEnd"/>
      <w:r w:rsidRPr="00DD3579">
        <w:rPr>
          <w:rFonts w:eastAsia="Times New Roman" w:cs="Times New Roman"/>
          <w:color w:val="000000"/>
          <w:szCs w:val="24"/>
        </w:rPr>
        <w:t xml:space="preserve"> gene was amplified from extracted DNA using primer set 515f/806r (Bergmann et al. 2011) in a polymerase chain reaction. </w:t>
      </w:r>
      <w:proofErr w:type="gramStart"/>
      <w:r w:rsidRPr="00DD3579">
        <w:rPr>
          <w:rFonts w:eastAsia="Times New Roman" w:cs="Times New Roman"/>
          <w:color w:val="000000"/>
          <w:szCs w:val="24"/>
        </w:rPr>
        <w:t>Amplified  DNA</w:t>
      </w:r>
      <w:proofErr w:type="gramEnd"/>
      <w:r w:rsidRPr="00DD3579">
        <w:rPr>
          <w:rFonts w:eastAsia="Times New Roman" w:cs="Times New Roman"/>
          <w:color w:val="000000"/>
          <w:szCs w:val="24"/>
        </w:rPr>
        <w:t xml:space="preserve"> was sequenced using </w:t>
      </w:r>
      <w:proofErr w:type="spellStart"/>
      <w:r w:rsidRPr="00DD3579">
        <w:rPr>
          <w:rFonts w:eastAsia="Times New Roman" w:cs="Times New Roman"/>
          <w:color w:val="000000"/>
          <w:szCs w:val="24"/>
        </w:rPr>
        <w:t>Illumina</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MiSeq</w:t>
      </w:r>
      <w:proofErr w:type="spellEnd"/>
      <w:r w:rsidRPr="00DD3579">
        <w:rPr>
          <w:rFonts w:eastAsia="Times New Roman" w:cs="Times New Roman"/>
          <w:color w:val="000000"/>
          <w:szCs w:val="24"/>
        </w:rPr>
        <w:t xml:space="preserve"> v2 chemistry 2x250 (500 cycles) at the University of Michigan Medical School.  RTA v1.17.28 and MCS v2.2.0 software were used to generate data. </w:t>
      </w:r>
    </w:p>
    <w:p w14:paraId="603B1900" w14:textId="77777777" w:rsidR="00DD3579" w:rsidRPr="00DD3579" w:rsidRDefault="00DD3579" w:rsidP="00DD3579">
      <w:pPr>
        <w:spacing w:before="0" w:after="0"/>
        <w:rPr>
          <w:rFonts w:eastAsia="Times New Roman" w:cs="Times New Roman"/>
          <w:color w:val="000000"/>
          <w:szCs w:val="24"/>
        </w:rPr>
      </w:pPr>
    </w:p>
    <w:p w14:paraId="563AFA27" w14:textId="77777777" w:rsidR="00DD3579" w:rsidRPr="005B565E" w:rsidRDefault="00DD3579" w:rsidP="005B565E">
      <w:pPr>
        <w:widowControl w:val="0"/>
        <w:autoSpaceDE w:val="0"/>
        <w:autoSpaceDN w:val="0"/>
        <w:adjustRightInd w:val="0"/>
        <w:spacing w:before="0" w:after="0"/>
        <w:rPr>
          <w:rFonts w:cs="Times New Roman"/>
          <w:noProof/>
          <w:szCs w:val="24"/>
        </w:rPr>
      </w:pPr>
      <w:r w:rsidRPr="00DD3579">
        <w:rPr>
          <w:rFonts w:eastAsia="Times New Roman" w:cs="Times New Roman"/>
          <w:color w:val="000000"/>
          <w:szCs w:val="24"/>
        </w:rPr>
        <w:t xml:space="preserve">For </w:t>
      </w:r>
      <w:proofErr w:type="spellStart"/>
      <w:r w:rsidRPr="00DD3579">
        <w:rPr>
          <w:rFonts w:eastAsia="Times New Roman" w:cs="Times New Roman"/>
          <w:color w:val="000000"/>
          <w:szCs w:val="24"/>
        </w:rPr>
        <w:t>metagenomic</w:t>
      </w:r>
      <w:proofErr w:type="spellEnd"/>
      <w:r w:rsidRPr="00DD3579">
        <w:rPr>
          <w:rFonts w:eastAsia="Times New Roman" w:cs="Times New Roman"/>
          <w:color w:val="000000"/>
          <w:szCs w:val="24"/>
        </w:rPr>
        <w:t xml:space="preserve"> data, extracted DNA was submitted to the University of Michigan sequencing core for </w:t>
      </w:r>
      <w:proofErr w:type="spellStart"/>
      <w:r w:rsidRPr="00DD3579">
        <w:rPr>
          <w:rFonts w:eastAsia="Times New Roman" w:cs="Times New Roman"/>
          <w:color w:val="000000"/>
          <w:szCs w:val="24"/>
        </w:rPr>
        <w:t>Illumina</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HiSeq</w:t>
      </w:r>
      <w:proofErr w:type="spellEnd"/>
      <w:r w:rsidRPr="00DD3579">
        <w:rPr>
          <w:rFonts w:eastAsia="Times New Roman" w:cs="Times New Roman"/>
          <w:color w:val="000000"/>
          <w:szCs w:val="24"/>
        </w:rPr>
        <w:t xml:space="preserve"> 100 cycle paired end sequencing (2 x 100 </w:t>
      </w:r>
      <w:proofErr w:type="spellStart"/>
      <w:r w:rsidRPr="00DD3579">
        <w:rPr>
          <w:rFonts w:eastAsia="Times New Roman" w:cs="Times New Roman"/>
          <w:color w:val="000000"/>
          <w:szCs w:val="24"/>
        </w:rPr>
        <w:t>nt</w:t>
      </w:r>
      <w:proofErr w:type="spellEnd"/>
      <w:r w:rsidRPr="00DD3579">
        <w:rPr>
          <w:rFonts w:eastAsia="Times New Roman" w:cs="Times New Roman"/>
          <w:color w:val="000000"/>
          <w:szCs w:val="24"/>
        </w:rPr>
        <w:t xml:space="preserve">). Libraries with a target insert size of 500 </w:t>
      </w:r>
      <w:proofErr w:type="spellStart"/>
      <w:proofErr w:type="gramStart"/>
      <w:r w:rsidRPr="00DD3579">
        <w:rPr>
          <w:rFonts w:eastAsia="Times New Roman" w:cs="Times New Roman"/>
          <w:color w:val="000000"/>
          <w:szCs w:val="24"/>
        </w:rPr>
        <w:t>nt</w:t>
      </w:r>
      <w:proofErr w:type="spellEnd"/>
      <w:proofErr w:type="gramEnd"/>
      <w:r w:rsidRPr="00DD3579">
        <w:rPr>
          <w:rFonts w:eastAsia="Times New Roman" w:cs="Times New Roman"/>
          <w:color w:val="000000"/>
          <w:szCs w:val="24"/>
        </w:rPr>
        <w:t xml:space="preserve"> were generated using the automated Apollo 324 library preparation system (</w:t>
      </w:r>
      <w:proofErr w:type="spellStart"/>
      <w:r w:rsidRPr="00DD3579">
        <w:rPr>
          <w:rFonts w:eastAsia="Times New Roman" w:cs="Times New Roman"/>
          <w:color w:val="000000"/>
          <w:szCs w:val="24"/>
        </w:rPr>
        <w:t>Wafergen</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Biosystems</w:t>
      </w:r>
      <w:proofErr w:type="spellEnd"/>
      <w:r w:rsidRPr="00DD3579">
        <w:rPr>
          <w:rFonts w:eastAsia="Times New Roman" w:cs="Times New Roman"/>
          <w:color w:val="000000"/>
          <w:szCs w:val="24"/>
        </w:rPr>
        <w:t xml:space="preserve">, Fremont, CA). The contribution of each library to the pooled libraries sample that was sequenced on one lane of </w:t>
      </w:r>
      <w:proofErr w:type="spellStart"/>
      <w:r w:rsidRPr="00DD3579">
        <w:rPr>
          <w:rFonts w:eastAsia="Times New Roman" w:cs="Times New Roman"/>
          <w:color w:val="000000"/>
          <w:szCs w:val="24"/>
        </w:rPr>
        <w:t>Illumina</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Hiseq</w:t>
      </w:r>
      <w:proofErr w:type="spellEnd"/>
      <w:r w:rsidRPr="00DD3579">
        <w:rPr>
          <w:rFonts w:eastAsia="Times New Roman" w:cs="Times New Roman"/>
          <w:color w:val="000000"/>
          <w:szCs w:val="24"/>
        </w:rPr>
        <w:t xml:space="preserve"> was adjusted based on </w:t>
      </w:r>
      <w:r w:rsidRPr="00DD3579">
        <w:rPr>
          <w:rFonts w:eastAsia="Times New Roman" w:cs="Times New Roman"/>
          <w:i/>
          <w:iCs/>
          <w:color w:val="000000"/>
          <w:szCs w:val="24"/>
        </w:rPr>
        <w:t>Microcystis</w:t>
      </w:r>
      <w:r w:rsidRPr="00DD3579">
        <w:rPr>
          <w:rFonts w:eastAsia="Times New Roman" w:cs="Times New Roman"/>
          <w:color w:val="000000"/>
          <w:szCs w:val="24"/>
        </w:rPr>
        <w:t xml:space="preserve"> relative abundance estimates from the 16S </w:t>
      </w:r>
      <w:proofErr w:type="spellStart"/>
      <w:r w:rsidRPr="00DD3579">
        <w:rPr>
          <w:rFonts w:eastAsia="Times New Roman" w:cs="Times New Roman"/>
          <w:color w:val="000000"/>
          <w:szCs w:val="24"/>
        </w:rPr>
        <w:t>amplicon</w:t>
      </w:r>
      <w:proofErr w:type="spellEnd"/>
      <w:r w:rsidRPr="00DD3579">
        <w:rPr>
          <w:rFonts w:eastAsia="Times New Roman" w:cs="Times New Roman"/>
          <w:color w:val="000000"/>
          <w:szCs w:val="24"/>
        </w:rPr>
        <w:t xml:space="preserve"> data, so as to get approximately equal coverage for </w:t>
      </w:r>
      <w:r w:rsidRPr="00DD3579">
        <w:rPr>
          <w:rFonts w:eastAsia="Times New Roman" w:cs="Times New Roman"/>
          <w:i/>
          <w:iCs/>
          <w:color w:val="000000"/>
          <w:szCs w:val="24"/>
        </w:rPr>
        <w:t>Microcystis</w:t>
      </w:r>
      <w:r w:rsidRPr="00DD3579">
        <w:rPr>
          <w:rFonts w:eastAsia="Times New Roman" w:cs="Times New Roman"/>
          <w:color w:val="000000"/>
          <w:szCs w:val="24"/>
        </w:rPr>
        <w:t xml:space="preserve"> in all samples.</w:t>
      </w:r>
      <w:bookmarkStart w:id="0" w:name="_GoBack"/>
      <w:r w:rsidR="005B565E">
        <w:rPr>
          <w:rFonts w:eastAsia="Times New Roman" w:cs="Times New Roman"/>
          <w:color w:val="000000"/>
          <w:szCs w:val="24"/>
        </w:rPr>
        <w:t xml:space="preserve"> </w:t>
      </w:r>
      <w:r w:rsidR="005B565E">
        <w:rPr>
          <w:rFonts w:eastAsia="Times New Roman" w:cs="Times New Roman"/>
          <w:color w:val="000000"/>
          <w:szCs w:val="24"/>
        </w:rPr>
        <w:fldChar w:fldCharType="begin" w:fldLock="1"/>
      </w:r>
      <w:r w:rsidR="005B565E">
        <w:rPr>
          <w:rFonts w:eastAsia="Times New Roman" w:cs="Times New Roman"/>
          <w:color w:val="000000"/>
          <w:szCs w:val="24"/>
        </w:rPr>
        <w:instrText>ADDIN CSL_CITATION { "citationItems" : [ { "id" : "ITEM-1", "itemData" : { "DOI" : "10.3389/fmars.2016.00054", "ISSN" : "2296-7745", "abstract" : "Hydrogen peroxide (H2O2) has been suggested to influence cyanobacterial community structure and toxicity. However, no study has investigated H2O2 concentrations in freshwaters relative to cyanobacterial blooms when sources and sinks of H2O2 may be highly variable. For example, photochemical production of H2O2 from chromophoric dissolved organic matter (CDOM) may vary over the course of the bloom with changing CDOM and UV light in the water column, while microbial sources and sinks of H2O2 may change with community biomass and composition. To assess relationships between H2O2 and harmful algal blooms dominated by toxic cyanobacteria in the western basin of Lake Erie, we measured H2O2 weekly at six stations from June \u2013 November, 2014 and 2015, with supporting physical, chemical, and biological water quality data. Nine additional stations across the western, eastern, and central basins of Lake Erie were sampled during August and October, 2015. CDOM sources were quantified from the fluorescence fraction of CDOM using parallel factor analysis (PARAFAC). CDOM concentration and source were significantly correlated with specific conductivity, demonstrating that discharge of terrestrially-derived CDOM from rivers can be tracked in the lake. Autochthonous sources of CDOM in the lake increased over the course of the blooms. Concentrations of H2O2 in Lake Erie ranged from 47 \u00b1 16 nM to 1570 \u00b1 16 nM (average of 371 \u00b1 17 nM; n = 225), and were not correlated to CDOM concentration or source, UV light, or estimates of photochemical production of H2O2 by CDOM. Temporal patterns in H2O2 were more closely aligned with bloom dynamics in the lake. In 2014 and 2015, maximum concentrations of H2O2 were observed prior to peak water column respiration and chlorophyll a, coinciding with the onset of the widespread Microcystis blooms in late July. The spatial and temporal patterns in H2O2 concentrations suggested that production and decay of H2O2 from aquatic microorganisms can be greater than photochemical production of H2O2 from CDOM and abiotic decay pathways. Our study measured H2O2 concentrations in the range where physiological impacts on cyanobacteria have been reported, suggesting that H2O2 could influence the structure and function of cyanobacterial communities in Lake Erie.", "author" : [ { "dropping-particle" : "", "family" : "Cory", "given" : "Rose M.", "non-dropping-particle" : "", "parse-names" : false, "suffix" : "" }, { "dropping-particle" : "", "family" : "Davis", "given" : "Timothy W.", "non-dropping-particle" : "", "parse-names" : false, "suffix" : "" }, { "dropping-particle" : "", "family" : "Dick", "given" : "Gregory J.", "non-dropping-particle" : "", "parse-names" : false, "suffix" : "" }, { "dropping-particle" : "", "family" : "Johengen", "given" : "Thomas", "non-dropping-particle" : "", "parse-names" : false, "suffix" : "" }, { "dropping-particle" : "", "family" : "Denef", "given" : "Vincent J.", "non-dropping-particle" : "", "parse-names" : false, "suffix" : "" }, { "dropping-particle" : "", "family" : "Berry", "given" : "Michelle A.", "non-dropping-particle" : "", "parse-names" : false, "suffix" : "" }, { "dropping-particle" : "", "family" : "Page", "given" : "Sarah E.", "non-dropping-particle" : "", "parse-names" : false, "suffix" : "" }, { "dropping-particle" : "", "family" : "Watson", "given" : "Susan B.", "non-dropping-particle" : "", "parse-names" : false, "suffix" : "" }, { "dropping-particle" : "", "family" : "Yuhas", "given" : "Kate", "non-dropping-particle" : "", "parse-names" : false, "suffix" : "" }, { "dropping-particle" : "", "family" : "Kling", "given" : "George W.", "non-dropping-particle" : "", "parse-names" : false, "suffix" : "" } ], "container-title" : "Frontiers in Marine Science", "id" : "ITEM-1", "issued" : { "date-parts" : [ [ "2016", "4", "26" ] ] }, "page" : "54", "publisher" : "Frontiers", "title" : "Seasonal Dynamics in Dissolved Organic Matter, Hydrogen Peroxide, and Cyanobacterial Blooms in Lake Erie", "type" : "article-journal", "volume" : "3" }, "uris" : [ "http://www.mendeley.com/documents/?uuid=5ce68114-62ec-3ecc-81de-38414fd7dc7b" ] } ], "mendeley" : { "formattedCitation" : "(Cory et al., 2016)", "plainTextFormattedCitation" : "(Cory et al., 2016)", "previouslyFormattedCitation" : "(Cory et al., 2016)" }, "properties" : { "noteIndex" : 0 }, "schema" : "https://github.com/citation-style-language/schema/raw/master/csl-citation.json" }</w:instrText>
      </w:r>
      <w:r w:rsidR="005B565E">
        <w:rPr>
          <w:rFonts w:eastAsia="Times New Roman" w:cs="Times New Roman"/>
          <w:color w:val="000000"/>
          <w:szCs w:val="24"/>
        </w:rPr>
        <w:fldChar w:fldCharType="separate"/>
      </w:r>
      <w:r w:rsidR="005B565E">
        <w:rPr>
          <w:rFonts w:eastAsia="Times New Roman" w:cs="Times New Roman"/>
          <w:color w:val="000000"/>
          <w:szCs w:val="24"/>
        </w:rPr>
        <w:fldChar w:fldCharType="end"/>
      </w:r>
      <w:r w:rsidR="005B565E">
        <w:rPr>
          <w:rFonts w:eastAsia="Times New Roman" w:cs="Times New Roman"/>
          <w:color w:val="000000"/>
          <w:szCs w:val="24"/>
        </w:rPr>
        <w:t xml:space="preserve"> </w:t>
      </w:r>
      <w:bookmarkEnd w:id="0"/>
      <w:r w:rsidR="005B565E">
        <w:rPr>
          <w:rFonts w:eastAsia="Times New Roman" w:cs="Times New Roman"/>
          <w:color w:val="000000"/>
          <w:szCs w:val="24"/>
        </w:rPr>
        <w:t xml:space="preserve"> </w:t>
      </w:r>
      <w:r w:rsidR="005B565E">
        <w:rPr>
          <w:rFonts w:eastAsia="Times New Roman" w:cs="Times New Roman"/>
          <w:color w:val="000000"/>
          <w:szCs w:val="24"/>
        </w:rPr>
        <w:fldChar w:fldCharType="begin" w:fldLock="1"/>
      </w:r>
      <w:r w:rsidR="005B565E">
        <w:rPr>
          <w:rFonts w:eastAsia="Times New Roman" w:cs="Times New Roman"/>
          <w:color w:val="000000"/>
          <w:szCs w:val="24"/>
        </w:rPr>
        <w:instrText xml:space="preserve">ADDIN Mendeley Bibliography CSL_BIBLIOGRAPHY </w:instrText>
      </w:r>
      <w:r w:rsidR="005B565E">
        <w:rPr>
          <w:rFonts w:eastAsia="Times New Roman" w:cs="Times New Roman"/>
          <w:color w:val="000000"/>
          <w:szCs w:val="24"/>
        </w:rPr>
        <w:fldChar w:fldCharType="separate"/>
      </w:r>
      <w:r w:rsidR="005B565E">
        <w:rPr>
          <w:rFonts w:eastAsia="Times New Roman" w:cs="Times New Roman"/>
          <w:color w:val="000000"/>
          <w:szCs w:val="24"/>
        </w:rPr>
        <w:fldChar w:fldCharType="end"/>
      </w:r>
    </w:p>
    <w:p w14:paraId="2F9B8C40" w14:textId="77777777" w:rsidR="00DD3579" w:rsidRPr="00DD3579" w:rsidRDefault="00DD3579" w:rsidP="00DD3579">
      <w:pPr>
        <w:spacing w:before="0" w:after="0"/>
        <w:rPr>
          <w:rFonts w:eastAsia="Times New Roman" w:cs="Times New Roman"/>
          <w:szCs w:val="24"/>
        </w:rPr>
      </w:pPr>
    </w:p>
    <w:p w14:paraId="7D60442B" w14:textId="77777777" w:rsidR="00DD3579" w:rsidRPr="00DD3579" w:rsidRDefault="003F48D0" w:rsidP="00DD3579">
      <w:pPr>
        <w:spacing w:before="0" w:after="0"/>
        <w:rPr>
          <w:rFonts w:eastAsia="Times New Roman" w:cs="Times New Roman"/>
          <w:szCs w:val="24"/>
        </w:rPr>
      </w:pPr>
      <w:r>
        <w:rPr>
          <w:rFonts w:eastAsia="Times New Roman" w:cs="Times New Roman"/>
          <w:i/>
          <w:iCs/>
          <w:color w:val="000000"/>
          <w:szCs w:val="24"/>
        </w:rPr>
        <w:t>1.4</w:t>
      </w:r>
      <w:r w:rsidR="00DD3579">
        <w:rPr>
          <w:rFonts w:eastAsia="Times New Roman" w:cs="Times New Roman"/>
          <w:i/>
          <w:iCs/>
          <w:color w:val="000000"/>
          <w:szCs w:val="24"/>
        </w:rPr>
        <w:t xml:space="preserve"> </w:t>
      </w:r>
      <w:r w:rsidR="00DD3579" w:rsidRPr="00DD3579">
        <w:rPr>
          <w:rFonts w:eastAsia="Times New Roman" w:cs="Times New Roman"/>
          <w:i/>
          <w:iCs/>
          <w:color w:val="000000"/>
          <w:szCs w:val="24"/>
        </w:rPr>
        <w:t>OTU and oligotyping analysis</w:t>
      </w:r>
    </w:p>
    <w:p w14:paraId="71242C6A" w14:textId="77777777" w:rsidR="00DD3579" w:rsidRPr="00DD3579" w:rsidRDefault="00DD3579" w:rsidP="00DD3579">
      <w:pPr>
        <w:spacing w:before="0" w:after="0"/>
        <w:rPr>
          <w:rFonts w:eastAsia="Times New Roman" w:cs="Times New Roman"/>
          <w:color w:val="000000"/>
          <w:szCs w:val="24"/>
        </w:rPr>
      </w:pPr>
    </w:p>
    <w:p w14:paraId="13C8D605"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We used </w:t>
      </w:r>
      <w:proofErr w:type="spellStart"/>
      <w:r w:rsidRPr="00DD3579">
        <w:rPr>
          <w:rFonts w:eastAsia="Times New Roman" w:cs="Times New Roman"/>
          <w:color w:val="000000"/>
          <w:szCs w:val="24"/>
        </w:rPr>
        <w:t>mothur</w:t>
      </w:r>
      <w:proofErr w:type="spellEnd"/>
      <w:r w:rsidRPr="00DD3579">
        <w:rPr>
          <w:rFonts w:eastAsia="Times New Roman" w:cs="Times New Roman"/>
          <w:color w:val="000000"/>
          <w:szCs w:val="24"/>
        </w:rPr>
        <w:t xml:space="preserve"> V 1.34.3 to perform quality control on raw sequence data, align reads, assign taxonomy, and cluster OTUs (</w:t>
      </w:r>
      <w:proofErr w:type="spellStart"/>
      <w:r w:rsidRPr="00DD3579">
        <w:rPr>
          <w:rFonts w:eastAsia="Times New Roman" w:cs="Times New Roman"/>
          <w:color w:val="000000"/>
          <w:szCs w:val="24"/>
        </w:rPr>
        <w:t>Schloss</w:t>
      </w:r>
      <w:proofErr w:type="spellEnd"/>
      <w:r w:rsidRPr="00DD3579">
        <w:rPr>
          <w:rFonts w:eastAsia="Times New Roman" w:cs="Times New Roman"/>
          <w:color w:val="000000"/>
          <w:szCs w:val="24"/>
        </w:rPr>
        <w:t xml:space="preserve"> et al. 2009). Sequence processing was performed according to the </w:t>
      </w:r>
      <w:proofErr w:type="spellStart"/>
      <w:r w:rsidRPr="00DD3579">
        <w:rPr>
          <w:rFonts w:eastAsia="Times New Roman" w:cs="Times New Roman"/>
          <w:color w:val="000000"/>
          <w:szCs w:val="24"/>
        </w:rPr>
        <w:t>mothur</w:t>
      </w:r>
      <w:proofErr w:type="spellEnd"/>
      <w:r w:rsidRPr="00DD3579">
        <w:rPr>
          <w:rFonts w:eastAsia="Times New Roman" w:cs="Times New Roman"/>
          <w:color w:val="000000"/>
          <w:szCs w:val="24"/>
        </w:rPr>
        <w:t xml:space="preserve"> standard operating procedure, accessed on March 13, 2016 (http://www.mothur.org/wiki/MiSeq_SOP). We assigned taxonomies to sequences using the Wang method (Wang</w:t>
      </w:r>
      <w:r w:rsidR="005B565E">
        <w:rPr>
          <w:rFonts w:eastAsia="Times New Roman" w:cs="Times New Roman"/>
          <w:color w:val="000000"/>
          <w:szCs w:val="24"/>
        </w:rPr>
        <w:t xml:space="preserve"> </w:t>
      </w:r>
      <w:r w:rsidRPr="00DD3579">
        <w:rPr>
          <w:rFonts w:eastAsia="Times New Roman" w:cs="Times New Roman"/>
          <w:color w:val="000000"/>
          <w:szCs w:val="24"/>
        </w:rPr>
        <w:t>et al. 2007) with an 80% bootstrap cutoff, using the Silva database V119 (</w:t>
      </w:r>
      <w:proofErr w:type="spellStart"/>
      <w:r w:rsidRPr="00DD3579">
        <w:rPr>
          <w:rFonts w:eastAsia="Times New Roman" w:cs="Times New Roman"/>
          <w:color w:val="000000"/>
          <w:szCs w:val="24"/>
        </w:rPr>
        <w:t>Quast</w:t>
      </w:r>
      <w:proofErr w:type="spellEnd"/>
      <w:r w:rsidRPr="00DD3579">
        <w:rPr>
          <w:rFonts w:eastAsia="Times New Roman" w:cs="Times New Roman"/>
          <w:color w:val="000000"/>
          <w:szCs w:val="24"/>
        </w:rPr>
        <w:t xml:space="preserve"> et al. 2013). </w:t>
      </w:r>
    </w:p>
    <w:p w14:paraId="1AC74CDE" w14:textId="77777777" w:rsidR="00DD3579" w:rsidRPr="00DD3579" w:rsidRDefault="00DD3579" w:rsidP="00DD3579">
      <w:pPr>
        <w:spacing w:before="0" w:after="0"/>
        <w:rPr>
          <w:rFonts w:eastAsia="Times New Roman" w:cs="Times New Roman"/>
          <w:color w:val="000000"/>
          <w:szCs w:val="24"/>
        </w:rPr>
      </w:pPr>
    </w:p>
    <w:p w14:paraId="6ADCAC53"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All sequences classified as </w:t>
      </w:r>
      <w:r w:rsidRPr="00DD3579">
        <w:rPr>
          <w:rFonts w:eastAsia="Times New Roman" w:cs="Times New Roman"/>
          <w:i/>
          <w:iCs/>
          <w:color w:val="000000"/>
          <w:szCs w:val="24"/>
        </w:rPr>
        <w:t>Microcystis</w:t>
      </w:r>
      <w:r w:rsidRPr="00DD3579">
        <w:rPr>
          <w:rFonts w:eastAsia="Times New Roman" w:cs="Times New Roman"/>
          <w:color w:val="000000"/>
          <w:szCs w:val="24"/>
        </w:rPr>
        <w:t xml:space="preserve"> from both the Lake Erie dataset and inland lake isolates were selected for further analysis with oligotyping. Sequences were converted into the appropriate oligotyping format using the mothur2oligo script (</w:t>
      </w:r>
      <w:hyperlink r:id="rId9" w:history="1">
        <w:r w:rsidRPr="00DD3579">
          <w:rPr>
            <w:rFonts w:eastAsia="Times New Roman" w:cs="Times New Roman"/>
            <w:color w:val="1155CC"/>
            <w:szCs w:val="24"/>
            <w:u w:val="single"/>
          </w:rPr>
          <w:t>https://github.com/DenefLab/MicrobeMiseq/tree/master/mothur2oligo</w:t>
        </w:r>
      </w:hyperlink>
      <w:r w:rsidRPr="00DD3579">
        <w:rPr>
          <w:rFonts w:eastAsia="Times New Roman" w:cs="Times New Roman"/>
          <w:color w:val="000000"/>
          <w:szCs w:val="24"/>
        </w:rPr>
        <w:t>). We identified sites with nucleotide variation using the entropy-analysis command in the oligotyping pipeline (</w:t>
      </w:r>
      <w:proofErr w:type="spellStart"/>
      <w:r w:rsidRPr="00DD3579">
        <w:rPr>
          <w:rFonts w:eastAsia="Times New Roman" w:cs="Times New Roman"/>
          <w:color w:val="000000"/>
          <w:szCs w:val="24"/>
        </w:rPr>
        <w:t>Eren</w:t>
      </w:r>
      <w:proofErr w:type="spellEnd"/>
      <w:r w:rsidRPr="00DD3579">
        <w:rPr>
          <w:rFonts w:eastAsia="Times New Roman" w:cs="Times New Roman"/>
          <w:color w:val="000000"/>
          <w:szCs w:val="24"/>
        </w:rPr>
        <w:t xml:space="preserve"> et al. 2013). The entropy plot revealed three sites with considerable entropy (Figure S1), so we ran the oligotyping command with the following parameters: -c 3, -M 10. Entropy plots of the decomposed </w:t>
      </w:r>
      <w:proofErr w:type="spellStart"/>
      <w:r w:rsidRPr="00DD3579">
        <w:rPr>
          <w:rFonts w:eastAsia="Times New Roman" w:cs="Times New Roman"/>
          <w:color w:val="000000"/>
          <w:szCs w:val="24"/>
        </w:rPr>
        <w:t>oligotypes</w:t>
      </w:r>
      <w:proofErr w:type="spellEnd"/>
      <w:r w:rsidRPr="00DD3579">
        <w:rPr>
          <w:rFonts w:eastAsia="Times New Roman" w:cs="Times New Roman"/>
          <w:color w:val="000000"/>
          <w:szCs w:val="24"/>
        </w:rPr>
        <w:t xml:space="preserve"> were examined to make sure that </w:t>
      </w:r>
      <w:proofErr w:type="spellStart"/>
      <w:r w:rsidRPr="00DD3579">
        <w:rPr>
          <w:rFonts w:eastAsia="Times New Roman" w:cs="Times New Roman"/>
          <w:color w:val="000000"/>
          <w:szCs w:val="24"/>
        </w:rPr>
        <w:t>oligotypes</w:t>
      </w:r>
      <w:proofErr w:type="spellEnd"/>
      <w:r w:rsidRPr="00DD3579">
        <w:rPr>
          <w:rFonts w:eastAsia="Times New Roman" w:cs="Times New Roman"/>
          <w:color w:val="000000"/>
          <w:szCs w:val="24"/>
        </w:rPr>
        <w:t xml:space="preserve"> had converged on a single sequence.</w:t>
      </w:r>
    </w:p>
    <w:p w14:paraId="2ECBD787" w14:textId="77777777" w:rsidR="00DD3579" w:rsidRPr="00DD3579" w:rsidRDefault="00DD3579" w:rsidP="00DD3579">
      <w:pPr>
        <w:spacing w:before="0" w:after="0"/>
        <w:rPr>
          <w:rFonts w:eastAsia="Cambria" w:cs="Times New Roman"/>
          <w:color w:val="000000"/>
          <w:szCs w:val="24"/>
        </w:rPr>
      </w:pPr>
    </w:p>
    <w:p w14:paraId="5D1814C2"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 xml:space="preserve">R V3.2.2 (R Core Team 2015) and the ggplot2 package (Wickham 2009) were used to visualize </w:t>
      </w:r>
      <w:r w:rsidRPr="00DD3579">
        <w:rPr>
          <w:rFonts w:eastAsia="Times New Roman" w:cs="Times New Roman"/>
          <w:i/>
          <w:iCs/>
          <w:color w:val="000000"/>
          <w:szCs w:val="24"/>
        </w:rPr>
        <w:t>Microcystis</w:t>
      </w:r>
      <w:r w:rsidRPr="00DD3579">
        <w:rPr>
          <w:rFonts w:eastAsia="Times New Roman" w:cs="Times New Roman"/>
          <w:color w:val="000000"/>
          <w:szCs w:val="24"/>
        </w:rPr>
        <w:t xml:space="preserve"> sequence variant patterns in Lake Erie samples. Using the </w:t>
      </w:r>
      <w:proofErr w:type="spellStart"/>
      <w:r w:rsidRPr="00DD3579">
        <w:rPr>
          <w:rFonts w:eastAsia="Times New Roman" w:cs="Times New Roman"/>
          <w:color w:val="000000"/>
          <w:szCs w:val="24"/>
        </w:rPr>
        <w:t>cor.test</w:t>
      </w:r>
      <w:proofErr w:type="spellEnd"/>
      <w:r w:rsidRPr="00DD3579">
        <w:rPr>
          <w:rFonts w:eastAsia="Times New Roman" w:cs="Times New Roman"/>
          <w:color w:val="000000"/>
          <w:szCs w:val="24"/>
        </w:rPr>
        <w:t xml:space="preserve"> command, a Spearman’s rank correlation test was performed to </w:t>
      </w:r>
      <w:proofErr w:type="gramStart"/>
      <w:r w:rsidRPr="00DD3579">
        <w:rPr>
          <w:rFonts w:eastAsia="Times New Roman" w:cs="Times New Roman"/>
          <w:color w:val="000000"/>
          <w:szCs w:val="24"/>
        </w:rPr>
        <w:t>asses</w:t>
      </w:r>
      <w:proofErr w:type="gramEnd"/>
      <w:r w:rsidRPr="00DD3579">
        <w:rPr>
          <w:rFonts w:eastAsia="Times New Roman" w:cs="Times New Roman"/>
          <w:color w:val="000000"/>
          <w:szCs w:val="24"/>
        </w:rPr>
        <w:t xml:space="preserve"> the ordinal relationship between the relative abundance of the CTG variant and particulate microcystin-LR concentrations. We used a permutation test with 10,000 permutations to determine if the median relative abundance of the CTT variant was significantly different at the offshore station compared to the </w:t>
      </w:r>
      <w:proofErr w:type="spellStart"/>
      <w:r w:rsidRPr="00DD3579">
        <w:rPr>
          <w:rFonts w:eastAsia="Times New Roman" w:cs="Times New Roman"/>
          <w:color w:val="000000"/>
          <w:szCs w:val="24"/>
        </w:rPr>
        <w:t>nearshore</w:t>
      </w:r>
      <w:proofErr w:type="spellEnd"/>
      <w:r w:rsidRPr="00DD3579">
        <w:rPr>
          <w:rFonts w:eastAsia="Times New Roman" w:cs="Times New Roman"/>
          <w:color w:val="000000"/>
          <w:szCs w:val="24"/>
        </w:rPr>
        <w:t xml:space="preserve"> stations.   </w:t>
      </w:r>
    </w:p>
    <w:p w14:paraId="7FE13196" w14:textId="77777777" w:rsidR="00DD3579" w:rsidRPr="00DD3579" w:rsidRDefault="00DD3579" w:rsidP="00DD3579">
      <w:pPr>
        <w:spacing w:before="0" w:after="0"/>
        <w:rPr>
          <w:rFonts w:eastAsia="Times New Roman" w:cs="Times New Roman"/>
          <w:color w:val="000000"/>
          <w:szCs w:val="24"/>
        </w:rPr>
      </w:pPr>
    </w:p>
    <w:p w14:paraId="7D3842E5" w14:textId="77777777" w:rsidR="00DD3579" w:rsidRPr="00DD3579" w:rsidRDefault="00DD3579" w:rsidP="00DD3579">
      <w:pPr>
        <w:spacing w:before="0" w:after="0"/>
        <w:rPr>
          <w:rFonts w:eastAsia="Times New Roman" w:cs="Times New Roman"/>
          <w:szCs w:val="24"/>
        </w:rPr>
      </w:pPr>
      <w:r w:rsidRPr="00DD3579">
        <w:rPr>
          <w:rFonts w:eastAsia="Times New Roman" w:cs="Times New Roman"/>
          <w:color w:val="000000"/>
          <w:szCs w:val="24"/>
        </w:rPr>
        <w:t>All script, analysis, and data files will be made publically available at https://github.com/DenefLab (in case of acceptance).</w:t>
      </w:r>
    </w:p>
    <w:p w14:paraId="726B51AF" w14:textId="77777777" w:rsidR="00DD3579" w:rsidRPr="00DD3579" w:rsidRDefault="00DD3579" w:rsidP="00DD3579">
      <w:pPr>
        <w:spacing w:before="0" w:after="0"/>
        <w:rPr>
          <w:rFonts w:eastAsia="Times New Roman" w:cs="Times New Roman"/>
          <w:i/>
          <w:iCs/>
          <w:color w:val="000000"/>
          <w:szCs w:val="24"/>
        </w:rPr>
      </w:pPr>
    </w:p>
    <w:p w14:paraId="1A29A894" w14:textId="77777777" w:rsidR="00DD3579" w:rsidRPr="00DD3579" w:rsidRDefault="003F48D0" w:rsidP="00DD3579">
      <w:pPr>
        <w:spacing w:before="0" w:after="0"/>
        <w:rPr>
          <w:rFonts w:eastAsia="Times New Roman" w:cs="Times New Roman"/>
          <w:szCs w:val="24"/>
        </w:rPr>
      </w:pPr>
      <w:r>
        <w:rPr>
          <w:rFonts w:eastAsia="Times New Roman" w:cs="Times New Roman"/>
          <w:i/>
          <w:iCs/>
          <w:color w:val="000000"/>
          <w:szCs w:val="24"/>
        </w:rPr>
        <w:t>1.5</w:t>
      </w:r>
      <w:r w:rsidR="00DD3579">
        <w:rPr>
          <w:rFonts w:eastAsia="Times New Roman" w:cs="Times New Roman"/>
          <w:i/>
          <w:iCs/>
          <w:color w:val="000000"/>
          <w:szCs w:val="24"/>
        </w:rPr>
        <w:t xml:space="preserve"> </w:t>
      </w:r>
      <w:r w:rsidR="00DD3579" w:rsidRPr="00DD3579">
        <w:rPr>
          <w:rFonts w:eastAsia="Times New Roman" w:cs="Times New Roman"/>
          <w:i/>
          <w:iCs/>
          <w:color w:val="000000"/>
          <w:szCs w:val="24"/>
        </w:rPr>
        <w:t>Genomic assembly and extraction MLST genes</w:t>
      </w:r>
    </w:p>
    <w:p w14:paraId="4B34EEF0" w14:textId="77777777" w:rsidR="003F48D0" w:rsidRDefault="003F48D0" w:rsidP="00DD3579">
      <w:pPr>
        <w:spacing w:before="0" w:after="0"/>
        <w:rPr>
          <w:rFonts w:eastAsia="Times New Roman" w:cs="Times New Roman"/>
          <w:color w:val="000000"/>
          <w:szCs w:val="24"/>
        </w:rPr>
      </w:pPr>
    </w:p>
    <w:p w14:paraId="48BF375E" w14:textId="77777777" w:rsidR="00DD3579" w:rsidRPr="00DD3579" w:rsidRDefault="00DD3579" w:rsidP="00DD3579">
      <w:pPr>
        <w:spacing w:before="0" w:after="0"/>
        <w:rPr>
          <w:rFonts w:eastAsia="Times New Roman" w:cs="Times New Roman"/>
          <w:szCs w:val="24"/>
        </w:rPr>
      </w:pPr>
      <w:proofErr w:type="gramStart"/>
      <w:r w:rsidRPr="00DD3579">
        <w:rPr>
          <w:rFonts w:eastAsia="Times New Roman" w:cs="Times New Roman"/>
          <w:color w:val="000000"/>
          <w:szCs w:val="24"/>
        </w:rPr>
        <w:t>Adapters trimming on raw reads was</w:t>
      </w:r>
      <w:proofErr w:type="gramEnd"/>
      <w:r w:rsidRPr="00DD3579">
        <w:rPr>
          <w:rFonts w:eastAsia="Times New Roman" w:cs="Times New Roman"/>
          <w:color w:val="000000"/>
          <w:szCs w:val="24"/>
        </w:rPr>
        <w:t xml:space="preserve"> done using 'Scythe' (</w:t>
      </w:r>
      <w:hyperlink r:id="rId10" w:history="1">
        <w:r w:rsidRPr="00DD3579">
          <w:rPr>
            <w:rFonts w:eastAsia="Times New Roman" w:cs="Times New Roman"/>
            <w:color w:val="1155CC"/>
            <w:szCs w:val="24"/>
            <w:u w:val="single"/>
          </w:rPr>
          <w:t>https://github.com/ucdavis-bioinformatics/scythe</w:t>
        </w:r>
      </w:hyperlink>
      <w:r w:rsidRPr="00DD3579">
        <w:rPr>
          <w:rFonts w:eastAsia="Times New Roman" w:cs="Times New Roman"/>
          <w:color w:val="000000"/>
          <w:szCs w:val="24"/>
        </w:rPr>
        <w:t xml:space="preserve">). Quality trimming was performed using 'Sickle' (Joshi &amp; </w:t>
      </w:r>
      <w:proofErr w:type="spellStart"/>
      <w:r w:rsidRPr="00DD3579">
        <w:rPr>
          <w:rFonts w:eastAsia="Times New Roman" w:cs="Times New Roman"/>
          <w:color w:val="000000"/>
          <w:szCs w:val="24"/>
        </w:rPr>
        <w:t>Fass</w:t>
      </w:r>
      <w:proofErr w:type="spellEnd"/>
      <w:r w:rsidRPr="00DD3579">
        <w:rPr>
          <w:rFonts w:eastAsia="Times New Roman" w:cs="Times New Roman"/>
          <w:color w:val="000000"/>
          <w:szCs w:val="24"/>
        </w:rPr>
        <w:t xml:space="preserve"> 2011). Default parameters were used for both the tools. </w:t>
      </w:r>
      <w:proofErr w:type="spellStart"/>
      <w:r w:rsidRPr="00DD3579">
        <w:rPr>
          <w:rFonts w:eastAsia="Times New Roman" w:cs="Times New Roman"/>
          <w:color w:val="000000"/>
          <w:szCs w:val="24"/>
        </w:rPr>
        <w:t>FastQC</w:t>
      </w:r>
      <w:proofErr w:type="spellEnd"/>
      <w:r w:rsidRPr="00DD3579">
        <w:rPr>
          <w:rFonts w:eastAsia="Times New Roman" w:cs="Times New Roman"/>
          <w:color w:val="000000"/>
          <w:szCs w:val="24"/>
        </w:rPr>
        <w:t xml:space="preserve"> was used to assess the quality before and after the quality filtering. The bash script that combines these procedures that was used is located here:</w:t>
      </w:r>
      <w:hyperlink r:id="rId11" w:history="1">
        <w:r w:rsidRPr="00DD3579">
          <w:rPr>
            <w:rFonts w:eastAsia="Times New Roman" w:cs="Times New Roman"/>
            <w:color w:val="000000"/>
            <w:szCs w:val="24"/>
            <w:u w:val="single"/>
          </w:rPr>
          <w:t xml:space="preserve"> </w:t>
        </w:r>
        <w:r w:rsidRPr="00DD3579">
          <w:rPr>
            <w:rFonts w:eastAsia="Times New Roman" w:cs="Times New Roman"/>
            <w:color w:val="1155CC"/>
            <w:szCs w:val="24"/>
            <w:u w:val="single"/>
          </w:rPr>
          <w:t>https://github.com/Geo-omics/scripts/blob/master/wrappers/Assembly/qc.sh</w:t>
        </w:r>
      </w:hyperlink>
      <w:r w:rsidRPr="00DD3579">
        <w:rPr>
          <w:rFonts w:eastAsia="Times New Roman" w:cs="Times New Roman"/>
          <w:color w:val="000000"/>
          <w:szCs w:val="24"/>
        </w:rPr>
        <w:t xml:space="preserve">. The filtered and trimmed sequencing reads were assembled using </w:t>
      </w:r>
      <w:proofErr w:type="spellStart"/>
      <w:r w:rsidRPr="00DD3579">
        <w:rPr>
          <w:rFonts w:eastAsia="Times New Roman" w:cs="Times New Roman"/>
          <w:color w:val="000000"/>
          <w:szCs w:val="24"/>
        </w:rPr>
        <w:t>idba-ud</w:t>
      </w:r>
      <w:proofErr w:type="spellEnd"/>
      <w:r w:rsidRPr="00DD3579">
        <w:rPr>
          <w:rFonts w:eastAsia="Times New Roman" w:cs="Times New Roman"/>
          <w:color w:val="000000"/>
          <w:szCs w:val="24"/>
        </w:rPr>
        <w:t xml:space="preserve"> as described previously (</w:t>
      </w:r>
      <w:proofErr w:type="spellStart"/>
      <w:r w:rsidRPr="00DD3579">
        <w:rPr>
          <w:rFonts w:eastAsia="Times New Roman" w:cs="Times New Roman"/>
          <w:color w:val="000000"/>
          <w:szCs w:val="24"/>
        </w:rPr>
        <w:t>Anantharaman</w:t>
      </w:r>
      <w:proofErr w:type="spellEnd"/>
      <w:r w:rsidRPr="00DD3579">
        <w:rPr>
          <w:rFonts w:eastAsia="Times New Roman" w:cs="Times New Roman"/>
          <w:color w:val="000000"/>
          <w:szCs w:val="24"/>
        </w:rPr>
        <w:t xml:space="preserve"> et al., 2014). We collected the gene sequences from the fully sequenced </w:t>
      </w:r>
      <w:r w:rsidRPr="00DD3579">
        <w:rPr>
          <w:rFonts w:eastAsia="Times New Roman" w:cs="Times New Roman"/>
          <w:i/>
          <w:iCs/>
          <w:color w:val="000000"/>
          <w:szCs w:val="24"/>
        </w:rPr>
        <w:t>Microcystis</w:t>
      </w:r>
      <w:r w:rsidRPr="00DD3579">
        <w:rPr>
          <w:rFonts w:eastAsia="Times New Roman" w:cs="Times New Roman"/>
          <w:color w:val="000000"/>
          <w:szCs w:val="24"/>
        </w:rPr>
        <w:t xml:space="preserve"> strain NIES483 for five housekeeping genes (</w:t>
      </w:r>
      <w:proofErr w:type="spellStart"/>
      <w:r w:rsidRPr="00DD3579">
        <w:rPr>
          <w:rFonts w:eastAsia="Times New Roman" w:cs="Times New Roman"/>
          <w:i/>
          <w:iCs/>
          <w:color w:val="000000"/>
          <w:szCs w:val="24"/>
        </w:rPr>
        <w:t>pgi</w:t>
      </w:r>
      <w:proofErr w:type="spellEnd"/>
      <w:r w:rsidRPr="00DD3579">
        <w:rPr>
          <w:rFonts w:eastAsia="Times New Roman" w:cs="Times New Roman"/>
          <w:i/>
          <w:iCs/>
          <w:color w:val="000000"/>
          <w:szCs w:val="24"/>
        </w:rPr>
        <w:t xml:space="preserve">, </w:t>
      </w:r>
      <w:proofErr w:type="spellStart"/>
      <w:r w:rsidRPr="00DD3579">
        <w:rPr>
          <w:rFonts w:eastAsia="Times New Roman" w:cs="Times New Roman"/>
          <w:i/>
          <w:iCs/>
          <w:color w:val="000000"/>
          <w:szCs w:val="24"/>
        </w:rPr>
        <w:t>gltX</w:t>
      </w:r>
      <w:proofErr w:type="spellEnd"/>
      <w:r w:rsidRPr="00DD3579">
        <w:rPr>
          <w:rFonts w:eastAsia="Times New Roman" w:cs="Times New Roman"/>
          <w:i/>
          <w:iCs/>
          <w:color w:val="000000"/>
          <w:szCs w:val="24"/>
        </w:rPr>
        <w:t xml:space="preserve">, </w:t>
      </w:r>
      <w:proofErr w:type="spellStart"/>
      <w:r w:rsidRPr="00DD3579">
        <w:rPr>
          <w:rFonts w:eastAsia="Times New Roman" w:cs="Times New Roman"/>
          <w:i/>
          <w:iCs/>
          <w:color w:val="000000"/>
          <w:szCs w:val="24"/>
        </w:rPr>
        <w:t>ftsZ</w:t>
      </w:r>
      <w:proofErr w:type="spellEnd"/>
      <w:r w:rsidRPr="00DD3579">
        <w:rPr>
          <w:rFonts w:eastAsia="Times New Roman" w:cs="Times New Roman"/>
          <w:i/>
          <w:iCs/>
          <w:color w:val="000000"/>
          <w:szCs w:val="24"/>
        </w:rPr>
        <w:t xml:space="preserve">, </w:t>
      </w:r>
      <w:proofErr w:type="spellStart"/>
      <w:r w:rsidRPr="00DD3579">
        <w:rPr>
          <w:rFonts w:eastAsia="Times New Roman" w:cs="Times New Roman"/>
          <w:i/>
          <w:iCs/>
          <w:color w:val="000000"/>
          <w:szCs w:val="24"/>
        </w:rPr>
        <w:t>glnA</w:t>
      </w:r>
      <w:proofErr w:type="spellEnd"/>
      <w:r w:rsidRPr="00DD3579">
        <w:rPr>
          <w:rFonts w:eastAsia="Times New Roman" w:cs="Times New Roman"/>
          <w:i/>
          <w:iCs/>
          <w:color w:val="000000"/>
          <w:szCs w:val="24"/>
        </w:rPr>
        <w:t xml:space="preserve">, </w:t>
      </w:r>
      <w:proofErr w:type="spellStart"/>
      <w:r w:rsidRPr="00DD3579">
        <w:rPr>
          <w:rFonts w:eastAsia="Times New Roman" w:cs="Times New Roman"/>
          <w:i/>
          <w:iCs/>
          <w:color w:val="000000"/>
          <w:szCs w:val="24"/>
        </w:rPr>
        <w:t>gyrB</w:t>
      </w:r>
      <w:proofErr w:type="spellEnd"/>
      <w:r w:rsidRPr="00DD3579">
        <w:rPr>
          <w:rFonts w:eastAsia="Times New Roman" w:cs="Times New Roman"/>
          <w:color w:val="000000"/>
          <w:szCs w:val="24"/>
        </w:rPr>
        <w:t>) previously used for MLST analysis (White et al. 2011), and a</w:t>
      </w:r>
      <w:r w:rsidRPr="00DD3579">
        <w:rPr>
          <w:rFonts w:eastAsia="Times New Roman" w:cs="Times New Roman"/>
          <w:i/>
          <w:iCs/>
          <w:color w:val="000000"/>
          <w:szCs w:val="24"/>
        </w:rPr>
        <w:t xml:space="preserve"> </w:t>
      </w:r>
      <w:r w:rsidRPr="00DD3579">
        <w:rPr>
          <w:rFonts w:eastAsia="Times New Roman" w:cs="Times New Roman"/>
          <w:color w:val="000000"/>
          <w:szCs w:val="24"/>
        </w:rPr>
        <w:t>microcystin biosynthesis indicator gene (</w:t>
      </w:r>
      <w:proofErr w:type="spellStart"/>
      <w:r w:rsidRPr="00DD3579">
        <w:rPr>
          <w:rFonts w:eastAsia="Times New Roman" w:cs="Times New Roman"/>
          <w:i/>
          <w:iCs/>
          <w:color w:val="000000"/>
          <w:szCs w:val="24"/>
        </w:rPr>
        <w:t>mcyB</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Orthologs</w:t>
      </w:r>
      <w:proofErr w:type="spellEnd"/>
      <w:r w:rsidRPr="00DD3579">
        <w:rPr>
          <w:rFonts w:eastAsia="Times New Roman" w:cs="Times New Roman"/>
          <w:color w:val="000000"/>
          <w:szCs w:val="24"/>
        </w:rPr>
        <w:t xml:space="preserve"> for these genes were searched for in the </w:t>
      </w:r>
      <w:proofErr w:type="spellStart"/>
      <w:r w:rsidRPr="00DD3579">
        <w:rPr>
          <w:rFonts w:eastAsia="Times New Roman" w:cs="Times New Roman"/>
          <w:color w:val="000000"/>
          <w:szCs w:val="24"/>
        </w:rPr>
        <w:t>metagenomic</w:t>
      </w:r>
      <w:proofErr w:type="spellEnd"/>
      <w:r w:rsidRPr="00DD3579">
        <w:rPr>
          <w:rFonts w:eastAsia="Times New Roman" w:cs="Times New Roman"/>
          <w:color w:val="000000"/>
          <w:szCs w:val="24"/>
        </w:rPr>
        <w:t xml:space="preserve"> data from each enrichment culture and extracted using a custom ruby script, which will be available on this project’s </w:t>
      </w:r>
      <w:proofErr w:type="spellStart"/>
      <w:r w:rsidRPr="00DD3579">
        <w:rPr>
          <w:rFonts w:eastAsia="Times New Roman" w:cs="Times New Roman"/>
          <w:color w:val="000000"/>
          <w:szCs w:val="24"/>
        </w:rPr>
        <w:t>github</w:t>
      </w:r>
      <w:proofErr w:type="spellEnd"/>
      <w:r w:rsidRPr="00DD3579">
        <w:rPr>
          <w:rFonts w:eastAsia="Times New Roman" w:cs="Times New Roman"/>
          <w:color w:val="000000"/>
          <w:szCs w:val="24"/>
        </w:rPr>
        <w:t xml:space="preserve"> page (https://github.com/DenefLab/microcystis-oligotypes). Concatenated housekeeping gene sequences were aligned with MUSCLE using default parameters (Edgar et al., 2004) and a phylogenetic tree was reconstructed using </w:t>
      </w:r>
      <w:proofErr w:type="spellStart"/>
      <w:r w:rsidRPr="00DD3579">
        <w:rPr>
          <w:rFonts w:eastAsia="Times New Roman" w:cs="Times New Roman"/>
          <w:color w:val="000000"/>
          <w:szCs w:val="24"/>
        </w:rPr>
        <w:t>RAxML</w:t>
      </w:r>
      <w:proofErr w:type="spellEnd"/>
      <w:r w:rsidRPr="00DD3579">
        <w:rPr>
          <w:rFonts w:eastAsia="Times New Roman" w:cs="Times New Roman"/>
          <w:color w:val="000000"/>
          <w:szCs w:val="24"/>
        </w:rPr>
        <w:t xml:space="preserve"> 7.3.0 using parameters -T 10 -x 777 -N 100 (</w:t>
      </w:r>
      <w:proofErr w:type="spellStart"/>
      <w:r w:rsidRPr="00DD3579">
        <w:rPr>
          <w:rFonts w:eastAsia="Times New Roman" w:cs="Times New Roman"/>
          <w:color w:val="000000"/>
          <w:szCs w:val="24"/>
        </w:rPr>
        <w:t>Stamatakis</w:t>
      </w:r>
      <w:proofErr w:type="spellEnd"/>
      <w:r w:rsidRPr="00DD3579">
        <w:rPr>
          <w:rFonts w:eastAsia="Times New Roman" w:cs="Times New Roman"/>
          <w:color w:val="000000"/>
          <w:szCs w:val="24"/>
        </w:rPr>
        <w:t xml:space="preserve"> et al. 2005).</w:t>
      </w:r>
    </w:p>
    <w:p w14:paraId="6ABBE43E" w14:textId="77777777" w:rsidR="00DD3579" w:rsidRPr="00DD3579" w:rsidRDefault="00DD3579" w:rsidP="00DD3579">
      <w:pPr>
        <w:spacing w:before="0" w:after="0"/>
        <w:rPr>
          <w:rFonts w:eastAsia="Times New Roman" w:cs="Times New Roman"/>
          <w:b/>
          <w:bCs/>
          <w:color w:val="000000"/>
          <w:szCs w:val="24"/>
        </w:rPr>
      </w:pPr>
    </w:p>
    <w:p w14:paraId="45300939" w14:textId="77777777" w:rsidR="00DD3579" w:rsidRPr="00DD3579" w:rsidRDefault="00DD3579" w:rsidP="00DD3579">
      <w:pPr>
        <w:spacing w:before="0" w:after="0"/>
        <w:rPr>
          <w:rFonts w:eastAsia="Times New Roman" w:cs="Times New Roman"/>
          <w:szCs w:val="24"/>
        </w:rPr>
      </w:pPr>
      <w:r w:rsidRPr="00DD3579">
        <w:rPr>
          <w:rFonts w:eastAsia="Times New Roman" w:cs="Times New Roman"/>
          <w:b/>
          <w:bCs/>
          <w:color w:val="000000"/>
          <w:szCs w:val="24"/>
        </w:rPr>
        <w:t>Supplementary references:</w:t>
      </w:r>
    </w:p>
    <w:p w14:paraId="5EDE9C5B" w14:textId="77777777" w:rsidR="00DD3579" w:rsidRPr="00DD3579" w:rsidRDefault="00DD3579" w:rsidP="00DD3579">
      <w:pPr>
        <w:spacing w:before="0" w:after="0"/>
        <w:ind w:left="480" w:hanging="480"/>
        <w:rPr>
          <w:rFonts w:eastAsia="Times New Roman" w:cs="Times New Roman"/>
          <w:szCs w:val="24"/>
        </w:rPr>
      </w:pPr>
      <w:proofErr w:type="spellStart"/>
      <w:r w:rsidRPr="00DD3579">
        <w:rPr>
          <w:rFonts w:eastAsia="Times New Roman" w:cs="Times New Roman"/>
          <w:color w:val="000000"/>
          <w:szCs w:val="24"/>
        </w:rPr>
        <w:t>Anantharaman</w:t>
      </w:r>
      <w:proofErr w:type="spellEnd"/>
      <w:r w:rsidRPr="00DD3579">
        <w:rPr>
          <w:rFonts w:eastAsia="Times New Roman" w:cs="Times New Roman"/>
          <w:color w:val="000000"/>
          <w:szCs w:val="24"/>
        </w:rPr>
        <w:t xml:space="preserve">, K., </w:t>
      </w:r>
      <w:proofErr w:type="spellStart"/>
      <w:r w:rsidRPr="00DD3579">
        <w:rPr>
          <w:rFonts w:eastAsia="Times New Roman" w:cs="Times New Roman"/>
          <w:color w:val="000000"/>
          <w:szCs w:val="24"/>
        </w:rPr>
        <w:t>Duhaime</w:t>
      </w:r>
      <w:proofErr w:type="spellEnd"/>
      <w:r w:rsidRPr="00DD3579">
        <w:rPr>
          <w:rFonts w:eastAsia="Times New Roman" w:cs="Times New Roman"/>
          <w:color w:val="000000"/>
          <w:szCs w:val="24"/>
        </w:rPr>
        <w:t xml:space="preserve">, M.B., </w:t>
      </w:r>
      <w:proofErr w:type="spellStart"/>
      <w:r w:rsidRPr="00DD3579">
        <w:rPr>
          <w:rFonts w:eastAsia="Times New Roman" w:cs="Times New Roman"/>
          <w:color w:val="000000"/>
          <w:szCs w:val="24"/>
        </w:rPr>
        <w:t>Breier</w:t>
      </w:r>
      <w:proofErr w:type="spellEnd"/>
      <w:r w:rsidRPr="00DD3579">
        <w:rPr>
          <w:rFonts w:eastAsia="Times New Roman" w:cs="Times New Roman"/>
          <w:color w:val="000000"/>
          <w:szCs w:val="24"/>
        </w:rPr>
        <w:t xml:space="preserve">, J.A., Wendt, K.A., Toner, B.M., and Dick, G.J., 2014. Sulfur oxidation genes in diverse deep-sea viruses. </w:t>
      </w:r>
      <w:proofErr w:type="gramStart"/>
      <w:r w:rsidRPr="00DD3579">
        <w:rPr>
          <w:rFonts w:eastAsia="Times New Roman" w:cs="Times New Roman"/>
          <w:color w:val="000000"/>
          <w:szCs w:val="24"/>
        </w:rPr>
        <w:t>Science, 344(6185), 757-760.</w:t>
      </w:r>
      <w:proofErr w:type="gramEnd"/>
    </w:p>
    <w:p w14:paraId="1D21484C"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Bergmann, G.T. et al., 2011. </w:t>
      </w:r>
      <w:proofErr w:type="gramStart"/>
      <w:r w:rsidRPr="00DD3579">
        <w:rPr>
          <w:rFonts w:eastAsia="Times New Roman" w:cs="Times New Roman"/>
          <w:color w:val="000000"/>
          <w:szCs w:val="24"/>
        </w:rPr>
        <w:t xml:space="preserve">The under-recognized dominance of </w:t>
      </w:r>
      <w:proofErr w:type="spellStart"/>
      <w:r w:rsidRPr="00DD3579">
        <w:rPr>
          <w:rFonts w:eastAsia="Times New Roman" w:cs="Times New Roman"/>
          <w:color w:val="000000"/>
          <w:szCs w:val="24"/>
        </w:rPr>
        <w:t>Verrucomicrobia</w:t>
      </w:r>
      <w:proofErr w:type="spellEnd"/>
      <w:r w:rsidRPr="00DD3579">
        <w:rPr>
          <w:rFonts w:eastAsia="Times New Roman" w:cs="Times New Roman"/>
          <w:color w:val="000000"/>
          <w:szCs w:val="24"/>
        </w:rPr>
        <w:t xml:space="preserve"> in soil bacterial communities.</w:t>
      </w:r>
      <w:proofErr w:type="gramEnd"/>
      <w:r w:rsidRPr="00DD3579">
        <w:rPr>
          <w:rFonts w:eastAsia="Times New Roman" w:cs="Times New Roman"/>
          <w:color w:val="000000"/>
          <w:szCs w:val="24"/>
        </w:rPr>
        <w:t xml:space="preserve"> Soil biology &amp; biochemistry, 43(7), 1450–1455.</w:t>
      </w:r>
    </w:p>
    <w:p w14:paraId="20DF3B0B" w14:textId="77777777" w:rsidR="00DD3579" w:rsidRPr="005B565E" w:rsidRDefault="005B565E" w:rsidP="005B565E">
      <w:pPr>
        <w:widowControl w:val="0"/>
        <w:autoSpaceDE w:val="0"/>
        <w:autoSpaceDN w:val="0"/>
        <w:adjustRightInd w:val="0"/>
        <w:spacing w:before="0" w:after="0"/>
        <w:ind w:left="480" w:hanging="480"/>
        <w:rPr>
          <w:rFonts w:cs="Times New Roman"/>
          <w:noProof/>
        </w:rPr>
      </w:pPr>
      <w:r w:rsidRPr="005B565E">
        <w:rPr>
          <w:rFonts w:cs="Times New Roman"/>
          <w:noProof/>
          <w:szCs w:val="24"/>
        </w:rPr>
        <w:t xml:space="preserve">Cory, R. M., Davis, T. W., Dick, G. J., Johengen, T., Denef, V. J., Berry, M. A., et al. (2016). Seasonal Dynamics in Dissolved Organic Matter, Hydrogen Peroxide, and Cyanobacterial Blooms in Lake Erie. </w:t>
      </w:r>
      <w:r w:rsidRPr="005B565E">
        <w:rPr>
          <w:rFonts w:cs="Times New Roman"/>
          <w:i/>
          <w:iCs/>
          <w:noProof/>
          <w:szCs w:val="24"/>
        </w:rPr>
        <w:t>Front. Mar. Sci.</w:t>
      </w:r>
      <w:r w:rsidRPr="005B565E">
        <w:rPr>
          <w:rFonts w:cs="Times New Roman"/>
          <w:noProof/>
          <w:szCs w:val="24"/>
        </w:rPr>
        <w:t xml:space="preserve"> 3, 54. doi:10.3389/fmars.2016.00054.</w:t>
      </w:r>
    </w:p>
    <w:p w14:paraId="2EE8C7A6" w14:textId="77777777" w:rsidR="00DD3579" w:rsidRPr="00DD3579" w:rsidRDefault="00DD3579" w:rsidP="00DD3579">
      <w:pPr>
        <w:spacing w:before="0" w:after="0"/>
        <w:ind w:left="480" w:hanging="480"/>
        <w:rPr>
          <w:rFonts w:eastAsia="Times New Roman" w:cs="Times New Roman"/>
          <w:szCs w:val="24"/>
        </w:rPr>
      </w:pPr>
      <w:proofErr w:type="gramStart"/>
      <w:r w:rsidRPr="00DD3579">
        <w:rPr>
          <w:rFonts w:eastAsia="Times New Roman" w:cs="Times New Roman"/>
          <w:color w:val="000000"/>
          <w:szCs w:val="24"/>
        </w:rPr>
        <w:t xml:space="preserve">Davis, T.W., </w:t>
      </w:r>
      <w:proofErr w:type="spellStart"/>
      <w:r w:rsidRPr="00DD3579">
        <w:rPr>
          <w:rFonts w:eastAsia="Times New Roman" w:cs="Times New Roman"/>
          <w:color w:val="000000"/>
          <w:szCs w:val="24"/>
        </w:rPr>
        <w:t>Bullerjahn</w:t>
      </w:r>
      <w:proofErr w:type="spellEnd"/>
      <w:r w:rsidRPr="00DD3579">
        <w:rPr>
          <w:rFonts w:eastAsia="Times New Roman" w:cs="Times New Roman"/>
          <w:color w:val="000000"/>
          <w:szCs w:val="24"/>
        </w:rPr>
        <w:t>, G.S., Tuttle, T., McKay, R.M., Watson, S.B., 2015.</w:t>
      </w:r>
      <w:proofErr w:type="gramEnd"/>
      <w:r w:rsidRPr="00DD3579">
        <w:rPr>
          <w:rFonts w:eastAsia="Times New Roman" w:cs="Times New Roman"/>
          <w:color w:val="000000"/>
          <w:szCs w:val="24"/>
        </w:rPr>
        <w:t xml:space="preserve"> </w:t>
      </w:r>
      <w:proofErr w:type="gramStart"/>
      <w:r w:rsidRPr="00DD3579">
        <w:rPr>
          <w:rFonts w:eastAsia="Times New Roman" w:cs="Times New Roman"/>
          <w:color w:val="000000"/>
          <w:szCs w:val="24"/>
        </w:rPr>
        <w:t xml:space="preserve">Effects of increasing nitrogen and phosphorus concentrations on the growth and toxicity of </w:t>
      </w:r>
      <w:proofErr w:type="spellStart"/>
      <w:r w:rsidRPr="00DD3579">
        <w:rPr>
          <w:rFonts w:eastAsia="Times New Roman" w:cs="Times New Roman"/>
          <w:color w:val="000000"/>
          <w:szCs w:val="24"/>
        </w:rPr>
        <w:t>Planktothrix</w:t>
      </w:r>
      <w:proofErr w:type="spellEnd"/>
      <w:r w:rsidRPr="00DD3579">
        <w:rPr>
          <w:rFonts w:eastAsia="Times New Roman" w:cs="Times New Roman"/>
          <w:color w:val="000000"/>
          <w:szCs w:val="24"/>
        </w:rPr>
        <w:t xml:space="preserve"> blooms in Sandusky Bay, Lake Erie.</w:t>
      </w:r>
      <w:proofErr w:type="gramEnd"/>
      <w:r w:rsidRPr="00DD3579">
        <w:rPr>
          <w:rFonts w:eastAsia="Times New Roman" w:cs="Times New Roman"/>
          <w:color w:val="000000"/>
          <w:szCs w:val="24"/>
        </w:rPr>
        <w:t xml:space="preserve"> </w:t>
      </w:r>
      <w:proofErr w:type="gramStart"/>
      <w:r w:rsidRPr="00DD3579">
        <w:rPr>
          <w:rFonts w:eastAsia="Times New Roman" w:cs="Times New Roman"/>
          <w:color w:val="000000"/>
          <w:szCs w:val="24"/>
        </w:rPr>
        <w:t>Environmental Science &amp; Technology, 49(12): 7197 – 7207.</w:t>
      </w:r>
      <w:proofErr w:type="gramEnd"/>
    </w:p>
    <w:p w14:paraId="333FFD0D"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Edgar, R.C., 2004. MUSCLE: multiple sequence alignment with high accuracy and high throughput. </w:t>
      </w:r>
      <w:proofErr w:type="gramStart"/>
      <w:r w:rsidRPr="00DD3579">
        <w:rPr>
          <w:rFonts w:eastAsia="Times New Roman" w:cs="Times New Roman"/>
          <w:color w:val="000000"/>
          <w:szCs w:val="24"/>
        </w:rPr>
        <w:t>Nucleic acids research, 32(5), 1792-1797.</w:t>
      </w:r>
      <w:proofErr w:type="gramEnd"/>
    </w:p>
    <w:p w14:paraId="38DBBC15"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Joshi N.A., </w:t>
      </w:r>
      <w:proofErr w:type="spellStart"/>
      <w:r w:rsidRPr="00DD3579">
        <w:rPr>
          <w:rFonts w:eastAsia="Times New Roman" w:cs="Times New Roman"/>
          <w:color w:val="000000"/>
          <w:szCs w:val="24"/>
        </w:rPr>
        <w:t>Fass</w:t>
      </w:r>
      <w:proofErr w:type="spellEnd"/>
      <w:r w:rsidRPr="00DD3579">
        <w:rPr>
          <w:rFonts w:eastAsia="Times New Roman" w:cs="Times New Roman"/>
          <w:color w:val="000000"/>
          <w:szCs w:val="24"/>
        </w:rPr>
        <w:t xml:space="preserve"> J.N</w:t>
      </w:r>
      <w:proofErr w:type="gramStart"/>
      <w:r w:rsidRPr="00DD3579">
        <w:rPr>
          <w:rFonts w:eastAsia="Times New Roman" w:cs="Times New Roman"/>
          <w:color w:val="000000"/>
          <w:szCs w:val="24"/>
        </w:rPr>
        <w:t>..</w:t>
      </w:r>
      <w:proofErr w:type="gramEnd"/>
      <w:r w:rsidRPr="00DD3579">
        <w:rPr>
          <w:rFonts w:eastAsia="Times New Roman" w:cs="Times New Roman"/>
          <w:color w:val="000000"/>
          <w:szCs w:val="24"/>
        </w:rPr>
        <w:t xml:space="preserve"> (2011). Sickle: A sliding-window, adaptive, quality-based trimming tool for </w:t>
      </w:r>
      <w:proofErr w:type="spellStart"/>
      <w:r w:rsidRPr="00DD3579">
        <w:rPr>
          <w:rFonts w:eastAsia="Times New Roman" w:cs="Times New Roman"/>
          <w:color w:val="000000"/>
          <w:szCs w:val="24"/>
        </w:rPr>
        <w:t>FastQ</w:t>
      </w:r>
      <w:proofErr w:type="spellEnd"/>
      <w:r w:rsidRPr="00DD3579">
        <w:rPr>
          <w:rFonts w:eastAsia="Times New Roman" w:cs="Times New Roman"/>
          <w:color w:val="000000"/>
          <w:szCs w:val="24"/>
        </w:rPr>
        <w:t xml:space="preserve"> files  (Version 1.33) [Software].  </w:t>
      </w:r>
      <w:proofErr w:type="gramStart"/>
      <w:r w:rsidRPr="00DD3579">
        <w:rPr>
          <w:rFonts w:eastAsia="Times New Roman" w:cs="Times New Roman"/>
          <w:color w:val="000000"/>
          <w:szCs w:val="24"/>
        </w:rPr>
        <w:t>Available at https://github.com/najoshi/sickle.</w:t>
      </w:r>
      <w:proofErr w:type="gramEnd"/>
    </w:p>
    <w:p w14:paraId="60CB3BBB" w14:textId="77777777" w:rsidR="00DD3579" w:rsidRPr="00DD3579" w:rsidRDefault="00DD3579" w:rsidP="00DD3579">
      <w:pPr>
        <w:spacing w:before="0" w:after="0"/>
        <w:ind w:left="480" w:hanging="480"/>
        <w:rPr>
          <w:rFonts w:eastAsia="Times New Roman" w:cs="Times New Roman"/>
          <w:szCs w:val="24"/>
        </w:rPr>
      </w:pPr>
      <w:proofErr w:type="spellStart"/>
      <w:proofErr w:type="gramStart"/>
      <w:r w:rsidRPr="00DD3579">
        <w:rPr>
          <w:rFonts w:eastAsia="Times New Roman" w:cs="Times New Roman"/>
          <w:color w:val="000000"/>
          <w:szCs w:val="24"/>
        </w:rPr>
        <w:t>Menzel</w:t>
      </w:r>
      <w:proofErr w:type="spellEnd"/>
      <w:r w:rsidRPr="00DD3579">
        <w:rPr>
          <w:rFonts w:eastAsia="Times New Roman" w:cs="Times New Roman"/>
          <w:color w:val="000000"/>
          <w:szCs w:val="24"/>
        </w:rPr>
        <w:t>, D.W. &amp; Corwin, N., 1965.</w:t>
      </w:r>
      <w:proofErr w:type="gramEnd"/>
      <w:r w:rsidRPr="00DD3579">
        <w:rPr>
          <w:rFonts w:eastAsia="Times New Roman" w:cs="Times New Roman"/>
          <w:color w:val="000000"/>
          <w:szCs w:val="24"/>
        </w:rPr>
        <w:t xml:space="preserve"> </w:t>
      </w:r>
      <w:proofErr w:type="gramStart"/>
      <w:r w:rsidRPr="00DD3579">
        <w:rPr>
          <w:rFonts w:eastAsia="Times New Roman" w:cs="Times New Roman"/>
          <w:color w:val="000000"/>
          <w:szCs w:val="24"/>
        </w:rPr>
        <w:t xml:space="preserve">The measurement of total phosphorus in seawater based on the liberation of organically bound fractions by </w:t>
      </w:r>
      <w:proofErr w:type="spellStart"/>
      <w:r w:rsidRPr="00DD3579">
        <w:rPr>
          <w:rFonts w:eastAsia="Times New Roman" w:cs="Times New Roman"/>
          <w:color w:val="000000"/>
          <w:szCs w:val="24"/>
        </w:rPr>
        <w:t>persulfate</w:t>
      </w:r>
      <w:proofErr w:type="spellEnd"/>
      <w:r w:rsidRPr="00DD3579">
        <w:rPr>
          <w:rFonts w:eastAsia="Times New Roman" w:cs="Times New Roman"/>
          <w:color w:val="000000"/>
          <w:szCs w:val="24"/>
        </w:rPr>
        <w:t xml:space="preserve"> oxidation.</w:t>
      </w:r>
      <w:proofErr w:type="gramEnd"/>
      <w:r w:rsidRPr="00DD3579">
        <w:rPr>
          <w:rFonts w:eastAsia="Times New Roman" w:cs="Times New Roman"/>
          <w:color w:val="000000"/>
          <w:szCs w:val="24"/>
        </w:rPr>
        <w:t xml:space="preserve"> Limnology and Oceanography, 10(2), 280–282.</w:t>
      </w:r>
    </w:p>
    <w:p w14:paraId="6FBF676C"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Murphy, J. &amp; Riley, J.P., 1962. </w:t>
      </w:r>
      <w:proofErr w:type="gramStart"/>
      <w:r w:rsidRPr="00DD3579">
        <w:rPr>
          <w:rFonts w:eastAsia="Times New Roman" w:cs="Times New Roman"/>
          <w:color w:val="000000"/>
          <w:szCs w:val="24"/>
        </w:rPr>
        <w:t>A modified single solution method for the determination of phosphate in natural waters.</w:t>
      </w:r>
      <w:proofErr w:type="gram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Analytica</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Chimica</w:t>
      </w:r>
      <w:proofErr w:type="spell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Acta</w:t>
      </w:r>
      <w:proofErr w:type="spellEnd"/>
      <w:r w:rsidRPr="00DD3579">
        <w:rPr>
          <w:rFonts w:eastAsia="Times New Roman" w:cs="Times New Roman"/>
          <w:color w:val="000000"/>
          <w:szCs w:val="24"/>
        </w:rPr>
        <w:t>, 27, 31–36.</w:t>
      </w:r>
    </w:p>
    <w:p w14:paraId="1CEF890E" w14:textId="77777777" w:rsidR="00DD3579" w:rsidRPr="00DD3579" w:rsidRDefault="00DD3579" w:rsidP="00DD3579">
      <w:pPr>
        <w:spacing w:before="0" w:after="0"/>
        <w:ind w:left="480" w:hanging="480"/>
        <w:rPr>
          <w:rFonts w:eastAsia="Times New Roman" w:cs="Times New Roman"/>
          <w:szCs w:val="24"/>
        </w:rPr>
      </w:pPr>
      <w:proofErr w:type="spellStart"/>
      <w:r w:rsidRPr="00DD3579">
        <w:rPr>
          <w:rFonts w:eastAsia="Times New Roman" w:cs="Times New Roman"/>
          <w:color w:val="000000"/>
          <w:szCs w:val="24"/>
        </w:rPr>
        <w:t>Quast</w:t>
      </w:r>
      <w:proofErr w:type="spellEnd"/>
      <w:r w:rsidRPr="00DD3579">
        <w:rPr>
          <w:rFonts w:eastAsia="Times New Roman" w:cs="Times New Roman"/>
          <w:color w:val="000000"/>
          <w:szCs w:val="24"/>
        </w:rPr>
        <w:t xml:space="preserve">, C. et al., 2013. The SILVA ribosomal RNA gene database project: Improved data processing and web-based tools. </w:t>
      </w:r>
      <w:proofErr w:type="gramStart"/>
      <w:r w:rsidRPr="00DD3579">
        <w:rPr>
          <w:rFonts w:eastAsia="Times New Roman" w:cs="Times New Roman"/>
          <w:color w:val="000000"/>
          <w:szCs w:val="24"/>
        </w:rPr>
        <w:t>Nucleic Acids Research, 41(D1).</w:t>
      </w:r>
      <w:proofErr w:type="gramEnd"/>
    </w:p>
    <w:p w14:paraId="2C69AA70" w14:textId="77777777" w:rsidR="00DD3579" w:rsidRPr="00DD3579" w:rsidRDefault="00DD3579" w:rsidP="00DD3579">
      <w:pPr>
        <w:spacing w:before="0" w:after="0"/>
        <w:ind w:left="480" w:hanging="480"/>
        <w:rPr>
          <w:rFonts w:eastAsia="Times New Roman" w:cs="Times New Roman"/>
          <w:szCs w:val="24"/>
        </w:rPr>
      </w:pPr>
      <w:proofErr w:type="spellStart"/>
      <w:r w:rsidRPr="00DD3579">
        <w:rPr>
          <w:rFonts w:eastAsia="Times New Roman" w:cs="Times New Roman"/>
          <w:color w:val="000000"/>
          <w:szCs w:val="24"/>
        </w:rPr>
        <w:t>Schloss</w:t>
      </w:r>
      <w:proofErr w:type="spellEnd"/>
      <w:r w:rsidRPr="00DD3579">
        <w:rPr>
          <w:rFonts w:eastAsia="Times New Roman" w:cs="Times New Roman"/>
          <w:color w:val="000000"/>
          <w:szCs w:val="24"/>
        </w:rPr>
        <w:t xml:space="preserve">, P.D. et al., 2009. Introducing </w:t>
      </w:r>
      <w:proofErr w:type="spellStart"/>
      <w:r w:rsidRPr="00DD3579">
        <w:rPr>
          <w:rFonts w:eastAsia="Times New Roman" w:cs="Times New Roman"/>
          <w:color w:val="000000"/>
          <w:szCs w:val="24"/>
        </w:rPr>
        <w:t>mothur</w:t>
      </w:r>
      <w:proofErr w:type="spellEnd"/>
      <w:r w:rsidRPr="00DD3579">
        <w:rPr>
          <w:rFonts w:eastAsia="Times New Roman" w:cs="Times New Roman"/>
          <w:color w:val="000000"/>
          <w:szCs w:val="24"/>
        </w:rPr>
        <w:t>: Open-Source, Platform-Independent, Community-Supported Software for Describing and Comparing Microbial Communities. Applied and Environmental Microbiology, 75(23), 7537–7541.</w:t>
      </w:r>
    </w:p>
    <w:p w14:paraId="6CBC680C" w14:textId="77777777" w:rsidR="00DD3579" w:rsidRPr="00DD3579" w:rsidRDefault="00DD3579" w:rsidP="00DD3579">
      <w:pPr>
        <w:spacing w:before="0" w:after="0"/>
        <w:ind w:left="480" w:hanging="480"/>
        <w:rPr>
          <w:rFonts w:eastAsia="Times New Roman" w:cs="Times New Roman"/>
          <w:szCs w:val="24"/>
        </w:rPr>
      </w:pPr>
      <w:proofErr w:type="spellStart"/>
      <w:proofErr w:type="gramStart"/>
      <w:r w:rsidRPr="00DD3579">
        <w:rPr>
          <w:rFonts w:eastAsia="Times New Roman" w:cs="Times New Roman"/>
          <w:color w:val="000000"/>
          <w:szCs w:val="24"/>
        </w:rPr>
        <w:t>Stamatakis</w:t>
      </w:r>
      <w:proofErr w:type="spellEnd"/>
      <w:r w:rsidRPr="00DD3579">
        <w:rPr>
          <w:rFonts w:eastAsia="Times New Roman" w:cs="Times New Roman"/>
          <w:color w:val="000000"/>
          <w:szCs w:val="24"/>
        </w:rPr>
        <w:t>, A., Ludwig, T. &amp; Meier, H., 2005.</w:t>
      </w:r>
      <w:proofErr w:type="gramEnd"/>
      <w:r w:rsidRPr="00DD3579">
        <w:rPr>
          <w:rFonts w:eastAsia="Times New Roman" w:cs="Times New Roman"/>
          <w:color w:val="000000"/>
          <w:szCs w:val="24"/>
        </w:rPr>
        <w:t xml:space="preserve"> </w:t>
      </w:r>
      <w:proofErr w:type="spellStart"/>
      <w:r w:rsidRPr="00DD3579">
        <w:rPr>
          <w:rFonts w:eastAsia="Times New Roman" w:cs="Times New Roman"/>
          <w:color w:val="000000"/>
          <w:szCs w:val="24"/>
        </w:rPr>
        <w:t>RAxML</w:t>
      </w:r>
      <w:proofErr w:type="spellEnd"/>
      <w:r w:rsidRPr="00DD3579">
        <w:rPr>
          <w:rFonts w:eastAsia="Times New Roman" w:cs="Times New Roman"/>
          <w:color w:val="000000"/>
          <w:szCs w:val="24"/>
        </w:rPr>
        <w:t xml:space="preserve">-III: a fast program for maximum likelihood-based inference of large phylogenetic trees. </w:t>
      </w:r>
      <w:proofErr w:type="gramStart"/>
      <w:r w:rsidRPr="00DD3579">
        <w:rPr>
          <w:rFonts w:eastAsia="Times New Roman" w:cs="Times New Roman"/>
          <w:color w:val="000000"/>
          <w:szCs w:val="24"/>
        </w:rPr>
        <w:t>Bioinformatics, 21(4), 456–46310.</w:t>
      </w:r>
      <w:proofErr w:type="gramEnd"/>
    </w:p>
    <w:p w14:paraId="12F07AA4"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Wang, Q. et al., 2007. </w:t>
      </w:r>
      <w:proofErr w:type="gramStart"/>
      <w:r w:rsidRPr="00DD3579">
        <w:rPr>
          <w:rFonts w:eastAsia="Times New Roman" w:cs="Times New Roman"/>
          <w:color w:val="000000"/>
          <w:szCs w:val="24"/>
        </w:rPr>
        <w:t xml:space="preserve">Naive Bayesian Classifier for Rapid Assignment of </w:t>
      </w:r>
      <w:proofErr w:type="spellStart"/>
      <w:r w:rsidRPr="00DD3579">
        <w:rPr>
          <w:rFonts w:eastAsia="Times New Roman" w:cs="Times New Roman"/>
          <w:color w:val="000000"/>
          <w:szCs w:val="24"/>
        </w:rPr>
        <w:t>rRNA</w:t>
      </w:r>
      <w:proofErr w:type="spellEnd"/>
      <w:r w:rsidRPr="00DD3579">
        <w:rPr>
          <w:rFonts w:eastAsia="Times New Roman" w:cs="Times New Roman"/>
          <w:color w:val="000000"/>
          <w:szCs w:val="24"/>
        </w:rPr>
        <w:t xml:space="preserve"> Sequences into the New Bacterial Taxonomy.</w:t>
      </w:r>
      <w:proofErr w:type="gramEnd"/>
      <w:r w:rsidRPr="00DD3579">
        <w:rPr>
          <w:rFonts w:eastAsia="Times New Roman" w:cs="Times New Roman"/>
          <w:color w:val="000000"/>
          <w:szCs w:val="24"/>
        </w:rPr>
        <w:t xml:space="preserve"> Applied and Environmental Microbiology, 73(16), 5261–5267.</w:t>
      </w:r>
    </w:p>
    <w:p w14:paraId="2E9D96CF" w14:textId="77777777" w:rsidR="00DD3579" w:rsidRPr="00DD3579" w:rsidRDefault="00DD3579" w:rsidP="00DD3579">
      <w:pPr>
        <w:spacing w:before="0" w:after="0"/>
        <w:ind w:left="480" w:hanging="480"/>
        <w:rPr>
          <w:rFonts w:eastAsia="Times New Roman" w:cs="Times New Roman"/>
          <w:szCs w:val="24"/>
        </w:rPr>
      </w:pPr>
      <w:r w:rsidRPr="00DD3579">
        <w:rPr>
          <w:rFonts w:eastAsia="Times New Roman" w:cs="Times New Roman"/>
          <w:color w:val="000000"/>
          <w:szCs w:val="24"/>
        </w:rPr>
        <w:t xml:space="preserve">White, J., </w:t>
      </w:r>
      <w:proofErr w:type="spellStart"/>
      <w:r w:rsidRPr="00DD3579">
        <w:rPr>
          <w:rFonts w:eastAsia="Times New Roman" w:cs="Times New Roman"/>
          <w:color w:val="000000"/>
          <w:szCs w:val="24"/>
        </w:rPr>
        <w:t>Kaul</w:t>
      </w:r>
      <w:proofErr w:type="spellEnd"/>
      <w:r w:rsidRPr="00DD3579">
        <w:rPr>
          <w:rFonts w:eastAsia="Times New Roman" w:cs="Times New Roman"/>
          <w:color w:val="000000"/>
          <w:szCs w:val="24"/>
        </w:rPr>
        <w:t xml:space="preserve">, R. &amp; Knoll, L., 2011. </w:t>
      </w:r>
      <w:proofErr w:type="gramStart"/>
      <w:r w:rsidRPr="00DD3579">
        <w:rPr>
          <w:rFonts w:eastAsia="Times New Roman" w:cs="Times New Roman"/>
          <w:color w:val="000000"/>
          <w:szCs w:val="24"/>
        </w:rPr>
        <w:t xml:space="preserve">Large variation in vulnerability to grazing within a population of the colonial </w:t>
      </w:r>
      <w:proofErr w:type="spellStart"/>
      <w:r w:rsidRPr="00DD3579">
        <w:rPr>
          <w:rFonts w:eastAsia="Times New Roman" w:cs="Times New Roman"/>
          <w:color w:val="000000"/>
          <w:szCs w:val="24"/>
        </w:rPr>
        <w:t>phytoplankter</w:t>
      </w:r>
      <w:proofErr w:type="spellEnd"/>
      <w:r w:rsidRPr="00DD3579">
        <w:rPr>
          <w:rFonts w:eastAsia="Times New Roman" w:cs="Times New Roman"/>
          <w:color w:val="000000"/>
          <w:szCs w:val="24"/>
        </w:rPr>
        <w:t xml:space="preserve">, Microcystis </w:t>
      </w:r>
      <w:proofErr w:type="spellStart"/>
      <w:r w:rsidRPr="00DD3579">
        <w:rPr>
          <w:rFonts w:eastAsia="Times New Roman" w:cs="Times New Roman"/>
          <w:color w:val="000000"/>
          <w:szCs w:val="24"/>
        </w:rPr>
        <w:t>aeruginosa</w:t>
      </w:r>
      <w:proofErr w:type="spellEnd"/>
      <w:r w:rsidRPr="00DD3579">
        <w:rPr>
          <w:rFonts w:eastAsia="Times New Roman" w:cs="Times New Roman"/>
          <w:color w:val="000000"/>
          <w:szCs w:val="24"/>
        </w:rPr>
        <w:t>.</w:t>
      </w:r>
      <w:proofErr w:type="gramEnd"/>
      <w:r w:rsidRPr="00DD3579">
        <w:rPr>
          <w:rFonts w:eastAsia="Times New Roman" w:cs="Times New Roman"/>
          <w:color w:val="000000"/>
          <w:szCs w:val="24"/>
        </w:rPr>
        <w:t xml:space="preserve"> Limnology and Oceanography, 56(5), 1714–1724.</w:t>
      </w:r>
    </w:p>
    <w:p w14:paraId="6EAF43A3" w14:textId="77777777" w:rsidR="005B565E" w:rsidRDefault="005B565E" w:rsidP="008C39C8">
      <w:pPr>
        <w:keepNext/>
        <w:suppressLineNumbers/>
        <w:rPr>
          <w:rFonts w:cs="Times New Roman"/>
          <w:b/>
          <w:szCs w:val="24"/>
        </w:rPr>
      </w:pPr>
    </w:p>
    <w:p w14:paraId="54C2A625" w14:textId="77777777" w:rsidR="008C39C8" w:rsidRDefault="008C39C8" w:rsidP="008C39C8">
      <w:pPr>
        <w:pStyle w:val="NormalWeb"/>
        <w:suppressLineNumbers/>
        <w:spacing w:before="0" w:beforeAutospacing="0" w:after="0" w:afterAutospacing="0"/>
        <w:rPr>
          <w:rFonts w:eastAsiaTheme="minorHAnsi"/>
          <w:color w:val="000000"/>
        </w:rPr>
      </w:pPr>
    </w:p>
    <w:p w14:paraId="4A6CC2DD" w14:textId="77777777" w:rsidR="008C39C8" w:rsidRDefault="008C39C8" w:rsidP="008C39C8">
      <w:pPr>
        <w:pStyle w:val="NormalWeb"/>
        <w:suppressLineNumbers/>
        <w:spacing w:before="0" w:beforeAutospacing="0" w:after="0" w:afterAutospacing="0"/>
        <w:rPr>
          <w:rFonts w:eastAsiaTheme="minorHAnsi"/>
          <w:color w:val="000000"/>
        </w:rPr>
      </w:pPr>
    </w:p>
    <w:p w14:paraId="497C87EE" w14:textId="77777777" w:rsidR="008C39C8" w:rsidRDefault="008C39C8" w:rsidP="008C39C8">
      <w:pPr>
        <w:pStyle w:val="NormalWeb"/>
        <w:suppressLineNumbers/>
        <w:spacing w:before="0" w:beforeAutospacing="0" w:after="0" w:afterAutospacing="0"/>
        <w:rPr>
          <w:rFonts w:eastAsiaTheme="minorHAnsi"/>
          <w:color w:val="000000"/>
        </w:rPr>
      </w:pPr>
    </w:p>
    <w:p w14:paraId="497781AA" w14:textId="77777777" w:rsidR="008C39C8" w:rsidRPr="003F48D0" w:rsidRDefault="008C39C8" w:rsidP="008C39C8">
      <w:pPr>
        <w:pStyle w:val="NormalWeb"/>
        <w:suppressLineNumbers/>
        <w:spacing w:before="0" w:beforeAutospacing="0" w:after="0" w:afterAutospacing="0"/>
        <w:rPr>
          <w:rFonts w:eastAsiaTheme="minorHAnsi"/>
        </w:rPr>
      </w:pPr>
    </w:p>
    <w:p w14:paraId="08B6262F" w14:textId="77777777" w:rsidR="003F48D0" w:rsidRPr="003F48D0" w:rsidRDefault="003F48D0" w:rsidP="008C39C8">
      <w:pPr>
        <w:suppressLineNumbers/>
        <w:spacing w:before="0" w:after="0"/>
        <w:rPr>
          <w:rFonts w:ascii="Times" w:eastAsia="Times New Roman" w:hAnsi="Times" w:cs="Times New Roman"/>
          <w:sz w:val="20"/>
          <w:szCs w:val="20"/>
        </w:rPr>
      </w:pPr>
    </w:p>
    <w:p w14:paraId="4EE3A13B" w14:textId="77777777" w:rsidR="003F48D0" w:rsidRPr="002B4A57" w:rsidRDefault="003F48D0" w:rsidP="008C39C8">
      <w:pPr>
        <w:keepNext/>
        <w:suppressLineNumbers/>
        <w:rPr>
          <w:rFonts w:cs="Times New Roman"/>
          <w:b/>
          <w:szCs w:val="24"/>
        </w:rPr>
      </w:pPr>
    </w:p>
    <w:p w14:paraId="0DAD2B34" w14:textId="77777777" w:rsidR="003F48D0" w:rsidRPr="001549D3" w:rsidRDefault="003F48D0" w:rsidP="008C39C8">
      <w:pPr>
        <w:keepNext/>
        <w:suppressLineNumbers/>
        <w:rPr>
          <w:rFonts w:cs="Times New Roman"/>
          <w:szCs w:val="24"/>
        </w:rPr>
      </w:pPr>
    </w:p>
    <w:p w14:paraId="475F2A67" w14:textId="77777777" w:rsidR="00994A3D" w:rsidRPr="001549D3" w:rsidRDefault="00994A3D" w:rsidP="008C39C8">
      <w:pPr>
        <w:keepNext/>
        <w:suppressLineNumbers/>
        <w:jc w:val="center"/>
        <w:rPr>
          <w:rFonts w:cs="Times New Roman"/>
          <w:szCs w:val="24"/>
        </w:rPr>
      </w:pPr>
      <w:r w:rsidRPr="001549D3">
        <w:rPr>
          <w:b/>
          <w:noProof/>
        </w:rPr>
        <w:drawing>
          <wp:inline distT="0" distB="0" distL="0" distR="0" wp14:anchorId="4B2EFAA7" wp14:editId="6452C1B7">
            <wp:extent cx="4051121" cy="1456582"/>
            <wp:effectExtent l="0" t="0" r="6985"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2491" cy="1733928"/>
                    </a:xfrm>
                    <a:prstGeom prst="rect">
                      <a:avLst/>
                    </a:prstGeom>
                    <a:noFill/>
                    <a:ln>
                      <a:noFill/>
                    </a:ln>
                  </pic:spPr>
                </pic:pic>
              </a:graphicData>
            </a:graphic>
          </wp:inline>
        </w:drawing>
      </w:r>
    </w:p>
    <w:p w14:paraId="28EA9A52" w14:textId="77777777" w:rsidR="00DE23E8" w:rsidRPr="001549D3" w:rsidRDefault="00DE23E8" w:rsidP="008C39C8">
      <w:pPr>
        <w:suppressLineNumbers/>
        <w:spacing w:before="240"/>
      </w:pPr>
    </w:p>
    <w:sectPr w:rsidR="00DE23E8" w:rsidRPr="001549D3" w:rsidSect="003F48D0">
      <w:headerReference w:type="even" r:id="rId13"/>
      <w:footerReference w:type="even" r:id="rId14"/>
      <w:footerReference w:type="default" r:id="rId15"/>
      <w:headerReference w:type="first" r:id="rId16"/>
      <w:pgSz w:w="12240" w:h="15840"/>
      <w:pgMar w:top="1138" w:right="1181" w:bottom="1138" w:left="1282"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5BD5D" w14:textId="77777777" w:rsidR="00DD3579" w:rsidRDefault="00DD3579" w:rsidP="00117666">
      <w:pPr>
        <w:spacing w:after="0"/>
      </w:pPr>
      <w:r>
        <w:separator/>
      </w:r>
    </w:p>
  </w:endnote>
  <w:endnote w:type="continuationSeparator" w:id="0">
    <w:p w14:paraId="323D0F76" w14:textId="77777777" w:rsidR="00DD3579" w:rsidRDefault="00DD357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416B" w14:textId="77777777" w:rsidR="00DD3579" w:rsidRPr="00577C4C" w:rsidRDefault="00DD3579">
    <w:pPr>
      <w:rPr>
        <w:color w:val="C00000"/>
        <w:szCs w:val="24"/>
      </w:rPr>
    </w:pPr>
    <w:r>
      <w:rPr>
        <w:noProof/>
      </w:rPr>
      <mc:AlternateContent>
        <mc:Choice Requires="wps">
          <w:drawing>
            <wp:anchor distT="0" distB="0" distL="114300" distR="114300" simplePos="0" relativeHeight="251659264" behindDoc="0" locked="0" layoutInCell="1" allowOverlap="1" wp14:anchorId="76935A27" wp14:editId="0DF69490">
              <wp:simplePos x="0" y="0"/>
              <wp:positionH relativeFrom="margin">
                <wp:align>right</wp:align>
              </wp:positionH>
              <wp:positionV relativeFrom="bottomMargin">
                <wp:align>top</wp:align>
              </wp:positionV>
              <wp:extent cx="1508760" cy="501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00C11579" w14:textId="77777777" w:rsidR="00DD3579" w:rsidRPr="00577C4C" w:rsidRDefault="00DD3579">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B565E">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7.6pt;margin-top:0;width:118.8pt;height:39.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" filled="f" stroked="f" strokeweight=".5pt">
              <v:textbox style="mso-fit-shape-to-text:t">
                <w:txbxContent>
                  <w:p w14:paraId="00C11579" w14:textId="77777777" w:rsidR="00DD3579" w:rsidRPr="00577C4C" w:rsidRDefault="00DD3579">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B565E">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B74F6" w14:textId="77777777" w:rsidR="00DD3579" w:rsidRPr="00577C4C" w:rsidRDefault="00DD3579">
    <w:pPr>
      <w:rPr>
        <w:b/>
        <w:sz w:val="20"/>
        <w:szCs w:val="24"/>
      </w:rPr>
    </w:pPr>
    <w:r>
      <w:rPr>
        <w:noProof/>
      </w:rPr>
      <mc:AlternateContent>
        <mc:Choice Requires="wps">
          <w:drawing>
            <wp:anchor distT="0" distB="0" distL="114300" distR="114300" simplePos="0" relativeHeight="251646976" behindDoc="0" locked="0" layoutInCell="1" allowOverlap="1" wp14:anchorId="47AE1EAC" wp14:editId="7DDB7576">
              <wp:simplePos x="0" y="0"/>
              <wp:positionH relativeFrom="margin">
                <wp:align>right</wp:align>
              </wp:positionH>
              <wp:positionV relativeFrom="bottomMargin">
                <wp:align>top</wp:align>
              </wp:positionV>
              <wp:extent cx="1508760" cy="501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501650"/>
                      </a:xfrm>
                      <a:prstGeom prst="rect">
                        <a:avLst/>
                      </a:prstGeom>
                      <a:noFill/>
                      <a:ln w="6350">
                        <a:noFill/>
                      </a:ln>
                      <a:effectLst/>
                    </wps:spPr>
                    <wps:txbx>
                      <w:txbxContent>
                        <w:p w14:paraId="5911C619" w14:textId="77777777" w:rsidR="00DD3579" w:rsidRPr="00577C4C" w:rsidRDefault="00DD3579">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B565E">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7" type="#_x0000_t202" style="position:absolute;margin-left:67.6pt;margin-top:0;width:118.8pt;height:39.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" filled="f" stroked="f" strokeweight=".5pt">
              <v:textbox style="mso-fit-shape-to-text:t">
                <w:txbxContent>
                  <w:p w14:paraId="5911C619" w14:textId="77777777" w:rsidR="00DD3579" w:rsidRPr="00577C4C" w:rsidRDefault="00DD3579">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B565E">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E7CA5" w14:textId="77777777" w:rsidR="00DD3579" w:rsidRDefault="00DD3579" w:rsidP="00117666">
      <w:pPr>
        <w:spacing w:after="0"/>
      </w:pPr>
      <w:r>
        <w:separator/>
      </w:r>
    </w:p>
  </w:footnote>
  <w:footnote w:type="continuationSeparator" w:id="0">
    <w:p w14:paraId="3DE9E14D" w14:textId="77777777" w:rsidR="00DD3579" w:rsidRDefault="00DD3579"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DD2A9" w14:textId="77777777" w:rsidR="00DD3579" w:rsidRPr="009151AA" w:rsidRDefault="00DD3579">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ACE3F" w14:textId="77777777" w:rsidR="00DD3579" w:rsidRDefault="00DD3579" w:rsidP="0093429D">
    <w:r w:rsidRPr="005A1D84">
      <w:rPr>
        <w:b/>
        <w:noProof/>
        <w:color w:val="A6A6A6" w:themeColor="background1" w:themeShade="A6"/>
      </w:rPr>
      <w:drawing>
        <wp:inline distT="0" distB="0" distL="0" distR="0" wp14:anchorId="67362CEC" wp14:editId="246639B8">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574CB"/>
    <w:multiLevelType w:val="multilevel"/>
    <w:tmpl w:val="B2922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5"/>
  </w:num>
  <w:num w:numId="3">
    <w:abstractNumId w:val="1"/>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7"/>
  </w:num>
  <w:num w:numId="9">
    <w:abstractNumId w:val="7"/>
  </w:num>
  <w:num w:numId="10">
    <w:abstractNumId w:val="7"/>
  </w:num>
  <w:num w:numId="11">
    <w:abstractNumId w:val="7"/>
  </w:num>
  <w:num w:numId="12">
    <w:abstractNumId w:val="7"/>
  </w:num>
  <w:num w:numId="13">
    <w:abstractNumId w:val="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19"/>
    <w:rsid w:val="0001436A"/>
    <w:rsid w:val="00034304"/>
    <w:rsid w:val="00035434"/>
    <w:rsid w:val="00052A14"/>
    <w:rsid w:val="00077D53"/>
    <w:rsid w:val="00105FD9"/>
    <w:rsid w:val="00117666"/>
    <w:rsid w:val="001549D3"/>
    <w:rsid w:val="00160065"/>
    <w:rsid w:val="00177D84"/>
    <w:rsid w:val="00267D18"/>
    <w:rsid w:val="002868E2"/>
    <w:rsid w:val="002869C3"/>
    <w:rsid w:val="00293619"/>
    <w:rsid w:val="002936E4"/>
    <w:rsid w:val="002B4A57"/>
    <w:rsid w:val="002C74CA"/>
    <w:rsid w:val="003544FB"/>
    <w:rsid w:val="003D2F2D"/>
    <w:rsid w:val="003F48D0"/>
    <w:rsid w:val="00401590"/>
    <w:rsid w:val="00447801"/>
    <w:rsid w:val="00452E9C"/>
    <w:rsid w:val="004735C8"/>
    <w:rsid w:val="004961FF"/>
    <w:rsid w:val="00517A89"/>
    <w:rsid w:val="005250F2"/>
    <w:rsid w:val="00593EEA"/>
    <w:rsid w:val="005A5EEE"/>
    <w:rsid w:val="005B565E"/>
    <w:rsid w:val="006375C7"/>
    <w:rsid w:val="00654E8F"/>
    <w:rsid w:val="00660D05"/>
    <w:rsid w:val="006820B1"/>
    <w:rsid w:val="006B7D14"/>
    <w:rsid w:val="00701727"/>
    <w:rsid w:val="0070566C"/>
    <w:rsid w:val="00714C50"/>
    <w:rsid w:val="00725A7D"/>
    <w:rsid w:val="007501BE"/>
    <w:rsid w:val="00790BB3"/>
    <w:rsid w:val="007C206C"/>
    <w:rsid w:val="00817DD6"/>
    <w:rsid w:val="00885156"/>
    <w:rsid w:val="008C39C8"/>
    <w:rsid w:val="009151AA"/>
    <w:rsid w:val="0093429D"/>
    <w:rsid w:val="00943573"/>
    <w:rsid w:val="00970F7D"/>
    <w:rsid w:val="00994A3D"/>
    <w:rsid w:val="009C2B12"/>
    <w:rsid w:val="00A174D9"/>
    <w:rsid w:val="00AB6715"/>
    <w:rsid w:val="00B1671E"/>
    <w:rsid w:val="00B25EB8"/>
    <w:rsid w:val="00B37F4D"/>
    <w:rsid w:val="00C52A7B"/>
    <w:rsid w:val="00C56BAF"/>
    <w:rsid w:val="00C679AA"/>
    <w:rsid w:val="00C75972"/>
    <w:rsid w:val="00CD066B"/>
    <w:rsid w:val="00CE4FEE"/>
    <w:rsid w:val="00DB59C3"/>
    <w:rsid w:val="00DC259A"/>
    <w:rsid w:val="00DD3579"/>
    <w:rsid w:val="00DE23E8"/>
    <w:rsid w:val="00E52377"/>
    <w:rsid w:val="00E64E17"/>
    <w:rsid w:val="00E866C9"/>
    <w:rsid w:val="00EA3D3C"/>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127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customStyle="1" w:styleId="apple-tab-span">
    <w:name w:val="apple-tab-span"/>
    <w:basedOn w:val="DefaultParagraphFont"/>
    <w:rsid w:val="00DD35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customStyle="1" w:styleId="apple-tab-span">
    <w:name w:val="apple-tab-span"/>
    <w:basedOn w:val="DefaultParagraphFont"/>
    <w:rsid w:val="00DD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418716207">
      <w:bodyDiv w:val="1"/>
      <w:marLeft w:val="0"/>
      <w:marRight w:val="0"/>
      <w:marTop w:val="0"/>
      <w:marBottom w:val="0"/>
      <w:divBdr>
        <w:top w:val="none" w:sz="0" w:space="0" w:color="auto"/>
        <w:left w:val="none" w:sz="0" w:space="0" w:color="auto"/>
        <w:bottom w:val="none" w:sz="0" w:space="0" w:color="auto"/>
        <w:right w:val="none" w:sz="0" w:space="0" w:color="auto"/>
      </w:divBdr>
    </w:div>
    <w:div w:id="1423601748">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52667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eo-omics/scripts/blob/master/wrappers/Assembly/qc.sh" TargetMode="Externa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enefLab/MicrobeMiseq/tree/master/mothur2oligo" TargetMode="External"/><Relationship Id="rId10" Type="http://schemas.openxmlformats.org/officeDocument/2006/relationships/hyperlink" Target="https://github.com/ucdavis-bioinformatics/scyth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Downloads:Frontiers_Word_Templ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2226755-5F38-5443-A11A-5596FFBB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4</TotalTime>
  <Pages>4</Pages>
  <Words>2314</Words>
  <Characters>13193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Berry</dc:creator>
  <cp:keywords/>
  <dc:description/>
  <cp:lastModifiedBy>Michelle Berry</cp:lastModifiedBy>
  <cp:revision>3</cp:revision>
  <cp:lastPrinted>2016-07-26T20:19:00Z</cp:lastPrinted>
  <dcterms:created xsi:type="dcterms:W3CDTF">2016-07-26T20:19:00Z</dcterms:created>
  <dcterms:modified xsi:type="dcterms:W3CDTF">2016-07-26T21:11:00Z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michberr8@gmail.com@www.mendeley.com</vt:lpwstr>
  </property>
  <property fmtid="{D5CDD505-2E9C-101B-9397-08002B2CF9AE}" pid="4" name="Mendeley Citation Style_1">
    <vt:lpwstr>http://www.zotero.org/styles/frontiers-in-microbiology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http://www.zotero.org/styles/environmental-microbiology</vt:lpwstr>
  </property>
  <property fmtid="{D5CDD505-2E9C-101B-9397-08002B2CF9AE}" pid="10" name="Mendeley Recent Style Name 2_1">
    <vt:lpwstr>Environmental Microbiology</vt:lpwstr>
  </property>
  <property fmtid="{D5CDD505-2E9C-101B-9397-08002B2CF9AE}" pid="11" name="Mendeley Recent Style Id 3_1">
    <vt:lpwstr>http://www.zotero.org/styles/frontiers-in-microbiology</vt:lpwstr>
  </property>
  <property fmtid="{D5CDD505-2E9C-101B-9397-08002B2CF9AE}" pid="12" name="Mendeley Recent Style Name 3_1">
    <vt:lpwstr>Frontiers in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http://www.zotero.org/styles/the-isme-journal</vt:lpwstr>
  </property>
  <property fmtid="{D5CDD505-2E9C-101B-9397-08002B2CF9AE}" pid="24" name="Mendeley Recent Style Name 9_1">
    <vt:lpwstr>The ISME Journal</vt:lpwstr>
  </property>
</Properties>
</file>