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2F4FE" w14:textId="77777777" w:rsidR="00CC3835" w:rsidRDefault="00256BAA">
      <w:pPr>
        <w:pStyle w:val="Articletype"/>
        <w:rPr>
          <w:rFonts w:eastAsia="Times New Roman Bold"/>
          <w:b/>
          <w:bCs/>
          <w:color w:val="000000" w:themeColor="text1"/>
          <w:sz w:val="24"/>
          <w:szCs w:val="24"/>
          <w:lang w:bidi="ar"/>
        </w:rPr>
      </w:pPr>
      <w:bookmarkStart w:id="0" w:name="OLE_LINK13"/>
      <w:bookmarkStart w:id="1" w:name="OLE_LINK66"/>
      <w:r>
        <w:rPr>
          <w:color w:val="000000" w:themeColor="text1"/>
          <w:shd w:val="clear" w:color="auto" w:fill="FFFFFF"/>
        </w:rPr>
        <w:t>Original Research</w:t>
      </w:r>
    </w:p>
    <w:p w14:paraId="723D7802" w14:textId="10ABE5D9" w:rsidR="00CC3835" w:rsidRDefault="00256BAA">
      <w:pPr>
        <w:pStyle w:val="Articletitle"/>
        <w:rPr>
          <w:rFonts w:eastAsia="Times New Roman Bold"/>
          <w:color w:val="000000" w:themeColor="text1"/>
        </w:rPr>
      </w:pPr>
      <w:r>
        <w:rPr>
          <w:rFonts w:eastAsia="Times New Roman Bold"/>
          <w:color w:val="000000" w:themeColor="text1"/>
        </w:rPr>
        <w:t>Early Cardiac Workload and Long-Term Prognosis After Intracerebral Hemorrhage: Insights from a Large Multicenter Cohort</w:t>
      </w:r>
      <w:bookmarkEnd w:id="0"/>
    </w:p>
    <w:p w14:paraId="08F0C0A6" w14:textId="77777777" w:rsidR="001660ED" w:rsidRDefault="001660ED" w:rsidP="001660ED">
      <w:pPr>
        <w:pStyle w:val="21"/>
        <w:spacing w:line="360" w:lineRule="auto"/>
        <w:rPr>
          <w:rFonts w:ascii="Times New Roman" w:hAnsi="Times New Roman"/>
          <w:color w:val="000000"/>
          <w:sz w:val="22"/>
          <w:szCs w:val="22"/>
          <w:lang w:val="en-US"/>
        </w:rPr>
      </w:pPr>
      <w:proofErr w:type="spellStart"/>
      <w:r>
        <w:rPr>
          <w:rFonts w:ascii="Times New Roman" w:hAnsi="Times New Roman"/>
          <w:color w:val="000000"/>
          <w:sz w:val="22"/>
          <w:szCs w:val="22"/>
          <w:lang w:val="en-US"/>
        </w:rPr>
        <w:t>Chuanying</w:t>
      </w:r>
      <w:proofErr w:type="spellEnd"/>
      <w:r>
        <w:rPr>
          <w:rFonts w:ascii="Times New Roman" w:hAnsi="Times New Roman"/>
          <w:color w:val="000000"/>
          <w:sz w:val="22"/>
          <w:szCs w:val="22"/>
          <w:lang w:val="en-US"/>
        </w:rPr>
        <w:t xml:space="preserve"> Wang</w:t>
      </w:r>
      <w:bookmarkStart w:id="2" w:name="OLE_LINK202"/>
      <w:bookmarkEnd w:id="2"/>
      <w:r>
        <w:rPr>
          <w:rFonts w:ascii="Times New Roman" w:hAnsi="Times New Roman"/>
          <w:color w:val="000000"/>
          <w:sz w:val="22"/>
          <w:szCs w:val="22"/>
          <w:vertAlign w:val="superscript"/>
          <w:lang w:val="en-US"/>
        </w:rPr>
        <w:t>1,</w:t>
      </w:r>
      <w:proofErr w:type="gramStart"/>
      <w:r>
        <w:rPr>
          <w:rFonts w:ascii="Times New Roman" w:hAnsi="Times New Roman"/>
          <w:color w:val="000000"/>
          <w:sz w:val="22"/>
          <w:szCs w:val="22"/>
          <w:vertAlign w:val="superscript"/>
          <w:lang w:val="en-US"/>
        </w:rPr>
        <w:t>2</w:t>
      </w:r>
      <w:r>
        <w:rPr>
          <w:rFonts w:ascii="Times New Roman" w:hAnsi="Times New Roman"/>
          <w:color w:val="000000"/>
          <w:sz w:val="22"/>
          <w:szCs w:val="22"/>
          <w:lang w:val="en-US"/>
        </w:rPr>
        <w:t xml:space="preserve">  </w:t>
      </w:r>
      <w:proofErr w:type="spellStart"/>
      <w:r>
        <w:rPr>
          <w:rFonts w:ascii="Times New Roman" w:hAnsi="Times New Roman"/>
          <w:color w:val="000000"/>
          <w:sz w:val="22"/>
          <w:szCs w:val="22"/>
          <w:lang w:val="en-US"/>
        </w:rPr>
        <w:t>Yunyi</w:t>
      </w:r>
      <w:proofErr w:type="spellEnd"/>
      <w:proofErr w:type="gramEnd"/>
      <w:r>
        <w:rPr>
          <w:rFonts w:ascii="Times New Roman" w:hAnsi="Times New Roman"/>
          <w:color w:val="000000"/>
          <w:sz w:val="22"/>
          <w:szCs w:val="22"/>
          <w:lang w:val="en-US"/>
        </w:rPr>
        <w:t xml:space="preserve"> Hao</w:t>
      </w:r>
      <w:r>
        <w:rPr>
          <w:rFonts w:ascii="Times New Roman" w:hAnsi="Times New Roman"/>
          <w:color w:val="000000"/>
          <w:sz w:val="22"/>
          <w:szCs w:val="22"/>
          <w:vertAlign w:val="superscript"/>
          <w:lang w:val="en-US"/>
        </w:rPr>
        <w:t>1,2,3</w:t>
      </w:r>
      <w:r>
        <w:rPr>
          <w:rFonts w:ascii="Times New Roman" w:hAnsi="Times New Roman"/>
          <w:color w:val="000000"/>
          <w:sz w:val="22"/>
          <w:szCs w:val="22"/>
          <w:lang w:val="en-US"/>
        </w:rPr>
        <w:t xml:space="preserve">  </w:t>
      </w:r>
      <w:proofErr w:type="spellStart"/>
      <w:r>
        <w:rPr>
          <w:rFonts w:ascii="Times New Roman" w:hAnsi="Times New Roman"/>
          <w:color w:val="000000"/>
          <w:sz w:val="22"/>
          <w:szCs w:val="22"/>
          <w:lang w:val="en-US"/>
        </w:rPr>
        <w:t>Zeqiang</w:t>
      </w:r>
      <w:proofErr w:type="spellEnd"/>
      <w:r>
        <w:rPr>
          <w:rFonts w:ascii="Times New Roman" w:hAnsi="Times New Roman"/>
          <w:color w:val="000000"/>
          <w:sz w:val="22"/>
          <w:szCs w:val="22"/>
          <w:lang w:val="en-US"/>
        </w:rPr>
        <w:t xml:space="preserve"> Ji</w:t>
      </w:r>
      <w:r>
        <w:rPr>
          <w:rFonts w:ascii="Times New Roman" w:hAnsi="Times New Roman"/>
          <w:color w:val="000000"/>
          <w:sz w:val="22"/>
          <w:szCs w:val="22"/>
          <w:vertAlign w:val="superscript"/>
          <w:lang w:val="en-US"/>
        </w:rPr>
        <w:t>1,2</w:t>
      </w:r>
      <w:r>
        <w:rPr>
          <w:rFonts w:ascii="Times New Roman" w:hAnsi="Times New Roman"/>
          <w:color w:val="000000"/>
          <w:sz w:val="22"/>
          <w:szCs w:val="22"/>
          <w:lang w:val="en-US"/>
        </w:rPr>
        <w:t xml:space="preserve">  </w:t>
      </w:r>
      <w:proofErr w:type="spellStart"/>
      <w:r>
        <w:rPr>
          <w:rFonts w:ascii="Times New Roman" w:hAnsi="Times New Roman"/>
          <w:color w:val="000000"/>
          <w:sz w:val="22"/>
          <w:szCs w:val="22"/>
          <w:lang w:val="en-US"/>
        </w:rPr>
        <w:t>Anxin</w:t>
      </w:r>
      <w:proofErr w:type="spellEnd"/>
      <w:r>
        <w:rPr>
          <w:rFonts w:ascii="Times New Roman" w:hAnsi="Times New Roman"/>
          <w:color w:val="000000"/>
          <w:sz w:val="22"/>
          <w:szCs w:val="22"/>
          <w:lang w:val="en-US"/>
        </w:rPr>
        <w:t xml:space="preserve"> Wang</w:t>
      </w:r>
      <w:r>
        <w:rPr>
          <w:rFonts w:ascii="Times New Roman" w:hAnsi="Times New Roman"/>
          <w:color w:val="000000"/>
          <w:sz w:val="22"/>
          <w:szCs w:val="22"/>
          <w:vertAlign w:val="superscript"/>
          <w:lang w:val="en-US"/>
        </w:rPr>
        <w:t>1,2,3,4</w:t>
      </w:r>
      <w:r>
        <w:rPr>
          <w:rFonts w:ascii="Times New Roman" w:hAnsi="Times New Roman"/>
          <w:color w:val="000000"/>
          <w:sz w:val="22"/>
          <w:szCs w:val="22"/>
          <w:lang w:val="en-US"/>
        </w:rPr>
        <w:t xml:space="preserve">  </w:t>
      </w:r>
      <w:proofErr w:type="spellStart"/>
      <w:r>
        <w:rPr>
          <w:rFonts w:ascii="Times New Roman" w:hAnsi="Times New Roman"/>
          <w:color w:val="000000"/>
          <w:sz w:val="22"/>
          <w:szCs w:val="22"/>
          <w:lang w:val="en-US"/>
        </w:rPr>
        <w:t>Xiaoli</w:t>
      </w:r>
      <w:proofErr w:type="spellEnd"/>
      <w:r>
        <w:rPr>
          <w:rFonts w:ascii="Times New Roman" w:hAnsi="Times New Roman"/>
          <w:color w:val="000000"/>
          <w:sz w:val="22"/>
          <w:szCs w:val="22"/>
          <w:lang w:val="en-US"/>
        </w:rPr>
        <w:t xml:space="preserve"> Zhang</w:t>
      </w:r>
      <w:r>
        <w:rPr>
          <w:rFonts w:ascii="Times New Roman" w:hAnsi="Times New Roman"/>
          <w:color w:val="000000"/>
          <w:sz w:val="22"/>
          <w:szCs w:val="22"/>
          <w:vertAlign w:val="superscript"/>
          <w:lang w:val="en-US"/>
        </w:rPr>
        <w:t>1,2,3,4</w:t>
      </w:r>
      <w:r>
        <w:rPr>
          <w:rFonts w:ascii="Times New Roman" w:hAnsi="Times New Roman"/>
          <w:color w:val="000000"/>
          <w:sz w:val="22"/>
          <w:szCs w:val="22"/>
          <w:lang w:val="en-US"/>
        </w:rPr>
        <w:t xml:space="preserve">  </w:t>
      </w:r>
      <w:proofErr w:type="spellStart"/>
      <w:r>
        <w:rPr>
          <w:rFonts w:ascii="Times New Roman" w:hAnsi="Times New Roman" w:hint="eastAsia"/>
          <w:color w:val="000000"/>
          <w:sz w:val="22"/>
          <w:szCs w:val="22"/>
          <w:lang w:val="en-US"/>
        </w:rPr>
        <w:t>Yujie</w:t>
      </w:r>
      <w:proofErr w:type="spellEnd"/>
      <w:r>
        <w:rPr>
          <w:rFonts w:ascii="Times New Roman" w:hAnsi="Times New Roman"/>
          <w:color w:val="000000"/>
          <w:sz w:val="22"/>
          <w:szCs w:val="22"/>
          <w:lang w:val="en-US"/>
        </w:rPr>
        <w:t xml:space="preserve"> Zh</w:t>
      </w:r>
      <w:r>
        <w:rPr>
          <w:rFonts w:ascii="Times New Roman" w:hAnsi="Times New Roman" w:hint="eastAsia"/>
          <w:color w:val="000000"/>
          <w:sz w:val="22"/>
          <w:szCs w:val="22"/>
          <w:lang w:val="en-US"/>
        </w:rPr>
        <w:t>ou</w:t>
      </w:r>
      <w:r>
        <w:rPr>
          <w:rFonts w:ascii="Times New Roman" w:hAnsi="Times New Roman" w:hint="eastAsia"/>
          <w:color w:val="000000"/>
          <w:sz w:val="22"/>
          <w:szCs w:val="22"/>
          <w:vertAlign w:val="superscript"/>
          <w:lang w:val="en-US"/>
        </w:rPr>
        <w:t>5</w:t>
      </w:r>
      <w:r>
        <w:rPr>
          <w:rFonts w:ascii="Times New Roman" w:hAnsi="Times New Roman"/>
          <w:color w:val="000000"/>
          <w:sz w:val="22"/>
          <w:szCs w:val="22"/>
          <w:lang w:val="en-US"/>
        </w:rPr>
        <w:t xml:space="preserve"> </w:t>
      </w:r>
      <w:r>
        <w:rPr>
          <w:rFonts w:ascii="Times New Roman" w:hAnsi="Times New Roman" w:hint="eastAsia"/>
          <w:color w:val="000000"/>
          <w:sz w:val="22"/>
          <w:szCs w:val="22"/>
          <w:lang w:val="en-US"/>
        </w:rPr>
        <w:t xml:space="preserve"> </w:t>
      </w:r>
      <w:proofErr w:type="spellStart"/>
      <w:r>
        <w:rPr>
          <w:rFonts w:ascii="Times New Roman" w:hAnsi="Times New Roman"/>
          <w:color w:val="000000"/>
          <w:sz w:val="22"/>
          <w:szCs w:val="22"/>
          <w:lang w:val="en-US"/>
        </w:rPr>
        <w:t>Kaijiang</w:t>
      </w:r>
      <w:proofErr w:type="spellEnd"/>
      <w:r>
        <w:rPr>
          <w:rFonts w:ascii="Times New Roman" w:hAnsi="Times New Roman"/>
          <w:color w:val="000000"/>
          <w:sz w:val="22"/>
          <w:szCs w:val="22"/>
          <w:lang w:val="en-US"/>
        </w:rPr>
        <w:t xml:space="preserve"> Kang</w:t>
      </w:r>
      <w:r>
        <w:rPr>
          <w:rFonts w:ascii="Times New Roman" w:hAnsi="Times New Roman"/>
          <w:color w:val="000000"/>
          <w:sz w:val="22"/>
          <w:szCs w:val="22"/>
          <w:vertAlign w:val="superscript"/>
          <w:lang w:val="en-US"/>
        </w:rPr>
        <w:t>1,2</w:t>
      </w:r>
      <w:r>
        <w:rPr>
          <w:rFonts w:ascii="Times New Roman" w:hAnsi="Times New Roman"/>
          <w:color w:val="000000"/>
          <w:sz w:val="22"/>
          <w:szCs w:val="22"/>
          <w:lang w:val="en-US"/>
        </w:rPr>
        <w:t xml:space="preserve">*  </w:t>
      </w:r>
      <w:proofErr w:type="spellStart"/>
      <w:r>
        <w:rPr>
          <w:rFonts w:ascii="Times New Roman" w:hAnsi="Times New Roman"/>
          <w:color w:val="000000"/>
          <w:sz w:val="22"/>
          <w:szCs w:val="22"/>
          <w:lang w:val="en-US"/>
        </w:rPr>
        <w:t>Xingquan</w:t>
      </w:r>
      <w:proofErr w:type="spellEnd"/>
      <w:r>
        <w:rPr>
          <w:rFonts w:ascii="Times New Roman" w:hAnsi="Times New Roman"/>
          <w:color w:val="000000"/>
          <w:sz w:val="22"/>
          <w:szCs w:val="22"/>
          <w:lang w:val="en-US"/>
        </w:rPr>
        <w:t xml:space="preserve"> Zhao</w:t>
      </w:r>
      <w:bookmarkStart w:id="3" w:name="OLE_LINK34"/>
      <w:r>
        <w:rPr>
          <w:rFonts w:ascii="Times New Roman" w:hAnsi="Times New Roman"/>
          <w:color w:val="000000"/>
          <w:sz w:val="22"/>
          <w:szCs w:val="22"/>
          <w:vertAlign w:val="superscript"/>
          <w:lang w:val="en-US"/>
        </w:rPr>
        <w:t>1,2,</w:t>
      </w:r>
      <w:r>
        <w:rPr>
          <w:rFonts w:ascii="Times New Roman" w:hAnsi="Times New Roman" w:hint="eastAsia"/>
          <w:color w:val="000000"/>
          <w:sz w:val="22"/>
          <w:szCs w:val="22"/>
          <w:vertAlign w:val="superscript"/>
          <w:lang w:val="en-US"/>
        </w:rPr>
        <w:t>6</w:t>
      </w:r>
      <w:r>
        <w:rPr>
          <w:rFonts w:ascii="Times New Roman" w:hAnsi="Times New Roman"/>
          <w:color w:val="000000"/>
          <w:sz w:val="22"/>
          <w:szCs w:val="22"/>
          <w:lang w:val="en-US"/>
        </w:rPr>
        <w:t xml:space="preserve">*  </w:t>
      </w:r>
      <w:bookmarkEnd w:id="3"/>
      <w:proofErr w:type="spellStart"/>
      <w:r>
        <w:rPr>
          <w:rFonts w:ascii="Times New Roman" w:hAnsi="Times New Roman"/>
          <w:color w:val="000000"/>
          <w:sz w:val="22"/>
          <w:szCs w:val="22"/>
          <w:lang w:val="en-US"/>
        </w:rPr>
        <w:t>Wenjuan</w:t>
      </w:r>
      <w:proofErr w:type="spellEnd"/>
      <w:r>
        <w:rPr>
          <w:rFonts w:ascii="Times New Roman" w:hAnsi="Times New Roman"/>
          <w:color w:val="000000"/>
          <w:sz w:val="22"/>
          <w:szCs w:val="22"/>
          <w:lang w:val="en-US"/>
        </w:rPr>
        <w:t xml:space="preserve"> Wang</w:t>
      </w:r>
      <w:r>
        <w:rPr>
          <w:rFonts w:ascii="Times New Roman" w:hAnsi="Times New Roman"/>
          <w:color w:val="000000"/>
          <w:sz w:val="22"/>
          <w:szCs w:val="22"/>
          <w:vertAlign w:val="superscript"/>
          <w:lang w:val="en-US"/>
        </w:rPr>
        <w:t>1,2</w:t>
      </w:r>
      <w:r>
        <w:rPr>
          <w:rFonts w:ascii="Times New Roman" w:hAnsi="Times New Roman"/>
          <w:color w:val="000000"/>
          <w:sz w:val="22"/>
          <w:szCs w:val="22"/>
          <w:lang w:val="en-US"/>
        </w:rPr>
        <w:t xml:space="preserve">  </w:t>
      </w:r>
    </w:p>
    <w:p w14:paraId="171B44A6" w14:textId="77777777" w:rsidR="001660ED" w:rsidRDefault="001660ED" w:rsidP="001660ED">
      <w:pPr>
        <w:pStyle w:val="21"/>
        <w:spacing w:line="360" w:lineRule="auto"/>
        <w:rPr>
          <w:rFonts w:ascii="Times New Roman" w:hAnsi="Times New Roman"/>
          <w:color w:val="000000"/>
          <w:sz w:val="22"/>
          <w:szCs w:val="22"/>
          <w:lang w:val="en-US"/>
        </w:rPr>
      </w:pPr>
    </w:p>
    <w:p w14:paraId="0C254B75"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Affiliations:</w:t>
      </w:r>
    </w:p>
    <w:p w14:paraId="0DCC6EFF" w14:textId="77777777" w:rsidR="001660ED" w:rsidRDefault="001660ED" w:rsidP="001660ED">
      <w:pPr>
        <w:pStyle w:val="21"/>
        <w:rPr>
          <w:rFonts w:ascii="Times New Roman" w:hAnsi="Times New Roman"/>
          <w:color w:val="000000"/>
          <w:sz w:val="22"/>
          <w:szCs w:val="22"/>
          <w:lang w:val="en-US"/>
        </w:rPr>
      </w:pPr>
      <w:bookmarkStart w:id="4" w:name="OLE_LINK77"/>
      <w:bookmarkStart w:id="5" w:name="OLE_LINK76"/>
      <w:r>
        <w:rPr>
          <w:rFonts w:ascii="Times New Roman" w:hAnsi="Times New Roman"/>
          <w:color w:val="000000"/>
          <w:sz w:val="22"/>
          <w:szCs w:val="22"/>
          <w:vertAlign w:val="superscript"/>
          <w:lang w:val="en-US"/>
        </w:rPr>
        <w:t>1</w:t>
      </w:r>
      <w:bookmarkStart w:id="6" w:name="OLE_LINK39"/>
      <w:bookmarkEnd w:id="6"/>
      <w:r>
        <w:rPr>
          <w:rFonts w:ascii="Times New Roman" w:hAnsi="Times New Roman"/>
          <w:color w:val="000000"/>
          <w:sz w:val="22"/>
          <w:szCs w:val="22"/>
          <w:lang w:val="en-US"/>
        </w:rPr>
        <w:t xml:space="preserve">Department of Neurology, Beijing </w:t>
      </w:r>
      <w:proofErr w:type="spellStart"/>
      <w:r>
        <w:rPr>
          <w:rFonts w:ascii="Times New Roman" w:hAnsi="Times New Roman"/>
          <w:color w:val="000000"/>
          <w:sz w:val="22"/>
          <w:szCs w:val="22"/>
          <w:lang w:val="en-US"/>
        </w:rPr>
        <w:t>Tiantan</w:t>
      </w:r>
      <w:proofErr w:type="spellEnd"/>
      <w:r>
        <w:rPr>
          <w:rFonts w:ascii="Times New Roman" w:hAnsi="Times New Roman"/>
          <w:color w:val="000000"/>
          <w:sz w:val="22"/>
          <w:szCs w:val="22"/>
          <w:lang w:val="en-US"/>
        </w:rPr>
        <w:t xml:space="preserve"> Hospital, Capital Medical University, Beijing, China</w:t>
      </w:r>
      <w:bookmarkEnd w:id="4"/>
      <w:r>
        <w:rPr>
          <w:rFonts w:ascii="Times New Roman" w:hAnsi="Times New Roman"/>
          <w:color w:val="000000"/>
          <w:sz w:val="22"/>
          <w:szCs w:val="22"/>
          <w:lang w:val="en-US"/>
        </w:rPr>
        <w:t xml:space="preserve">. </w:t>
      </w:r>
    </w:p>
    <w:p w14:paraId="76CAD58B" w14:textId="77777777" w:rsidR="001660ED" w:rsidRDefault="001660ED" w:rsidP="001660ED">
      <w:pPr>
        <w:pStyle w:val="21"/>
        <w:rPr>
          <w:rFonts w:ascii="Times New Roman" w:hAnsi="Times New Roman"/>
          <w:color w:val="000000"/>
          <w:sz w:val="22"/>
          <w:szCs w:val="22"/>
          <w:lang w:val="en-US"/>
        </w:rPr>
      </w:pPr>
      <w:bookmarkStart w:id="7" w:name="OLE_LINK75"/>
      <w:bookmarkStart w:id="8" w:name="OLE_LINK78"/>
      <w:bookmarkEnd w:id="5"/>
      <w:r>
        <w:rPr>
          <w:rFonts w:ascii="Times New Roman" w:hAnsi="Times New Roman"/>
          <w:color w:val="000000"/>
          <w:sz w:val="22"/>
          <w:szCs w:val="22"/>
          <w:vertAlign w:val="superscript"/>
          <w:lang w:val="en-US"/>
        </w:rPr>
        <w:t>2</w:t>
      </w:r>
      <w:r>
        <w:rPr>
          <w:rFonts w:ascii="Times New Roman" w:hAnsi="Times New Roman"/>
          <w:color w:val="000000"/>
          <w:sz w:val="22"/>
          <w:szCs w:val="22"/>
          <w:lang w:val="en-US"/>
        </w:rPr>
        <w:t xml:space="preserve">China National Clinical Research Center for Neurological Diseases, Beijing </w:t>
      </w:r>
      <w:proofErr w:type="spellStart"/>
      <w:r>
        <w:rPr>
          <w:rFonts w:ascii="Times New Roman" w:hAnsi="Times New Roman"/>
          <w:color w:val="000000"/>
          <w:sz w:val="22"/>
          <w:szCs w:val="22"/>
          <w:lang w:val="en-US"/>
        </w:rPr>
        <w:t>Tiantan</w:t>
      </w:r>
      <w:proofErr w:type="spellEnd"/>
      <w:r>
        <w:rPr>
          <w:rFonts w:ascii="Times New Roman" w:hAnsi="Times New Roman"/>
          <w:color w:val="000000"/>
          <w:sz w:val="22"/>
          <w:szCs w:val="22"/>
          <w:lang w:val="en-US"/>
        </w:rPr>
        <w:t xml:space="preserve"> Hospital, Capital Medical University, Beijing, China</w:t>
      </w:r>
      <w:bookmarkEnd w:id="7"/>
      <w:r>
        <w:rPr>
          <w:rFonts w:ascii="Times New Roman" w:hAnsi="Times New Roman"/>
          <w:color w:val="000000"/>
          <w:sz w:val="22"/>
          <w:szCs w:val="22"/>
          <w:lang w:val="en-US"/>
        </w:rPr>
        <w:t>.</w:t>
      </w:r>
    </w:p>
    <w:bookmarkEnd w:id="8"/>
    <w:p w14:paraId="5E6F3C71"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vertAlign w:val="superscript"/>
          <w:lang w:val="en-US"/>
        </w:rPr>
        <w:t>3</w:t>
      </w:r>
      <w:r>
        <w:rPr>
          <w:rFonts w:ascii="Times New Roman" w:hAnsi="Times New Roman"/>
          <w:color w:val="000000"/>
          <w:sz w:val="22"/>
          <w:szCs w:val="22"/>
          <w:lang w:val="en-US"/>
        </w:rPr>
        <w:t>Department of Clinical Epidemiology and Clinical Trial, Capital Medical University, Beijing, China.</w:t>
      </w:r>
    </w:p>
    <w:p w14:paraId="6C6E9A22"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vertAlign w:val="superscript"/>
          <w:lang w:val="en-US"/>
        </w:rPr>
        <w:t>4</w:t>
      </w:r>
      <w:r>
        <w:rPr>
          <w:rFonts w:ascii="Times New Roman" w:hAnsi="Times New Roman"/>
          <w:color w:val="000000"/>
          <w:sz w:val="22"/>
          <w:szCs w:val="22"/>
          <w:lang w:val="en-US"/>
        </w:rPr>
        <w:t xml:space="preserve">Department of Epidemiology, Beijing Neurosurgical Institute, Beijing </w:t>
      </w:r>
      <w:proofErr w:type="spellStart"/>
      <w:r>
        <w:rPr>
          <w:rFonts w:ascii="Times New Roman" w:hAnsi="Times New Roman"/>
          <w:color w:val="000000"/>
          <w:sz w:val="22"/>
          <w:szCs w:val="22"/>
          <w:lang w:val="en-US"/>
        </w:rPr>
        <w:t>Tiantan</w:t>
      </w:r>
      <w:proofErr w:type="spellEnd"/>
      <w:r>
        <w:rPr>
          <w:rFonts w:ascii="Times New Roman" w:hAnsi="Times New Roman"/>
          <w:color w:val="000000"/>
          <w:sz w:val="22"/>
          <w:szCs w:val="22"/>
          <w:lang w:val="en-US"/>
        </w:rPr>
        <w:t xml:space="preserve"> Hospital, Capital Medical University, Beijing, China.</w:t>
      </w:r>
    </w:p>
    <w:p w14:paraId="6A1BF772" w14:textId="77777777" w:rsidR="001660ED" w:rsidRDefault="001660ED" w:rsidP="001660ED">
      <w:pPr>
        <w:pStyle w:val="21"/>
        <w:rPr>
          <w:rFonts w:ascii="Times New Roman" w:hAnsi="Times New Roman"/>
          <w:color w:val="000000"/>
          <w:sz w:val="22"/>
          <w:szCs w:val="22"/>
          <w:lang w:val="en-US"/>
        </w:rPr>
      </w:pPr>
      <w:bookmarkStart w:id="9" w:name="OLE_LINK79"/>
      <w:r>
        <w:rPr>
          <w:rFonts w:ascii="Times New Roman" w:hAnsi="Times New Roman" w:hint="eastAsia"/>
          <w:color w:val="000000"/>
          <w:sz w:val="22"/>
          <w:szCs w:val="22"/>
          <w:vertAlign w:val="superscript"/>
          <w:lang w:val="en-US"/>
        </w:rPr>
        <w:t>5</w:t>
      </w:r>
      <w:r>
        <w:rPr>
          <w:rFonts w:ascii="Times New Roman" w:hAnsi="Times New Roman" w:hint="eastAsia"/>
          <w:color w:val="000000"/>
          <w:sz w:val="22"/>
          <w:szCs w:val="22"/>
          <w:lang w:val="en-US"/>
        </w:rPr>
        <w:t xml:space="preserve">Department of Cardiology, Beijing </w:t>
      </w:r>
      <w:proofErr w:type="spellStart"/>
      <w:r>
        <w:rPr>
          <w:rFonts w:ascii="Times New Roman" w:hAnsi="Times New Roman" w:hint="eastAsia"/>
          <w:color w:val="000000"/>
          <w:sz w:val="22"/>
          <w:szCs w:val="22"/>
          <w:lang w:val="en-US"/>
        </w:rPr>
        <w:t>Anzhen</w:t>
      </w:r>
      <w:proofErr w:type="spellEnd"/>
      <w:r>
        <w:rPr>
          <w:rFonts w:ascii="Times New Roman" w:hAnsi="Times New Roman" w:hint="eastAsia"/>
          <w:color w:val="000000"/>
          <w:sz w:val="22"/>
          <w:szCs w:val="22"/>
          <w:lang w:val="en-US"/>
        </w:rPr>
        <w:t xml:space="preserve"> Hospital, Capital </w:t>
      </w:r>
      <w:r>
        <w:rPr>
          <w:rFonts w:ascii="Times New Roman" w:hAnsi="Times New Roman"/>
          <w:color w:val="000000"/>
          <w:sz w:val="22"/>
          <w:szCs w:val="22"/>
          <w:lang w:val="en-US"/>
        </w:rPr>
        <w:t>Medical University, Beijing, China.</w:t>
      </w:r>
    </w:p>
    <w:bookmarkEnd w:id="9"/>
    <w:p w14:paraId="4DF0BC3C" w14:textId="77777777" w:rsidR="001660ED" w:rsidRDefault="001660ED" w:rsidP="001660ED">
      <w:pPr>
        <w:pStyle w:val="21"/>
        <w:rPr>
          <w:rFonts w:ascii="Times New Roman" w:hAnsi="Times New Roman"/>
          <w:color w:val="000000"/>
          <w:sz w:val="22"/>
          <w:szCs w:val="22"/>
          <w:lang w:val="en-US"/>
        </w:rPr>
      </w:pPr>
      <w:r>
        <w:rPr>
          <w:rFonts w:ascii="Times New Roman" w:hAnsi="Times New Roman" w:hint="eastAsia"/>
          <w:color w:val="000000"/>
          <w:sz w:val="22"/>
          <w:szCs w:val="22"/>
          <w:vertAlign w:val="superscript"/>
          <w:lang w:val="en-US"/>
        </w:rPr>
        <w:t>6</w:t>
      </w:r>
      <w:r>
        <w:rPr>
          <w:rFonts w:ascii="Times New Roman" w:hAnsi="Times New Roman"/>
          <w:color w:val="000000"/>
          <w:sz w:val="22"/>
          <w:szCs w:val="22"/>
          <w:lang w:val="en-US"/>
        </w:rPr>
        <w:t>Research Unit of Artificial Intelligence in Cerebrovascular Disease, Chinese Academy of Medical Sciences, Beijing, China.</w:t>
      </w:r>
    </w:p>
    <w:p w14:paraId="27723240"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*These authors contributed equally to this work and share corresponding authorship.</w:t>
      </w:r>
    </w:p>
    <w:p w14:paraId="62FE7CAB" w14:textId="77777777" w:rsidR="001660ED" w:rsidRDefault="001660ED" w:rsidP="001660ED">
      <w:pPr>
        <w:pStyle w:val="21"/>
        <w:ind w:firstLine="428"/>
        <w:rPr>
          <w:rFonts w:ascii="Times New Roman" w:hAnsi="Times New Roman"/>
          <w:b/>
          <w:bCs/>
          <w:color w:val="000000"/>
          <w:sz w:val="22"/>
          <w:szCs w:val="22"/>
          <w:lang w:val="en-US"/>
        </w:rPr>
      </w:pPr>
      <w:r>
        <w:rPr>
          <w:rFonts w:ascii="Times New Roman" w:hAnsi="Times New Roman"/>
          <w:b/>
          <w:bCs/>
          <w:color w:val="000000"/>
          <w:sz w:val="22"/>
          <w:szCs w:val="22"/>
          <w:lang w:val="en-US"/>
        </w:rPr>
        <w:t xml:space="preserve"> </w:t>
      </w:r>
    </w:p>
    <w:p w14:paraId="58018788" w14:textId="77777777" w:rsidR="001660ED" w:rsidRDefault="001660ED" w:rsidP="001660ED">
      <w:pPr>
        <w:pStyle w:val="21"/>
        <w:rPr>
          <w:rFonts w:ascii="Times New Roman" w:hAnsi="Times New Roman"/>
          <w:b/>
          <w:bCs/>
          <w:color w:val="000000"/>
          <w:sz w:val="22"/>
          <w:szCs w:val="22"/>
          <w:lang w:val="en-US"/>
        </w:rPr>
      </w:pPr>
      <w:r>
        <w:rPr>
          <w:rFonts w:ascii="Times New Roman" w:hAnsi="Times New Roman"/>
          <w:b/>
          <w:bCs/>
          <w:color w:val="000000"/>
          <w:sz w:val="22"/>
          <w:szCs w:val="22"/>
          <w:lang w:val="en-US"/>
        </w:rPr>
        <w:t>Corresponding authors:</w:t>
      </w:r>
    </w:p>
    <w:p w14:paraId="4DB95D53" w14:textId="77777777" w:rsidR="001660ED" w:rsidRDefault="001660ED" w:rsidP="001660ED">
      <w:pPr>
        <w:pStyle w:val="21"/>
        <w:rPr>
          <w:rFonts w:ascii="Times New Roman" w:hAnsi="Times New Roman"/>
          <w:color w:val="000000"/>
          <w:sz w:val="22"/>
          <w:szCs w:val="22"/>
          <w:lang w:val="en-US"/>
        </w:rPr>
      </w:pPr>
      <w:proofErr w:type="spellStart"/>
      <w:r>
        <w:rPr>
          <w:rFonts w:ascii="Times New Roman" w:hAnsi="Times New Roman"/>
          <w:color w:val="000000"/>
          <w:sz w:val="22"/>
          <w:szCs w:val="22"/>
          <w:lang w:val="en-US"/>
        </w:rPr>
        <w:t>Kaijiang</w:t>
      </w:r>
      <w:proofErr w:type="spellEnd"/>
      <w:r>
        <w:rPr>
          <w:rFonts w:ascii="Times New Roman" w:hAnsi="Times New Roman"/>
          <w:color w:val="000000"/>
          <w:sz w:val="22"/>
          <w:szCs w:val="22"/>
          <w:lang w:val="en-US"/>
        </w:rPr>
        <w:t xml:space="preserve"> Kang, MD,</w:t>
      </w:r>
    </w:p>
    <w:p w14:paraId="5B3E08BA"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 xml:space="preserve">Department of Neurology, Beijing </w:t>
      </w:r>
      <w:proofErr w:type="spellStart"/>
      <w:r>
        <w:rPr>
          <w:rFonts w:ascii="Times New Roman" w:hAnsi="Times New Roman"/>
          <w:color w:val="000000"/>
          <w:sz w:val="22"/>
          <w:szCs w:val="22"/>
          <w:lang w:val="en-US"/>
        </w:rPr>
        <w:t>Tiantan</w:t>
      </w:r>
      <w:proofErr w:type="spellEnd"/>
      <w:r>
        <w:rPr>
          <w:rFonts w:ascii="Times New Roman" w:hAnsi="Times New Roman"/>
          <w:color w:val="000000"/>
          <w:sz w:val="22"/>
          <w:szCs w:val="22"/>
          <w:lang w:val="en-US"/>
        </w:rPr>
        <w:t xml:space="preserve"> Hospital, Capital Medical University</w:t>
      </w:r>
    </w:p>
    <w:p w14:paraId="75E19DA9"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 xml:space="preserve">No. 119 South 4th Ring West Road, </w:t>
      </w:r>
      <w:proofErr w:type="spellStart"/>
      <w:r>
        <w:rPr>
          <w:rFonts w:ascii="Times New Roman" w:hAnsi="Times New Roman"/>
          <w:color w:val="000000"/>
          <w:sz w:val="22"/>
          <w:szCs w:val="22"/>
          <w:lang w:val="en-US"/>
        </w:rPr>
        <w:t>Fengtai</w:t>
      </w:r>
      <w:proofErr w:type="spellEnd"/>
      <w:r>
        <w:rPr>
          <w:rFonts w:ascii="Times New Roman" w:hAnsi="Times New Roman"/>
          <w:color w:val="000000"/>
          <w:sz w:val="22"/>
          <w:szCs w:val="22"/>
          <w:lang w:val="en-US"/>
        </w:rPr>
        <w:t xml:space="preserve"> District, Beijing 100070, China.</w:t>
      </w:r>
    </w:p>
    <w:p w14:paraId="6B6A5148" w14:textId="77777777" w:rsidR="001660ED" w:rsidRDefault="001660ED" w:rsidP="001660ED">
      <w:pPr>
        <w:pStyle w:val="21"/>
        <w:rPr>
          <w:rFonts w:ascii="Times New Roman" w:hAnsi="Times New Roman"/>
          <w:color w:val="000000"/>
          <w:sz w:val="22"/>
          <w:szCs w:val="22"/>
          <w:lang w:val="en-US"/>
        </w:rPr>
      </w:pPr>
      <w:bookmarkStart w:id="10" w:name="OLE_LINK71"/>
      <w:r>
        <w:rPr>
          <w:rFonts w:ascii="Times New Roman" w:hAnsi="Times New Roman"/>
          <w:color w:val="000000"/>
          <w:sz w:val="22"/>
          <w:szCs w:val="22"/>
          <w:lang w:val="en-US"/>
        </w:rPr>
        <w:t>phone:</w:t>
      </w:r>
      <w:r>
        <w:rPr>
          <w:rFonts w:ascii="Times New Roman" w:hAnsi="Times New Roman"/>
          <w:lang w:val="en-US"/>
        </w:rPr>
        <w:t xml:space="preserve"> +</w:t>
      </w:r>
      <w:r>
        <w:rPr>
          <w:rFonts w:ascii="Times New Roman" w:hAnsi="Times New Roman"/>
          <w:color w:val="000000"/>
          <w:sz w:val="22"/>
          <w:szCs w:val="22"/>
          <w:lang w:val="en-US"/>
        </w:rPr>
        <w:t>861059975701</w:t>
      </w:r>
    </w:p>
    <w:bookmarkEnd w:id="10"/>
    <w:p w14:paraId="68BD1EC8"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 xml:space="preserve">e-mail: </w:t>
      </w:r>
      <w:bookmarkStart w:id="11" w:name="OLE_LINK81"/>
      <w:r>
        <w:rPr>
          <w:rFonts w:ascii="Times New Roman" w:hAnsi="Times New Roman"/>
          <w:color w:val="000000"/>
          <w:sz w:val="22"/>
          <w:szCs w:val="22"/>
          <w:u w:val="single"/>
          <w:lang w:val="en-US"/>
        </w:rPr>
        <w:t>kangkaijiang678@126.com</w:t>
      </w:r>
      <w:bookmarkEnd w:id="11"/>
    </w:p>
    <w:p w14:paraId="3A52C097" w14:textId="77777777" w:rsidR="001660ED" w:rsidRDefault="001660ED" w:rsidP="001660ED">
      <w:pPr>
        <w:pStyle w:val="21"/>
        <w:rPr>
          <w:rFonts w:ascii="Times New Roman" w:hAnsi="Times New Roman"/>
          <w:color w:val="000000"/>
          <w:sz w:val="22"/>
          <w:szCs w:val="22"/>
          <w:lang w:val="en-US"/>
        </w:rPr>
      </w:pPr>
    </w:p>
    <w:p w14:paraId="13B323D8" w14:textId="77777777" w:rsidR="001660ED" w:rsidRDefault="001660ED" w:rsidP="001660ED">
      <w:pPr>
        <w:pStyle w:val="21"/>
        <w:rPr>
          <w:rFonts w:ascii="Times New Roman" w:hAnsi="Times New Roman"/>
          <w:color w:val="000000"/>
          <w:sz w:val="22"/>
          <w:szCs w:val="22"/>
          <w:lang w:val="en-US"/>
        </w:rPr>
      </w:pPr>
      <w:proofErr w:type="spellStart"/>
      <w:r>
        <w:rPr>
          <w:rFonts w:ascii="Times New Roman" w:hAnsi="Times New Roman"/>
          <w:color w:val="000000"/>
          <w:sz w:val="22"/>
          <w:szCs w:val="22"/>
          <w:lang w:val="en-US"/>
        </w:rPr>
        <w:t>Xingquan</w:t>
      </w:r>
      <w:proofErr w:type="spellEnd"/>
      <w:r>
        <w:rPr>
          <w:rFonts w:ascii="Times New Roman" w:hAnsi="Times New Roman"/>
          <w:color w:val="000000"/>
          <w:sz w:val="22"/>
          <w:szCs w:val="22"/>
          <w:lang w:val="en-US"/>
        </w:rPr>
        <w:t xml:space="preserve"> Zhao</w:t>
      </w:r>
      <w:bookmarkStart w:id="12" w:name="OLE_LINK204"/>
      <w:bookmarkEnd w:id="12"/>
      <w:r>
        <w:rPr>
          <w:rFonts w:ascii="Times New Roman" w:hAnsi="Times New Roman"/>
          <w:color w:val="000000"/>
          <w:sz w:val="22"/>
          <w:szCs w:val="22"/>
          <w:lang w:val="en-US"/>
        </w:rPr>
        <w:t>, MD,</w:t>
      </w:r>
    </w:p>
    <w:p w14:paraId="5A72D7C7" w14:textId="77777777" w:rsidR="001660ED" w:rsidRDefault="001660ED" w:rsidP="001660ED">
      <w:pPr>
        <w:pStyle w:val="21"/>
        <w:rPr>
          <w:rFonts w:ascii="Times New Roman" w:hAnsi="Times New Roman"/>
          <w:color w:val="000000"/>
          <w:sz w:val="22"/>
          <w:szCs w:val="22"/>
          <w:lang w:val="en-US"/>
        </w:rPr>
      </w:pPr>
      <w:bookmarkStart w:id="13" w:name="OLE_LINK40"/>
      <w:bookmarkEnd w:id="13"/>
      <w:r>
        <w:rPr>
          <w:rFonts w:ascii="Times New Roman" w:hAnsi="Times New Roman"/>
          <w:color w:val="000000"/>
          <w:sz w:val="22"/>
          <w:szCs w:val="22"/>
          <w:lang w:val="en-US"/>
        </w:rPr>
        <w:t xml:space="preserve">Department of Neurology, Beijing </w:t>
      </w:r>
      <w:proofErr w:type="spellStart"/>
      <w:r>
        <w:rPr>
          <w:rFonts w:ascii="Times New Roman" w:hAnsi="Times New Roman"/>
          <w:color w:val="000000"/>
          <w:sz w:val="22"/>
          <w:szCs w:val="22"/>
          <w:lang w:val="en-US"/>
        </w:rPr>
        <w:t>Tiantan</w:t>
      </w:r>
      <w:proofErr w:type="spellEnd"/>
      <w:r>
        <w:rPr>
          <w:rFonts w:ascii="Times New Roman" w:hAnsi="Times New Roman"/>
          <w:color w:val="000000"/>
          <w:sz w:val="22"/>
          <w:szCs w:val="22"/>
          <w:lang w:val="en-US"/>
        </w:rPr>
        <w:t xml:space="preserve"> Hospital, Capital Medical University</w:t>
      </w:r>
    </w:p>
    <w:p w14:paraId="02CCE3FC"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 xml:space="preserve">No. 119 South 4th Ring West Road, </w:t>
      </w:r>
      <w:proofErr w:type="spellStart"/>
      <w:r>
        <w:rPr>
          <w:rFonts w:ascii="Times New Roman" w:hAnsi="Times New Roman"/>
          <w:color w:val="000000"/>
          <w:sz w:val="22"/>
          <w:szCs w:val="22"/>
          <w:lang w:val="en-US"/>
        </w:rPr>
        <w:t>Fengtai</w:t>
      </w:r>
      <w:proofErr w:type="spellEnd"/>
      <w:r>
        <w:rPr>
          <w:rFonts w:ascii="Times New Roman" w:hAnsi="Times New Roman"/>
          <w:color w:val="000000"/>
          <w:sz w:val="22"/>
          <w:szCs w:val="22"/>
          <w:lang w:val="en-US"/>
        </w:rPr>
        <w:t xml:space="preserve"> District, Beijing 100070, China.</w:t>
      </w:r>
    </w:p>
    <w:p w14:paraId="0952E33D" w14:textId="77777777" w:rsidR="001660ED" w:rsidRDefault="001660ED" w:rsidP="001660ED">
      <w:pPr>
        <w:pStyle w:val="21"/>
        <w:rPr>
          <w:rFonts w:ascii="Times New Roman" w:hAnsi="Times New Roman"/>
          <w:color w:val="000000"/>
          <w:sz w:val="22"/>
          <w:szCs w:val="22"/>
          <w:lang w:val="en-US"/>
        </w:rPr>
      </w:pPr>
      <w:r>
        <w:rPr>
          <w:rFonts w:ascii="Times New Roman" w:hAnsi="Times New Roman"/>
          <w:color w:val="000000"/>
          <w:sz w:val="22"/>
          <w:szCs w:val="22"/>
          <w:lang w:val="en-US"/>
        </w:rPr>
        <w:t>phone:</w:t>
      </w:r>
      <w:r>
        <w:rPr>
          <w:rFonts w:ascii="Times New Roman" w:hAnsi="Times New Roman"/>
          <w:lang w:val="en-US"/>
        </w:rPr>
        <w:t xml:space="preserve"> +</w:t>
      </w:r>
      <w:r>
        <w:rPr>
          <w:rFonts w:ascii="Times New Roman" w:hAnsi="Times New Roman"/>
          <w:color w:val="000000"/>
          <w:sz w:val="22"/>
          <w:szCs w:val="22"/>
          <w:lang w:val="en-US"/>
        </w:rPr>
        <w:t>861059975701</w:t>
      </w:r>
    </w:p>
    <w:p w14:paraId="4BE4407A" w14:textId="77777777" w:rsidR="001660ED" w:rsidRDefault="001660ED" w:rsidP="001660ED">
      <w:pPr>
        <w:pStyle w:val="21"/>
        <w:rPr>
          <w:rFonts w:ascii="Times New Roman" w:hAnsi="Times New Roman"/>
          <w:color w:val="000000"/>
          <w:sz w:val="22"/>
          <w:szCs w:val="22"/>
          <w:lang w:val="en-US"/>
        </w:rPr>
      </w:pPr>
      <w:bookmarkStart w:id="14" w:name="OLE_LINK70"/>
      <w:r>
        <w:rPr>
          <w:rFonts w:ascii="Times New Roman" w:hAnsi="Times New Roman"/>
          <w:color w:val="000000"/>
          <w:sz w:val="22"/>
          <w:szCs w:val="22"/>
          <w:lang w:val="en-US"/>
        </w:rPr>
        <w:t>e-</w:t>
      </w:r>
      <w:bookmarkEnd w:id="14"/>
      <w:r>
        <w:rPr>
          <w:rFonts w:ascii="Times New Roman" w:hAnsi="Times New Roman"/>
          <w:color w:val="000000"/>
          <w:sz w:val="22"/>
          <w:szCs w:val="22"/>
          <w:lang w:val="en-US"/>
        </w:rPr>
        <w:t xml:space="preserve">mail: </w:t>
      </w:r>
      <w:hyperlink r:id="rId9" w:history="1">
        <w:r>
          <w:rPr>
            <w:rStyle w:val="15"/>
            <w:color w:val="000000"/>
            <w:sz w:val="22"/>
            <w:szCs w:val="22"/>
            <w:lang w:val="en-US"/>
          </w:rPr>
          <w:t>zxq@vip.163.com</w:t>
        </w:r>
      </w:hyperlink>
    </w:p>
    <w:p w14:paraId="51E03A3A" w14:textId="2313E402" w:rsidR="001660ED" w:rsidRDefault="001660ED" w:rsidP="001660ED">
      <w:pPr>
        <w:rPr>
          <w:lang w:eastAsia="de-DE" w:bidi="en-US"/>
        </w:rPr>
      </w:pPr>
    </w:p>
    <w:p w14:paraId="337B8AED" w14:textId="77777777" w:rsidR="001660ED" w:rsidRDefault="001660ED" w:rsidP="001660ED">
      <w:pPr>
        <w:rPr>
          <w:lang w:eastAsia="de-DE" w:bidi="en-US"/>
        </w:rPr>
      </w:pPr>
      <w:r>
        <w:rPr>
          <w:lang w:eastAsia="de-DE" w:bidi="en-US"/>
        </w:rPr>
        <w:t>1)</w:t>
      </w:r>
      <w:proofErr w:type="spellStart"/>
      <w:r>
        <w:rPr>
          <w:lang w:eastAsia="de-DE" w:bidi="en-US"/>
        </w:rPr>
        <w:t>Chuanying</w:t>
      </w:r>
      <w:proofErr w:type="spellEnd"/>
      <w:r>
        <w:rPr>
          <w:lang w:eastAsia="de-DE" w:bidi="en-US"/>
        </w:rPr>
        <w:t xml:space="preserve"> Wang: 0000-0003-1721-5553</w:t>
      </w:r>
    </w:p>
    <w:p w14:paraId="258D74D9" w14:textId="77777777" w:rsidR="001660ED" w:rsidRDefault="001660ED" w:rsidP="001660ED">
      <w:pPr>
        <w:rPr>
          <w:lang w:eastAsia="de-DE" w:bidi="en-US"/>
        </w:rPr>
      </w:pPr>
      <w:r>
        <w:rPr>
          <w:lang w:eastAsia="de-DE" w:bidi="en-US"/>
        </w:rPr>
        <w:t>2)</w:t>
      </w:r>
      <w:proofErr w:type="spellStart"/>
      <w:r>
        <w:rPr>
          <w:lang w:eastAsia="de-DE" w:bidi="en-US"/>
        </w:rPr>
        <w:t>Yunyi</w:t>
      </w:r>
      <w:proofErr w:type="spellEnd"/>
      <w:r>
        <w:rPr>
          <w:lang w:eastAsia="de-DE" w:bidi="en-US"/>
        </w:rPr>
        <w:t xml:space="preserve"> Hao: NA</w:t>
      </w:r>
    </w:p>
    <w:p w14:paraId="3EC87F00" w14:textId="77777777" w:rsidR="001660ED" w:rsidRDefault="001660ED" w:rsidP="001660ED">
      <w:pPr>
        <w:rPr>
          <w:lang w:eastAsia="de-DE" w:bidi="en-US"/>
        </w:rPr>
      </w:pPr>
      <w:r>
        <w:rPr>
          <w:lang w:eastAsia="de-DE" w:bidi="en-US"/>
        </w:rPr>
        <w:t>3)</w:t>
      </w:r>
      <w:proofErr w:type="spellStart"/>
      <w:r>
        <w:rPr>
          <w:lang w:eastAsia="de-DE" w:bidi="en-US"/>
        </w:rPr>
        <w:t>Zeqiang</w:t>
      </w:r>
      <w:proofErr w:type="spellEnd"/>
      <w:r>
        <w:rPr>
          <w:lang w:eastAsia="de-DE" w:bidi="en-US"/>
        </w:rPr>
        <w:t xml:space="preserve"> Ji: 0009-0001-5746-1671</w:t>
      </w:r>
    </w:p>
    <w:p w14:paraId="2CBCF87F" w14:textId="77777777" w:rsidR="001660ED" w:rsidRDefault="001660ED" w:rsidP="001660ED">
      <w:pPr>
        <w:rPr>
          <w:lang w:eastAsia="de-DE" w:bidi="en-US"/>
        </w:rPr>
      </w:pPr>
      <w:r>
        <w:rPr>
          <w:lang w:eastAsia="de-DE" w:bidi="en-US"/>
        </w:rPr>
        <w:t>4)</w:t>
      </w:r>
      <w:proofErr w:type="spellStart"/>
      <w:r>
        <w:rPr>
          <w:lang w:eastAsia="de-DE" w:bidi="en-US"/>
        </w:rPr>
        <w:t>Anxin</w:t>
      </w:r>
      <w:proofErr w:type="spellEnd"/>
      <w:r>
        <w:rPr>
          <w:lang w:eastAsia="de-DE" w:bidi="en-US"/>
        </w:rPr>
        <w:t xml:space="preserve"> Wang: 0000-0003-4351-2877</w:t>
      </w:r>
    </w:p>
    <w:p w14:paraId="6895DD47" w14:textId="77777777" w:rsidR="001660ED" w:rsidRDefault="001660ED" w:rsidP="001660ED">
      <w:pPr>
        <w:rPr>
          <w:lang w:eastAsia="de-DE" w:bidi="en-US"/>
        </w:rPr>
      </w:pPr>
      <w:r>
        <w:rPr>
          <w:lang w:eastAsia="de-DE" w:bidi="en-US"/>
        </w:rPr>
        <w:t>5)</w:t>
      </w:r>
      <w:proofErr w:type="spellStart"/>
      <w:r>
        <w:rPr>
          <w:lang w:eastAsia="de-DE" w:bidi="en-US"/>
        </w:rPr>
        <w:t>Xiaoli</w:t>
      </w:r>
      <w:proofErr w:type="spellEnd"/>
      <w:r>
        <w:rPr>
          <w:lang w:eastAsia="de-DE" w:bidi="en-US"/>
        </w:rPr>
        <w:t xml:space="preserve"> Zhang: NA</w:t>
      </w:r>
    </w:p>
    <w:p w14:paraId="5856CF06" w14:textId="77777777" w:rsidR="001660ED" w:rsidRDefault="001660ED" w:rsidP="001660ED">
      <w:pPr>
        <w:rPr>
          <w:lang w:eastAsia="de-DE" w:bidi="en-US"/>
        </w:rPr>
      </w:pPr>
      <w:r>
        <w:rPr>
          <w:lang w:eastAsia="de-DE" w:bidi="en-US"/>
        </w:rPr>
        <w:t>6)</w:t>
      </w:r>
      <w:proofErr w:type="spellStart"/>
      <w:r>
        <w:rPr>
          <w:lang w:eastAsia="de-DE" w:bidi="en-US"/>
        </w:rPr>
        <w:t>Yujie</w:t>
      </w:r>
      <w:proofErr w:type="spellEnd"/>
      <w:r>
        <w:rPr>
          <w:lang w:eastAsia="de-DE" w:bidi="en-US"/>
        </w:rPr>
        <w:t xml:space="preserve"> Zhou: NA</w:t>
      </w:r>
    </w:p>
    <w:p w14:paraId="1550F80B" w14:textId="77777777" w:rsidR="001660ED" w:rsidRDefault="001660ED" w:rsidP="001660ED">
      <w:pPr>
        <w:rPr>
          <w:lang w:eastAsia="de-DE" w:bidi="en-US"/>
        </w:rPr>
      </w:pPr>
      <w:r>
        <w:rPr>
          <w:lang w:eastAsia="de-DE" w:bidi="en-US"/>
        </w:rPr>
        <w:t>7)</w:t>
      </w:r>
      <w:proofErr w:type="spellStart"/>
      <w:r>
        <w:rPr>
          <w:lang w:eastAsia="de-DE" w:bidi="en-US"/>
        </w:rPr>
        <w:t>Kaijiang</w:t>
      </w:r>
      <w:proofErr w:type="spellEnd"/>
      <w:r>
        <w:rPr>
          <w:lang w:eastAsia="de-DE" w:bidi="en-US"/>
        </w:rPr>
        <w:t xml:space="preserve"> Kang: 0000-0002-1110-0627</w:t>
      </w:r>
    </w:p>
    <w:p w14:paraId="5E486FD2" w14:textId="77777777" w:rsidR="001660ED" w:rsidRDefault="001660ED" w:rsidP="001660ED">
      <w:pPr>
        <w:rPr>
          <w:lang w:eastAsia="de-DE" w:bidi="en-US"/>
        </w:rPr>
      </w:pPr>
      <w:r>
        <w:rPr>
          <w:lang w:eastAsia="de-DE" w:bidi="en-US"/>
        </w:rPr>
        <w:t>8)</w:t>
      </w:r>
      <w:proofErr w:type="spellStart"/>
      <w:r>
        <w:rPr>
          <w:lang w:eastAsia="de-DE" w:bidi="en-US"/>
        </w:rPr>
        <w:t>Xingquan</w:t>
      </w:r>
      <w:proofErr w:type="spellEnd"/>
      <w:r>
        <w:rPr>
          <w:lang w:eastAsia="de-DE" w:bidi="en-US"/>
        </w:rPr>
        <w:t xml:space="preserve"> Zhao: 0000-0001-8345-5147</w:t>
      </w:r>
    </w:p>
    <w:p w14:paraId="4D1EE356" w14:textId="5DD73080" w:rsidR="001660ED" w:rsidRDefault="001660ED" w:rsidP="001660ED">
      <w:pPr>
        <w:rPr>
          <w:lang w:eastAsia="de-DE" w:bidi="en-US"/>
        </w:rPr>
      </w:pPr>
      <w:r>
        <w:rPr>
          <w:lang w:eastAsia="de-DE" w:bidi="en-US"/>
        </w:rPr>
        <w:t>9)</w:t>
      </w:r>
      <w:proofErr w:type="spellStart"/>
      <w:r>
        <w:rPr>
          <w:lang w:eastAsia="de-DE" w:bidi="en-US"/>
        </w:rPr>
        <w:t>Wenjuan</w:t>
      </w:r>
      <w:proofErr w:type="spellEnd"/>
      <w:r>
        <w:rPr>
          <w:lang w:eastAsia="de-DE" w:bidi="en-US"/>
        </w:rPr>
        <w:t xml:space="preserve"> Wang: NA</w:t>
      </w:r>
    </w:p>
    <w:p w14:paraId="236C7EA3" w14:textId="18B7A20C" w:rsidR="001660ED" w:rsidRDefault="001660ED" w:rsidP="001660ED">
      <w:pPr>
        <w:rPr>
          <w:lang w:eastAsia="de-DE" w:bidi="en-US"/>
        </w:rPr>
      </w:pPr>
    </w:p>
    <w:p w14:paraId="57D06021" w14:textId="0EC3927D" w:rsidR="001660ED" w:rsidRDefault="001660ED" w:rsidP="001660ED">
      <w:pPr>
        <w:rPr>
          <w:lang w:eastAsia="de-DE" w:bidi="en-US"/>
        </w:rPr>
      </w:pPr>
    </w:p>
    <w:p w14:paraId="7FD77D3A" w14:textId="412D834C" w:rsidR="001660ED" w:rsidRDefault="001660ED" w:rsidP="001660ED">
      <w:pPr>
        <w:rPr>
          <w:lang w:eastAsia="de-DE" w:bidi="en-US"/>
        </w:rPr>
      </w:pPr>
    </w:p>
    <w:p w14:paraId="440F2EFE" w14:textId="77777777" w:rsidR="001660ED" w:rsidRPr="001660ED" w:rsidRDefault="001660ED" w:rsidP="001660ED">
      <w:pPr>
        <w:spacing w:line="240" w:lineRule="auto"/>
        <w:rPr>
          <w:rFonts w:ascii="宋体" w:hAnsi="宋体" w:cs="宋体"/>
        </w:rPr>
      </w:pPr>
      <w:r w:rsidRPr="001660ED">
        <w:rPr>
          <w:rFonts w:ascii="宋体" w:hAnsi="宋体" w:cs="宋体"/>
        </w:rPr>
        <w:lastRenderedPageBreak/>
        <w:t>2026/1/2</w:t>
      </w:r>
    </w:p>
    <w:p w14:paraId="3477E227" w14:textId="659CA6D2" w:rsidR="001660ED" w:rsidRDefault="001660ED" w:rsidP="001660ED">
      <w:pPr>
        <w:spacing w:line="240" w:lineRule="auto"/>
        <w:rPr>
          <w:rFonts w:ascii="宋体" w:hAnsi="宋体" w:cs="宋体"/>
        </w:rPr>
      </w:pPr>
      <w:r w:rsidRPr="001660ED">
        <w:rPr>
          <w:rFonts w:ascii="宋体" w:hAnsi="宋体" w:cs="宋体"/>
        </w:rPr>
        <w:t>2026/</w:t>
      </w:r>
      <w:r>
        <w:rPr>
          <w:rFonts w:ascii="宋体" w:hAnsi="宋体" w:cs="宋体"/>
        </w:rPr>
        <w:t>2</w:t>
      </w:r>
      <w:r w:rsidRPr="001660ED">
        <w:rPr>
          <w:rFonts w:ascii="宋体" w:hAnsi="宋体" w:cs="宋体"/>
        </w:rPr>
        <w:t>/</w:t>
      </w:r>
      <w:r>
        <w:rPr>
          <w:rFonts w:ascii="宋体" w:hAnsi="宋体" w:cs="宋体"/>
        </w:rPr>
        <w:t>27</w:t>
      </w:r>
    </w:p>
    <w:p w14:paraId="6DDC1C09" w14:textId="7A79C0D5" w:rsidR="001660ED" w:rsidRDefault="001660ED" w:rsidP="001660ED">
      <w:pPr>
        <w:spacing w:line="240" w:lineRule="auto"/>
        <w:rPr>
          <w:rFonts w:ascii="宋体" w:hAnsi="宋体" w:cs="宋体"/>
        </w:rPr>
      </w:pPr>
      <w:r w:rsidRPr="001660ED">
        <w:rPr>
          <w:rFonts w:ascii="宋体" w:hAnsi="宋体" w:cs="宋体"/>
        </w:rPr>
        <w:t>2026/</w:t>
      </w:r>
      <w:r>
        <w:rPr>
          <w:rFonts w:ascii="宋体" w:hAnsi="宋体" w:cs="宋体"/>
        </w:rPr>
        <w:t>2</w:t>
      </w:r>
      <w:r w:rsidRPr="001660ED">
        <w:rPr>
          <w:rFonts w:ascii="宋体" w:hAnsi="宋体" w:cs="宋体"/>
        </w:rPr>
        <w:t>/</w:t>
      </w:r>
      <w:r>
        <w:rPr>
          <w:rFonts w:ascii="宋体" w:hAnsi="宋体" w:cs="宋体"/>
        </w:rPr>
        <w:t>28</w:t>
      </w:r>
    </w:p>
    <w:p w14:paraId="2BE7A836" w14:textId="27EE376F" w:rsidR="001660ED" w:rsidRDefault="001660ED" w:rsidP="001660ED">
      <w:pPr>
        <w:spacing w:line="240" w:lineRule="auto"/>
        <w:rPr>
          <w:rFonts w:ascii="宋体" w:hAnsi="宋体" w:cs="宋体"/>
        </w:rPr>
      </w:pPr>
    </w:p>
    <w:p w14:paraId="78D16D45" w14:textId="0A59199D" w:rsidR="001660ED" w:rsidRPr="001660ED" w:rsidRDefault="001660ED" w:rsidP="001660ED">
      <w:pPr>
        <w:spacing w:line="240" w:lineRule="auto"/>
        <w:rPr>
          <w:rFonts w:ascii="宋体" w:hAnsi="宋体" w:cs="宋体" w:hint="eastAsia"/>
        </w:rPr>
      </w:pPr>
      <w:r>
        <w:rPr>
          <w:rFonts w:ascii="宋体" w:hAnsi="宋体" w:cs="宋体" w:hint="eastAsia"/>
        </w:rPr>
        <w:t>学编：</w:t>
      </w:r>
      <w:r>
        <w:t>Davide </w:t>
      </w:r>
      <w:proofErr w:type="spellStart"/>
      <w:r>
        <w:t>Bolignano</w:t>
      </w:r>
      <w:bookmarkStart w:id="15" w:name="_GoBack"/>
      <w:bookmarkEnd w:id="15"/>
      <w:proofErr w:type="spellEnd"/>
    </w:p>
    <w:p w14:paraId="45B8BF99" w14:textId="77777777" w:rsidR="001660ED" w:rsidRPr="001660ED" w:rsidRDefault="001660ED" w:rsidP="001660ED">
      <w:pPr>
        <w:spacing w:line="240" w:lineRule="auto"/>
        <w:rPr>
          <w:rFonts w:ascii="宋体" w:hAnsi="宋体" w:cs="宋体" w:hint="eastAsia"/>
        </w:rPr>
      </w:pPr>
    </w:p>
    <w:p w14:paraId="0A12E191" w14:textId="77777777" w:rsidR="001660ED" w:rsidRPr="001660ED" w:rsidRDefault="001660ED" w:rsidP="001660ED">
      <w:pPr>
        <w:rPr>
          <w:lang w:eastAsia="de-DE" w:bidi="en-US"/>
        </w:rPr>
      </w:pPr>
    </w:p>
    <w:p w14:paraId="3B31C65C" w14:textId="77777777" w:rsidR="00CC3835" w:rsidRDefault="00256BAA">
      <w:pPr>
        <w:pStyle w:val="Backmatter"/>
        <w:spacing w:before="156" w:after="156"/>
        <w:rPr>
          <w:rFonts w:eastAsia="Times New Roman Bold"/>
          <w:color w:val="000000" w:themeColor="text1"/>
        </w:rPr>
      </w:pPr>
      <w:r>
        <w:rPr>
          <w:rFonts w:eastAsia="Times New Roman Bold"/>
          <w:color w:val="000000" w:themeColor="text1"/>
        </w:rPr>
        <w:t>Abstract</w:t>
      </w:r>
    </w:p>
    <w:p w14:paraId="7F9384F8" w14:textId="77777777" w:rsidR="00CC3835" w:rsidRDefault="00256BAA">
      <w:pPr>
        <w:pStyle w:val="Abstract"/>
        <w:rPr>
          <w:rFonts w:ascii="宋体" w:eastAsia="宋体" w:hAnsi="宋体" w:cs="宋体"/>
          <w:color w:val="000000" w:themeColor="text1"/>
        </w:rPr>
      </w:pPr>
      <w:bookmarkStart w:id="16" w:name="OLE_LINK44"/>
      <w:r>
        <w:rPr>
          <w:rFonts w:eastAsia="宋体" w:hint="eastAsia"/>
          <w:b/>
          <w:bCs/>
          <w:color w:val="000000" w:themeColor="text1"/>
        </w:rPr>
        <w:t>Background</w:t>
      </w:r>
      <w:r>
        <w:rPr>
          <w:rFonts w:eastAsia="宋体"/>
          <w:b/>
          <w:bCs/>
          <w:color w:val="000000" w:themeColor="text1"/>
        </w:rPr>
        <w:t xml:space="preserve">: </w:t>
      </w:r>
      <w:r>
        <w:rPr>
          <w:rFonts w:eastAsia="Times New Roman Bold"/>
          <w:color w:val="000000" w:themeColor="text1"/>
        </w:rPr>
        <w:t xml:space="preserve">Acute intracerebral hemorrhage (ICH) </w:t>
      </w:r>
      <w:r>
        <w:rPr>
          <w:rFonts w:eastAsia="Times New Roman Bold" w:hint="eastAsia"/>
          <w:color w:val="000000" w:themeColor="text1"/>
        </w:rPr>
        <w:t>often induces</w:t>
      </w:r>
      <w:r>
        <w:rPr>
          <w:rFonts w:eastAsia="Times New Roman Bold"/>
          <w:color w:val="000000" w:themeColor="text1"/>
        </w:rPr>
        <w:t xml:space="preserve"> </w:t>
      </w:r>
      <w:r>
        <w:rPr>
          <w:rFonts w:eastAsia="Times New Roman Bold" w:hint="eastAsia"/>
          <w:color w:val="000000" w:themeColor="text1"/>
        </w:rPr>
        <w:t xml:space="preserve">a </w:t>
      </w:r>
      <w:r>
        <w:rPr>
          <w:rFonts w:eastAsia="Times New Roman Bold"/>
          <w:color w:val="000000" w:themeColor="text1"/>
        </w:rPr>
        <w:t xml:space="preserve">hyperadrenergic </w:t>
      </w:r>
      <w:r>
        <w:rPr>
          <w:rFonts w:eastAsia="Times New Roman Bold" w:hint="eastAsia"/>
          <w:color w:val="000000" w:themeColor="text1"/>
        </w:rPr>
        <w:t>response</w:t>
      </w:r>
      <w:r>
        <w:rPr>
          <w:rFonts w:eastAsia="Times New Roman Bold"/>
          <w:color w:val="000000" w:themeColor="text1"/>
        </w:rPr>
        <w:t xml:space="preserve">, </w:t>
      </w:r>
      <w:r>
        <w:rPr>
          <w:rFonts w:eastAsia="Times New Roman Bold" w:hint="eastAsia"/>
          <w:color w:val="000000" w:themeColor="text1"/>
        </w:rPr>
        <w:t xml:space="preserve">resulting in a significantly </w:t>
      </w:r>
      <w:r>
        <w:rPr>
          <w:rFonts w:eastAsia="Times New Roman Bold"/>
          <w:color w:val="000000" w:themeColor="text1"/>
        </w:rPr>
        <w:t>increased cardiac workload</w:t>
      </w:r>
      <w:r>
        <w:rPr>
          <w:rFonts w:eastAsia="宋体"/>
          <w:color w:val="000000" w:themeColor="text1"/>
        </w:rPr>
        <w:t xml:space="preserve">. </w:t>
      </w:r>
      <w:r>
        <w:rPr>
          <w:rFonts w:eastAsia="Times New Roman Bold" w:hint="eastAsia"/>
          <w:color w:val="000000" w:themeColor="text1"/>
        </w:rPr>
        <w:t xml:space="preserve">This study aimed to assess the relationship </w:t>
      </w:r>
      <w:r>
        <w:rPr>
          <w:rFonts w:eastAsia="Times New Roman Bold"/>
          <w:color w:val="000000" w:themeColor="text1"/>
        </w:rPr>
        <w:t>between</w:t>
      </w:r>
      <w:r>
        <w:rPr>
          <w:rFonts w:eastAsia="Times New Roman Bold" w:hint="eastAsia"/>
          <w:color w:val="000000" w:themeColor="text1"/>
        </w:rPr>
        <w:t xml:space="preserve"> early </w:t>
      </w:r>
      <w:r>
        <w:rPr>
          <w:rFonts w:eastAsia="Times New Roman Bold"/>
          <w:color w:val="000000" w:themeColor="text1"/>
        </w:rPr>
        <w:t xml:space="preserve">cardiac workload </w:t>
      </w:r>
      <w:r>
        <w:rPr>
          <w:rFonts w:eastAsia="Times New Roman Bold" w:hint="eastAsia"/>
          <w:color w:val="000000" w:themeColor="text1"/>
        </w:rPr>
        <w:t>and</w:t>
      </w:r>
      <w:r>
        <w:rPr>
          <w:rFonts w:eastAsia="Times New Roman Bold"/>
          <w:color w:val="000000" w:themeColor="text1"/>
        </w:rPr>
        <w:t xml:space="preserve"> long-term outcomes </w:t>
      </w:r>
      <w:r>
        <w:rPr>
          <w:rFonts w:eastAsia="Times New Roman Bold" w:hint="eastAsia"/>
          <w:color w:val="000000" w:themeColor="text1"/>
        </w:rPr>
        <w:t xml:space="preserve">following ICH, utilizing </w:t>
      </w:r>
      <w:r>
        <w:rPr>
          <w:rFonts w:eastAsia="Times New Roman Bold"/>
          <w:color w:val="000000" w:themeColor="text1"/>
        </w:rPr>
        <w:t>the rate</w:t>
      </w:r>
      <w:r>
        <w:rPr>
          <w:rFonts w:eastAsia="宋体" w:hint="eastAsia"/>
          <w:color w:val="000000" w:themeColor="text1"/>
          <w:lang w:eastAsia="zh-CN"/>
        </w:rPr>
        <w:t>-</w:t>
      </w:r>
      <w:r>
        <w:rPr>
          <w:rFonts w:eastAsia="Times New Roman Bold"/>
          <w:color w:val="000000" w:themeColor="text1"/>
        </w:rPr>
        <w:t>pressure product (RPP) as a simple surrogate indicator.</w:t>
      </w:r>
      <w:r>
        <w:rPr>
          <w:rFonts w:eastAsia="宋体" w:hint="eastAsia"/>
          <w:color w:val="000000" w:themeColor="text1"/>
        </w:rPr>
        <w:t xml:space="preserve"> </w:t>
      </w:r>
      <w:r>
        <w:rPr>
          <w:rFonts w:eastAsia="Times New Roman Bold"/>
          <w:b/>
          <w:bCs/>
          <w:color w:val="000000" w:themeColor="text1"/>
        </w:rPr>
        <w:t>Methods</w:t>
      </w:r>
      <w:r>
        <w:rPr>
          <w:rFonts w:eastAsia="宋体"/>
          <w:b/>
          <w:bCs/>
          <w:color w:val="000000" w:themeColor="text1"/>
        </w:rPr>
        <w:t xml:space="preserve">: </w:t>
      </w:r>
      <w:r>
        <w:rPr>
          <w:rFonts w:eastAsia="Times New Roman Bold" w:hint="eastAsia"/>
          <w:color w:val="000000" w:themeColor="text1"/>
        </w:rPr>
        <w:t>We</w:t>
      </w:r>
      <w:r>
        <w:rPr>
          <w:rFonts w:eastAsia="Times New Roman Bold" w:hint="eastAsia"/>
          <w:color w:val="000000" w:themeColor="text1"/>
        </w:rPr>
        <w:t xml:space="preserve"> conducted an analysis of</w:t>
      </w:r>
      <w:r>
        <w:rPr>
          <w:rFonts w:eastAsia="Times New Roman Bold"/>
          <w:color w:val="000000" w:themeColor="text1"/>
        </w:rPr>
        <w:t xml:space="preserve"> data from a </w:t>
      </w:r>
      <w:r>
        <w:rPr>
          <w:rFonts w:eastAsia="Times New Roman Bold" w:hint="eastAsia"/>
          <w:color w:val="000000" w:themeColor="text1"/>
        </w:rPr>
        <w:t xml:space="preserve">large </w:t>
      </w:r>
      <w:r>
        <w:rPr>
          <w:rFonts w:eastAsia="Times New Roman Bold"/>
          <w:color w:val="000000" w:themeColor="text1"/>
        </w:rPr>
        <w:t xml:space="preserve">multicenter, prospective cohort </w:t>
      </w:r>
      <w:r>
        <w:rPr>
          <w:rFonts w:eastAsia="Times New Roman Bold" w:hint="eastAsia"/>
          <w:color w:val="000000" w:themeColor="text1"/>
        </w:rPr>
        <w:t>comprising</w:t>
      </w:r>
      <w:r>
        <w:rPr>
          <w:rFonts w:eastAsia="Times New Roman Bold"/>
          <w:color w:val="000000" w:themeColor="text1"/>
        </w:rPr>
        <w:t xml:space="preserve"> 1,364 ICH patients. Heart rate (HR) and systolic blood pressure (SBP) were recorded to calculate </w:t>
      </w:r>
      <w:r>
        <w:rPr>
          <w:rFonts w:eastAsia="宋体" w:hint="eastAsia"/>
          <w:color w:val="000000" w:themeColor="text1"/>
          <w:lang w:eastAsia="zh-CN"/>
        </w:rPr>
        <w:t xml:space="preserve">the </w:t>
      </w:r>
      <w:r>
        <w:rPr>
          <w:rFonts w:eastAsia="Times New Roman Bold"/>
          <w:color w:val="000000" w:themeColor="text1"/>
        </w:rPr>
        <w:t xml:space="preserve">RPP. Multivariable logistic regression </w:t>
      </w:r>
      <w:r>
        <w:rPr>
          <w:rFonts w:eastAsia="宋体" w:hint="eastAsia"/>
          <w:color w:val="000000" w:themeColor="text1"/>
          <w:lang w:eastAsia="zh-CN"/>
        </w:rPr>
        <w:t xml:space="preserve">and Cox proportional hazards </w:t>
      </w:r>
      <w:r>
        <w:rPr>
          <w:rFonts w:eastAsia="宋体" w:hint="eastAsia"/>
          <w:color w:val="000000" w:themeColor="text1"/>
          <w:lang w:eastAsia="zh-CN"/>
        </w:rPr>
        <w:t>model</w:t>
      </w:r>
      <w:r>
        <w:rPr>
          <w:rFonts w:eastAsia="宋体" w:hint="eastAsia"/>
          <w:color w:val="FF0000"/>
          <w:lang w:eastAsia="zh-CN"/>
        </w:rPr>
        <w:t>s</w:t>
      </w:r>
      <w:r>
        <w:rPr>
          <w:rFonts w:eastAsia="宋体" w:hint="eastAsia"/>
          <w:color w:val="000000" w:themeColor="text1"/>
          <w:lang w:eastAsia="zh-CN"/>
        </w:rPr>
        <w:t xml:space="preserve"> </w:t>
      </w:r>
      <w:r>
        <w:rPr>
          <w:rFonts w:eastAsia="Times New Roman Bold"/>
          <w:color w:val="000000" w:themeColor="text1"/>
        </w:rPr>
        <w:t>were used to evaluate the association</w:t>
      </w:r>
      <w:r>
        <w:rPr>
          <w:rFonts w:eastAsia="宋体" w:hint="eastAsia"/>
          <w:color w:val="000000" w:themeColor="text1"/>
          <w:lang w:eastAsia="zh-CN"/>
        </w:rPr>
        <w:t>s</w:t>
      </w:r>
      <w:r>
        <w:rPr>
          <w:rFonts w:eastAsia="Times New Roman Bold"/>
          <w:color w:val="000000" w:themeColor="text1"/>
        </w:rPr>
        <w:t xml:space="preserve"> </w:t>
      </w:r>
      <w:r>
        <w:rPr>
          <w:rFonts w:eastAsia="宋体" w:hint="eastAsia"/>
          <w:color w:val="000000" w:themeColor="text1"/>
          <w:lang w:eastAsia="zh-CN"/>
        </w:rPr>
        <w:t>of</w:t>
      </w:r>
      <w:r>
        <w:rPr>
          <w:rFonts w:eastAsia="Times New Roman Bold"/>
          <w:color w:val="000000" w:themeColor="text1"/>
        </w:rPr>
        <w:t xml:space="preserve"> RPP </w:t>
      </w:r>
      <w:r>
        <w:rPr>
          <w:rFonts w:eastAsia="宋体" w:hint="eastAsia"/>
          <w:color w:val="000000" w:themeColor="text1"/>
          <w:lang w:eastAsia="zh-CN"/>
        </w:rPr>
        <w:t>with</w:t>
      </w:r>
      <w:r>
        <w:rPr>
          <w:rFonts w:eastAsia="Times New Roman Bold"/>
          <w:color w:val="000000" w:themeColor="text1"/>
        </w:rPr>
        <w:t xml:space="preserve"> unfavorable functional outcome (modified Rankin Scale score &gt;3) and all-cause mortality at 90 days and 1 year</w:t>
      </w:r>
      <w:r>
        <w:rPr>
          <w:rFonts w:eastAsia="宋体" w:hint="eastAsia"/>
          <w:color w:val="000000" w:themeColor="text1"/>
          <w:lang w:eastAsia="zh-CN"/>
        </w:rPr>
        <w:t>, respectively</w:t>
      </w:r>
      <w:r>
        <w:rPr>
          <w:rFonts w:eastAsia="Times New Roman Bold"/>
          <w:color w:val="000000" w:themeColor="text1"/>
        </w:rPr>
        <w:t>.</w:t>
      </w:r>
      <w:bookmarkStart w:id="17" w:name="OLE_LINK48"/>
      <w:r>
        <w:rPr>
          <w:rFonts w:eastAsia="宋体" w:hint="eastAsia"/>
          <w:color w:val="000000" w:themeColor="text1"/>
        </w:rPr>
        <w:t xml:space="preserve"> </w:t>
      </w:r>
      <w:r>
        <w:rPr>
          <w:rFonts w:eastAsia="Times New Roman Bold"/>
          <w:b/>
          <w:bCs/>
          <w:color w:val="000000" w:themeColor="text1"/>
        </w:rPr>
        <w:t>Results</w:t>
      </w:r>
      <w:r>
        <w:rPr>
          <w:rFonts w:eastAsia="宋体"/>
          <w:b/>
          <w:bCs/>
          <w:color w:val="000000" w:themeColor="text1"/>
        </w:rPr>
        <w:t xml:space="preserve">: </w:t>
      </w:r>
      <w:r>
        <w:rPr>
          <w:rFonts w:eastAsia="宋体"/>
          <w:color w:val="000000" w:themeColor="text1"/>
        </w:rPr>
        <w:t xml:space="preserve">Elevated RPP was independently </w:t>
      </w:r>
      <w:r>
        <w:rPr>
          <w:rFonts w:eastAsia="Times New Roman Bold"/>
          <w:color w:val="000000" w:themeColor="text1"/>
        </w:rPr>
        <w:t xml:space="preserve">associated with unfavorable </w:t>
      </w:r>
      <w:r>
        <w:rPr>
          <w:rFonts w:eastAsia="Times New Roman Bold"/>
          <w:color w:val="000000" w:themeColor="text1"/>
        </w:rPr>
        <w:t>functional outcome</w:t>
      </w:r>
      <w:r>
        <w:rPr>
          <w:rFonts w:eastAsia="宋体" w:hint="eastAsia"/>
          <w:color w:val="000000" w:themeColor="text1"/>
          <w:lang w:eastAsia="zh-CN"/>
        </w:rPr>
        <w:t>s</w:t>
      </w:r>
      <w:r>
        <w:rPr>
          <w:rFonts w:eastAsia="Times New Roman Bold"/>
          <w:color w:val="000000" w:themeColor="text1"/>
        </w:rPr>
        <w:t xml:space="preserve"> and all-cause mortality at 90 days and 1 year (all </w:t>
      </w:r>
      <w:r>
        <w:rPr>
          <w:rFonts w:eastAsia="宋体" w:hint="eastAsia"/>
          <w:i/>
          <w:color w:val="000000" w:themeColor="text1"/>
        </w:rPr>
        <w:t>p</w:t>
      </w:r>
      <w:r>
        <w:rPr>
          <w:rFonts w:eastAsia="Times New Roman Bold"/>
          <w:color w:val="000000" w:themeColor="text1"/>
        </w:rPr>
        <w:t xml:space="preserve"> &lt; 0.05). RPP </w:t>
      </w:r>
      <w:r>
        <w:rPr>
          <w:rFonts w:eastAsia="Times New Roman Bold" w:hint="eastAsia"/>
          <w:color w:val="000000" w:themeColor="text1"/>
        </w:rPr>
        <w:t>exhibited superior predictive performance, as indicated by</w:t>
      </w:r>
      <w:r>
        <w:rPr>
          <w:rFonts w:eastAsia="Times New Roman Bold"/>
          <w:color w:val="000000" w:themeColor="text1"/>
        </w:rPr>
        <w:t xml:space="preserve"> higher C-statistics for all outcomes </w:t>
      </w:r>
      <w:r>
        <w:rPr>
          <w:rFonts w:eastAsia="Times New Roman Bold" w:hint="eastAsia"/>
          <w:color w:val="000000" w:themeColor="text1"/>
        </w:rPr>
        <w:t>when compared to</w:t>
      </w:r>
      <w:r>
        <w:rPr>
          <w:rFonts w:eastAsia="Times New Roman Bold"/>
          <w:color w:val="000000" w:themeColor="text1"/>
        </w:rPr>
        <w:t xml:space="preserve"> </w:t>
      </w:r>
      <w:r>
        <w:rPr>
          <w:rFonts w:eastAsia="宋体" w:hint="eastAsia"/>
          <w:color w:val="000000" w:themeColor="text1"/>
          <w:lang w:eastAsia="zh-CN"/>
        </w:rPr>
        <w:t>HR</w:t>
      </w:r>
      <w:r>
        <w:rPr>
          <w:rFonts w:eastAsia="Times New Roman Bold"/>
          <w:color w:val="000000" w:themeColor="text1"/>
        </w:rPr>
        <w:t xml:space="preserve"> or </w:t>
      </w:r>
      <w:r>
        <w:rPr>
          <w:rFonts w:eastAsia="宋体" w:hint="eastAsia"/>
          <w:color w:val="000000" w:themeColor="text1"/>
          <w:lang w:eastAsia="zh-CN"/>
        </w:rPr>
        <w:t>SBP</w:t>
      </w:r>
      <w:r>
        <w:rPr>
          <w:rFonts w:eastAsia="Times New Roman Bold"/>
          <w:color w:val="000000" w:themeColor="text1"/>
        </w:rPr>
        <w:t xml:space="preserve"> alone (all </w:t>
      </w:r>
      <w:r>
        <w:rPr>
          <w:rFonts w:eastAsia="宋体" w:hint="eastAsia"/>
          <w:i/>
          <w:color w:val="000000" w:themeColor="text1"/>
        </w:rPr>
        <w:t>p</w:t>
      </w:r>
      <w:r>
        <w:rPr>
          <w:rFonts w:eastAsia="Times New Roman Bold"/>
          <w:color w:val="000000" w:themeColor="text1"/>
        </w:rPr>
        <w:t xml:space="preserve"> &lt; 0.05).</w:t>
      </w:r>
      <w:r>
        <w:rPr>
          <w:rFonts w:eastAsia="Times New Roman Bold" w:hint="eastAsia"/>
          <w:color w:val="000000" w:themeColor="text1"/>
        </w:rPr>
        <w:t xml:space="preserve"> </w:t>
      </w:r>
      <w:r>
        <w:rPr>
          <w:rFonts w:eastAsia="Times New Roman Bold"/>
          <w:color w:val="000000" w:themeColor="text1"/>
        </w:rPr>
        <w:t>A significant interaction</w:t>
      </w:r>
      <w:r>
        <w:rPr>
          <w:rFonts w:eastAsia="Times New Roman Bold"/>
          <w:color w:val="000000" w:themeColor="text1"/>
        </w:rPr>
        <w:t xml:space="preserve"> was </w:t>
      </w:r>
      <w:r>
        <w:rPr>
          <w:rFonts w:eastAsia="Times New Roman Bold" w:hint="eastAsia"/>
          <w:color w:val="000000" w:themeColor="text1"/>
        </w:rPr>
        <w:t>noted</w:t>
      </w:r>
      <w:r>
        <w:rPr>
          <w:rFonts w:eastAsia="Times New Roman Bold"/>
          <w:color w:val="000000" w:themeColor="text1"/>
        </w:rPr>
        <w:t xml:space="preserve"> with in-hospital </w:t>
      </w:r>
      <w:r>
        <w:rPr>
          <w:rFonts w:eastAsia="Times New Roman Bold"/>
          <w:bCs/>
          <w:color w:val="000000" w:themeColor="text1"/>
        </w:rPr>
        <w:t>β</w:t>
      </w:r>
      <w:r>
        <w:rPr>
          <w:rFonts w:eastAsia="Times New Roman Bold"/>
          <w:color w:val="000000" w:themeColor="text1"/>
        </w:rPr>
        <w:t>-blocker treatment (</w:t>
      </w:r>
      <w:r>
        <w:rPr>
          <w:rFonts w:eastAsia="宋体" w:hint="eastAsia"/>
          <w:i/>
          <w:color w:val="000000" w:themeColor="text1"/>
        </w:rPr>
        <w:t>p</w:t>
      </w:r>
      <w:r>
        <w:rPr>
          <w:rFonts w:eastAsia="Times New Roman Bold"/>
          <w:color w:val="000000" w:themeColor="text1"/>
        </w:rPr>
        <w:t xml:space="preserve"> for interaction &lt; 0.05), </w:t>
      </w:r>
      <w:r>
        <w:rPr>
          <w:rFonts w:eastAsia="Times New Roman Bold" w:hint="eastAsia"/>
          <w:color w:val="000000" w:themeColor="text1"/>
        </w:rPr>
        <w:t>indicating that</w:t>
      </w:r>
      <w:r>
        <w:rPr>
          <w:rFonts w:eastAsia="Times New Roman Bold"/>
          <w:color w:val="000000" w:themeColor="text1"/>
        </w:rPr>
        <w:t xml:space="preserve"> the association between high RPP and primary outcomes was </w:t>
      </w:r>
      <w:r>
        <w:rPr>
          <w:rFonts w:eastAsia="Times New Roman Bold" w:hint="eastAsia"/>
          <w:color w:val="000000" w:themeColor="text1"/>
        </w:rPr>
        <w:t>attenuated</w:t>
      </w:r>
      <w:r>
        <w:rPr>
          <w:rFonts w:eastAsia="Times New Roman Bold"/>
          <w:color w:val="000000" w:themeColor="text1"/>
        </w:rPr>
        <w:t xml:space="preserve"> in patients receiving </w:t>
      </w:r>
      <w:r>
        <w:rPr>
          <w:rFonts w:eastAsia="Times New Roman Bold"/>
          <w:bCs/>
          <w:color w:val="000000" w:themeColor="text1"/>
        </w:rPr>
        <w:t>β</w:t>
      </w:r>
      <w:r>
        <w:rPr>
          <w:rFonts w:eastAsia="Times New Roman Bold"/>
          <w:color w:val="000000" w:themeColor="text1"/>
        </w:rPr>
        <w:t>-blockers.</w:t>
      </w:r>
      <w:bookmarkEnd w:id="17"/>
      <w:r>
        <w:rPr>
          <w:rFonts w:eastAsia="宋体" w:hint="eastAsia"/>
          <w:color w:val="000000" w:themeColor="text1"/>
        </w:rPr>
        <w:t xml:space="preserve"> </w:t>
      </w:r>
      <w:r>
        <w:rPr>
          <w:rFonts w:eastAsia="Times New Roman Bold"/>
          <w:b/>
          <w:bCs/>
          <w:color w:val="000000" w:themeColor="text1"/>
        </w:rPr>
        <w:t>Conclusions</w:t>
      </w:r>
      <w:r>
        <w:rPr>
          <w:rFonts w:eastAsia="宋体"/>
          <w:b/>
          <w:bCs/>
          <w:color w:val="000000" w:themeColor="text1"/>
        </w:rPr>
        <w:t xml:space="preserve">: </w:t>
      </w:r>
      <w:r>
        <w:rPr>
          <w:rFonts w:eastAsia="Times New Roman Bold" w:hint="eastAsia"/>
          <w:color w:val="000000" w:themeColor="text1"/>
        </w:rPr>
        <w:t>E</w:t>
      </w:r>
      <w:r>
        <w:rPr>
          <w:rFonts w:eastAsia="Times New Roman Bold"/>
          <w:color w:val="000000" w:themeColor="text1"/>
        </w:rPr>
        <w:t>arly cardiac workload, quantified by the RPP, i</w:t>
      </w:r>
      <w:r>
        <w:rPr>
          <w:rFonts w:eastAsia="Times New Roman Bold"/>
          <w:color w:val="000000" w:themeColor="text1"/>
        </w:rPr>
        <w:t xml:space="preserve">s a potent independent predictor of long-term unfavorable functional outcome and all-cause mortality </w:t>
      </w:r>
      <w:r>
        <w:rPr>
          <w:rFonts w:eastAsia="Times New Roman Bold" w:hint="eastAsia"/>
          <w:color w:val="000000" w:themeColor="text1"/>
        </w:rPr>
        <w:t>in patients with</w:t>
      </w:r>
      <w:r>
        <w:rPr>
          <w:rFonts w:eastAsia="Times New Roman Bold"/>
          <w:color w:val="000000" w:themeColor="text1"/>
        </w:rPr>
        <w:t xml:space="preserve"> ICH</w:t>
      </w:r>
      <w:r>
        <w:rPr>
          <w:rFonts w:ascii="宋体" w:eastAsia="宋体" w:hAnsi="宋体" w:cs="宋体" w:hint="eastAsia"/>
          <w:color w:val="000000" w:themeColor="text1"/>
        </w:rPr>
        <w:t>.</w:t>
      </w:r>
    </w:p>
    <w:bookmarkEnd w:id="1"/>
    <w:bookmarkEnd w:id="16"/>
    <w:p w14:paraId="59611E38" w14:textId="77777777" w:rsidR="00CC3835" w:rsidRDefault="00CC3835">
      <w:pPr>
        <w:spacing w:line="360" w:lineRule="auto"/>
        <w:rPr>
          <w:rFonts w:ascii="Times New Roman" w:eastAsia="微软雅黑" w:hAnsi="Times New Roman"/>
          <w:color w:val="000000" w:themeColor="text1"/>
          <w:sz w:val="22"/>
          <w:szCs w:val="22"/>
          <w:lang w:bidi="ar"/>
        </w:rPr>
      </w:pPr>
    </w:p>
    <w:p w14:paraId="7DD13B68" w14:textId="77777777" w:rsidR="00CC3835" w:rsidRDefault="00256BAA">
      <w:pPr>
        <w:pStyle w:val="Backmatter"/>
        <w:spacing w:before="156" w:after="156"/>
        <w:rPr>
          <w:color w:val="000000" w:themeColor="text1"/>
        </w:rPr>
      </w:pPr>
      <w:r>
        <w:rPr>
          <w:rFonts w:eastAsia="宋体"/>
          <w:color w:val="000000" w:themeColor="text1"/>
        </w:rPr>
        <w:t xml:space="preserve">Keywords: </w:t>
      </w:r>
      <w:bookmarkStart w:id="18" w:name="OLE_LINK63"/>
    </w:p>
    <w:p w14:paraId="5EE108A7" w14:textId="77777777" w:rsidR="00CC3835" w:rsidRDefault="00256BAA">
      <w:pPr>
        <w:pStyle w:val="Keywords"/>
        <w:rPr>
          <w:color w:val="000000" w:themeColor="text1"/>
        </w:rPr>
      </w:pPr>
      <w:r>
        <w:rPr>
          <w:rFonts w:eastAsia="宋体"/>
          <w:color w:val="000000" w:themeColor="text1"/>
        </w:rPr>
        <w:t>brain-heart interaction; cardiac workload; intracerebral hemorrhage; prognosis; rate-pressure product</w:t>
      </w:r>
      <w:bookmarkEnd w:id="18"/>
    </w:p>
    <w:p w14:paraId="7A15E2E1" w14:textId="77777777" w:rsidR="00CC3835" w:rsidRDefault="00256BAA">
      <w:pPr>
        <w:jc w:val="left"/>
        <w:rPr>
          <w:rFonts w:ascii="Times New Roman" w:hAnsi="Times New Roman"/>
          <w:b/>
          <w:bCs/>
          <w:color w:val="000000" w:themeColor="text1"/>
          <w:sz w:val="22"/>
          <w:szCs w:val="22"/>
        </w:rPr>
      </w:pPr>
      <w:bookmarkStart w:id="19" w:name="OLE_LINK84"/>
      <w:bookmarkStart w:id="20" w:name="OLE_LINK26"/>
      <w:bookmarkStart w:id="21" w:name="OLE_LINK83"/>
      <w:r>
        <w:rPr>
          <w:rFonts w:ascii="Times New Roman" w:hAnsi="Times New Roman"/>
          <w:b/>
          <w:bCs/>
          <w:color w:val="000000" w:themeColor="text1"/>
          <w:sz w:val="22"/>
          <w:szCs w:val="22"/>
        </w:rPr>
        <w:br w:type="page"/>
      </w:r>
      <w:r>
        <w:rPr>
          <w:rFonts w:ascii="Times New Roman" w:hAnsi="Times New Roman"/>
          <w:b/>
          <w:bCs/>
          <w:noProof/>
          <w:color w:val="000000" w:themeColor="text1"/>
          <w:sz w:val="22"/>
          <w:szCs w:val="22"/>
        </w:rPr>
        <w:lastRenderedPageBreak/>
        <w:drawing>
          <wp:inline distT="0" distB="0" distL="0" distR="0" wp14:anchorId="6D5260D7" wp14:editId="0C5A1311">
            <wp:extent cx="6479540" cy="398018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3980180"/>
                    </a:xfrm>
                    <a:prstGeom prst="rect">
                      <a:avLst/>
                    </a:prstGeom>
                  </pic:spPr>
                </pic:pic>
              </a:graphicData>
            </a:graphic>
          </wp:inline>
        </w:drawing>
      </w:r>
    </w:p>
    <w:p w14:paraId="34ADC760" w14:textId="77777777" w:rsidR="00CC3835" w:rsidRDefault="00256BAA">
      <w:pPr>
        <w:pStyle w:val="1"/>
        <w:rPr>
          <w:color w:val="000000" w:themeColor="text1"/>
        </w:rPr>
      </w:pPr>
      <w:r>
        <w:rPr>
          <w:rStyle w:val="10"/>
          <w:b/>
          <w:bCs/>
          <w:color w:val="000000" w:themeColor="text1"/>
        </w:rPr>
        <w:t>1. Introduction</w:t>
      </w:r>
      <w:bookmarkStart w:id="22" w:name="OLE_LINK17"/>
      <w:bookmarkStart w:id="23" w:name="OLE_LINK20"/>
      <w:bookmarkStart w:id="24" w:name="OLE_LINK18"/>
      <w:r>
        <w:rPr>
          <w:color w:val="000000" w:themeColor="text1"/>
        </w:rPr>
        <w:t xml:space="preserve"> </w:t>
      </w:r>
    </w:p>
    <w:p w14:paraId="09C68E76" w14:textId="77777777" w:rsidR="00CC3835" w:rsidRDefault="00256BAA">
      <w:pPr>
        <w:pStyle w:val="Text"/>
        <w:ind w:firstLine="420"/>
        <w:rPr>
          <w:b/>
          <w:bCs/>
          <w:color w:val="000000" w:themeColor="text1"/>
        </w:rPr>
      </w:pPr>
      <w:r>
        <w:rPr>
          <w:color w:val="000000" w:themeColor="text1"/>
        </w:rPr>
        <w:t>Intracerebral hemorrhage (ICH)</w:t>
      </w:r>
      <w:r>
        <w:rPr>
          <w:rFonts w:eastAsia="宋体" w:hint="eastAsia"/>
          <w:color w:val="000000" w:themeColor="text1"/>
          <w:lang w:eastAsia="zh-CN"/>
        </w:rPr>
        <w:t xml:space="preserve"> is</w:t>
      </w:r>
      <w:r>
        <w:rPr>
          <w:color w:val="000000" w:themeColor="text1"/>
        </w:rPr>
        <w:t xml:space="preserve"> a devastating subtype of stroke accounting for 15–20% of all stroke cases,</w:t>
      </w:r>
      <w:r>
        <w:rPr>
          <w:rFonts w:eastAsia="宋体" w:hint="eastAsia"/>
          <w:color w:val="000000" w:themeColor="text1"/>
          <w:lang w:eastAsia="zh-CN"/>
        </w:rPr>
        <w:t xml:space="preserve"> and</w:t>
      </w:r>
      <w:r>
        <w:rPr>
          <w:color w:val="000000" w:themeColor="text1"/>
        </w:rPr>
        <w:t xml:space="preserve"> is associated with </w:t>
      </w:r>
      <w:r>
        <w:rPr>
          <w:rFonts w:hint="eastAsia"/>
          <w:color w:val="000000" w:themeColor="text1"/>
        </w:rPr>
        <w:t>significant</w:t>
      </w:r>
      <w:r>
        <w:rPr>
          <w:color w:val="000000" w:themeColor="text1"/>
        </w:rPr>
        <w:t xml:space="preserve"> mortality and long-term disability </w:t>
      </w:r>
      <w:r>
        <w:rPr>
          <w:rFonts w:eastAsia="宋体"/>
          <w:color w:val="000000" w:themeColor="text1"/>
        </w:rPr>
        <w:t>[1–3]</w:t>
      </w:r>
      <w:r>
        <w:rPr>
          <w:color w:val="000000" w:themeColor="text1"/>
        </w:rPr>
        <w:t xml:space="preserve">. </w:t>
      </w:r>
      <w:r>
        <w:rPr>
          <w:rFonts w:eastAsia="宋体" w:hint="eastAsia"/>
          <w:color w:val="000000" w:themeColor="text1"/>
          <w:lang w:eastAsia="zh-CN"/>
        </w:rPr>
        <w:t>R</w:t>
      </w:r>
      <w:r>
        <w:rPr>
          <w:color w:val="000000" w:themeColor="text1"/>
        </w:rPr>
        <w:t>ecent evidence</w:t>
      </w:r>
      <w:r>
        <w:rPr>
          <w:rFonts w:hint="eastAsia"/>
          <w:color w:val="000000" w:themeColor="text1"/>
        </w:rPr>
        <w:t xml:space="preserve"> has increasingly underscored</w:t>
      </w:r>
      <w:r>
        <w:rPr>
          <w:color w:val="000000" w:themeColor="text1"/>
        </w:rPr>
        <w:t xml:space="preserve"> the critical role of the</w:t>
      </w:r>
      <w:r>
        <w:rPr>
          <w:color w:val="000000" w:themeColor="text1"/>
        </w:rPr>
        <w:t xml:space="preserve"> brain-heart </w:t>
      </w:r>
      <w:r>
        <w:rPr>
          <w:rFonts w:hint="eastAsia"/>
          <w:color w:val="000000" w:themeColor="text1"/>
        </w:rPr>
        <w:t>interaction</w:t>
      </w:r>
      <w:r>
        <w:rPr>
          <w:color w:val="000000" w:themeColor="text1"/>
        </w:rPr>
        <w:t xml:space="preserve"> in the pathophysiology of acute brain injury</w:t>
      </w:r>
      <w:r>
        <w:rPr>
          <w:rFonts w:hint="eastAsia"/>
          <w:color w:val="000000" w:themeColor="text1"/>
        </w:rPr>
        <w:t xml:space="preserve"> </w:t>
      </w:r>
      <w:r>
        <w:rPr>
          <w:rFonts w:eastAsia="宋体"/>
          <w:color w:val="000000" w:themeColor="text1"/>
        </w:rPr>
        <w:t>[4–6]</w:t>
      </w:r>
      <w:r>
        <w:rPr>
          <w:rFonts w:hint="eastAsia"/>
          <w:color w:val="000000" w:themeColor="text1"/>
        </w:rPr>
        <w:t xml:space="preserve">. </w:t>
      </w:r>
      <w:r>
        <w:rPr>
          <w:color w:val="000000" w:themeColor="text1"/>
        </w:rPr>
        <w:t xml:space="preserve">Following the onset of ICH, </w:t>
      </w:r>
      <w:bookmarkStart w:id="25" w:name="OLE_LINK64"/>
      <w:r>
        <w:rPr>
          <w:color w:val="000000" w:themeColor="text1"/>
        </w:rPr>
        <w:t>neurohormonal and autonomic dysregulation</w:t>
      </w:r>
      <w:bookmarkEnd w:id="25"/>
      <w:r>
        <w:rPr>
          <w:color w:val="000000" w:themeColor="text1"/>
        </w:rPr>
        <w:t xml:space="preserve"> </w:t>
      </w:r>
      <w:r>
        <w:rPr>
          <w:rFonts w:hint="eastAsia"/>
          <w:color w:val="000000" w:themeColor="text1"/>
        </w:rPr>
        <w:t>frequently</w:t>
      </w:r>
      <w:r>
        <w:rPr>
          <w:color w:val="000000" w:themeColor="text1"/>
        </w:rPr>
        <w:t xml:space="preserve"> precipitate a hyperadrenergic state</w:t>
      </w:r>
      <w:r>
        <w:rPr>
          <w:rFonts w:hint="eastAsia"/>
          <w:color w:val="000000" w:themeColor="text1"/>
          <w:shd w:val="clear" w:color="auto" w:fill="FFFFFF"/>
        </w:rPr>
        <w:t>,</w:t>
      </w:r>
      <w:r>
        <w:rPr>
          <w:color w:val="000000" w:themeColor="text1"/>
          <w:shd w:val="clear" w:color="auto" w:fill="FFFFFF"/>
        </w:rPr>
        <w:t xml:space="preserve"> </w:t>
      </w:r>
      <w:r>
        <w:rPr>
          <w:rFonts w:hint="eastAsia"/>
          <w:color w:val="000000" w:themeColor="text1"/>
        </w:rPr>
        <w:t>which imposes substantial</w:t>
      </w:r>
      <w:r>
        <w:rPr>
          <w:color w:val="000000" w:themeColor="text1"/>
        </w:rPr>
        <w:t xml:space="preserve"> stress on the cardiovascular system</w:t>
      </w:r>
      <w:r>
        <w:rPr>
          <w:rFonts w:hint="eastAsia"/>
          <w:color w:val="000000" w:themeColor="text1"/>
        </w:rPr>
        <w:t xml:space="preserve"> </w:t>
      </w:r>
      <w:r>
        <w:rPr>
          <w:color w:val="000000" w:themeColor="text1"/>
        </w:rPr>
        <w:t>[5,6].</w:t>
      </w:r>
      <w:bookmarkEnd w:id="22"/>
    </w:p>
    <w:bookmarkEnd w:id="23"/>
    <w:p w14:paraId="2153FD84" w14:textId="77777777" w:rsidR="00CC3835" w:rsidRDefault="00CC3835">
      <w:pPr>
        <w:pStyle w:val="Text"/>
        <w:ind w:firstLine="420"/>
        <w:rPr>
          <w:color w:val="000000" w:themeColor="text1"/>
        </w:rPr>
      </w:pPr>
    </w:p>
    <w:p w14:paraId="2E3170B8" w14:textId="77777777" w:rsidR="00CC3835" w:rsidRDefault="00256BAA">
      <w:pPr>
        <w:pStyle w:val="Text"/>
        <w:ind w:firstLine="420"/>
        <w:rPr>
          <w:color w:val="000000" w:themeColor="text1"/>
        </w:rPr>
      </w:pPr>
      <w:r>
        <w:rPr>
          <w:color w:val="000000" w:themeColor="text1"/>
        </w:rPr>
        <w:t xml:space="preserve">This hyperadrenergic state triggers an acute increase in metabolic demand and hemodynamic burden, </w:t>
      </w:r>
      <w:r>
        <w:rPr>
          <w:rFonts w:hint="eastAsia"/>
          <w:color w:val="000000" w:themeColor="text1"/>
        </w:rPr>
        <w:t>significantly elevating</w:t>
      </w:r>
      <w:r>
        <w:rPr>
          <w:color w:val="000000" w:themeColor="text1"/>
        </w:rPr>
        <w:t xml:space="preserve"> cardiac workload. When </w:t>
      </w:r>
      <w:r>
        <w:rPr>
          <w:rFonts w:hint="eastAsia"/>
          <w:color w:val="000000" w:themeColor="text1"/>
        </w:rPr>
        <w:t>the cardiac workload surpasses the</w:t>
      </w:r>
      <w:r>
        <w:rPr>
          <w:color w:val="000000" w:themeColor="text1"/>
        </w:rPr>
        <w:t xml:space="preserve"> intrinsic cardiac reserve</w:t>
      </w:r>
      <w:r>
        <w:rPr>
          <w:rFonts w:hint="eastAsia"/>
          <w:color w:val="000000" w:themeColor="text1"/>
        </w:rPr>
        <w:t xml:space="preserve">, </w:t>
      </w:r>
      <w:r>
        <w:rPr>
          <w:color w:val="000000" w:themeColor="text1"/>
        </w:rPr>
        <w:t xml:space="preserve">the resulting mismatch between </w:t>
      </w:r>
      <w:r>
        <w:rPr>
          <w:color w:val="000000" w:themeColor="text1"/>
        </w:rPr>
        <w:t>myocardial oxygen supply and consumption predisposes the myocardium to injury</w:t>
      </w:r>
      <w:r>
        <w:rPr>
          <w:rFonts w:hint="eastAsia"/>
          <w:color w:val="000000" w:themeColor="text1"/>
        </w:rPr>
        <w:t xml:space="preserve"> </w:t>
      </w:r>
      <w:bookmarkStart w:id="26" w:name="OLE_LINK65"/>
      <w:r>
        <w:rPr>
          <w:rFonts w:eastAsia="宋体"/>
          <w:color w:val="000000" w:themeColor="text1"/>
          <w:lang w:bidi="ar"/>
        </w:rPr>
        <w:t>[7,8]</w:t>
      </w:r>
      <w:bookmarkEnd w:id="26"/>
      <w:r>
        <w:rPr>
          <w:rFonts w:eastAsia="宋体"/>
          <w:color w:val="000000" w:themeColor="text1"/>
          <w:lang w:bidi="ar"/>
        </w:rPr>
        <w:t xml:space="preserve">. </w:t>
      </w:r>
      <w:r>
        <w:rPr>
          <w:rFonts w:eastAsia="宋体" w:hint="eastAsia"/>
          <w:color w:val="000000" w:themeColor="text1"/>
          <w:lang w:bidi="ar"/>
        </w:rPr>
        <w:t>Furthermore, a</w:t>
      </w:r>
      <w:r>
        <w:rPr>
          <w:rFonts w:eastAsia="宋体"/>
          <w:color w:val="000000" w:themeColor="text1"/>
          <w:lang w:bidi="ar"/>
        </w:rPr>
        <w:t xml:space="preserve">s optimal cardiac performance is </w:t>
      </w:r>
      <w:r>
        <w:rPr>
          <w:rFonts w:eastAsia="宋体" w:hint="eastAsia"/>
          <w:color w:val="000000" w:themeColor="text1"/>
          <w:lang w:bidi="ar"/>
        </w:rPr>
        <w:t>cruci</w:t>
      </w:r>
      <w:r>
        <w:rPr>
          <w:rFonts w:eastAsia="宋体"/>
          <w:color w:val="000000" w:themeColor="text1"/>
          <w:lang w:bidi="ar"/>
        </w:rPr>
        <w:t>al for maintaining cerebral perfusion pressure</w:t>
      </w:r>
      <w:r>
        <w:rPr>
          <w:rFonts w:eastAsia="宋体" w:hint="eastAsia"/>
          <w:color w:val="000000" w:themeColor="text1"/>
          <w:lang w:bidi="ar"/>
        </w:rPr>
        <w:t xml:space="preserve"> during acute brain injury</w:t>
      </w:r>
      <w:r>
        <w:rPr>
          <w:rFonts w:eastAsia="宋体"/>
          <w:color w:val="000000" w:themeColor="text1"/>
          <w:lang w:bidi="ar"/>
        </w:rPr>
        <w:t xml:space="preserve">, excessive cardiac workload may compromise </w:t>
      </w:r>
      <w:r>
        <w:rPr>
          <w:rFonts w:eastAsia="宋体" w:hint="eastAsia"/>
          <w:color w:val="000000" w:themeColor="text1"/>
          <w:lang w:bidi="ar"/>
        </w:rPr>
        <w:t>the</w:t>
      </w:r>
      <w:r>
        <w:rPr>
          <w:rFonts w:eastAsia="宋体" w:hint="eastAsia"/>
          <w:color w:val="000000" w:themeColor="text1"/>
          <w:lang w:bidi="ar"/>
        </w:rPr>
        <w:t xml:space="preserve"> stability of</w:t>
      </w:r>
      <w:r>
        <w:rPr>
          <w:rFonts w:eastAsia="宋体" w:hint="eastAsia"/>
          <w:color w:val="000000" w:themeColor="text1"/>
          <w:lang w:eastAsia="zh-CN" w:bidi="ar"/>
        </w:rPr>
        <w:t xml:space="preserve"> </w:t>
      </w:r>
      <w:r>
        <w:rPr>
          <w:rFonts w:eastAsia="宋体"/>
          <w:color w:val="000000" w:themeColor="text1"/>
          <w:lang w:bidi="ar"/>
        </w:rPr>
        <w:t>cerebral blood flow [9,10], potentially exacerbating secondary brain injury</w:t>
      </w:r>
      <w:r>
        <w:rPr>
          <w:rFonts w:eastAsia="宋体" w:hint="eastAsia"/>
          <w:color w:val="000000" w:themeColor="text1"/>
          <w:lang w:bidi="ar"/>
        </w:rPr>
        <w:t xml:space="preserve"> </w:t>
      </w:r>
      <w:r>
        <w:rPr>
          <w:rFonts w:eastAsia="宋体"/>
          <w:color w:val="000000" w:themeColor="text1"/>
          <w:lang w:bidi="ar"/>
        </w:rPr>
        <w:t xml:space="preserve">and contributing to poor clinical outcomes. However, direct measurement of cardiac workload is technically complex [11,12] and </w:t>
      </w:r>
      <w:r>
        <w:rPr>
          <w:rFonts w:eastAsia="宋体" w:hint="eastAsia"/>
          <w:color w:val="000000" w:themeColor="text1"/>
          <w:lang w:bidi="ar"/>
        </w:rPr>
        <w:t>challenging</w:t>
      </w:r>
      <w:r>
        <w:rPr>
          <w:rFonts w:eastAsia="宋体" w:hint="eastAsia"/>
          <w:color w:val="000000" w:themeColor="text1"/>
          <w:lang w:eastAsia="zh-CN" w:bidi="ar"/>
        </w:rPr>
        <w:t xml:space="preserve"> to</w:t>
      </w:r>
      <w:r>
        <w:rPr>
          <w:rFonts w:eastAsia="宋体"/>
          <w:color w:val="000000" w:themeColor="text1"/>
          <w:lang w:bidi="ar"/>
        </w:rPr>
        <w:t xml:space="preserve"> implement during the acu</w:t>
      </w:r>
      <w:r>
        <w:rPr>
          <w:rFonts w:eastAsia="宋体"/>
          <w:color w:val="000000" w:themeColor="text1"/>
          <w:lang w:bidi="ar"/>
        </w:rPr>
        <w:t xml:space="preserve">te phase of ICH. </w:t>
      </w:r>
      <w:r>
        <w:rPr>
          <w:rFonts w:eastAsia="宋体" w:hint="eastAsia"/>
          <w:color w:val="000000" w:themeColor="text1"/>
          <w:lang w:bidi="ar"/>
        </w:rPr>
        <w:t xml:space="preserve">As a result, </w:t>
      </w:r>
      <w:r>
        <w:rPr>
          <w:rFonts w:eastAsia="宋体"/>
          <w:color w:val="000000" w:themeColor="text1"/>
          <w:lang w:bidi="ar"/>
        </w:rPr>
        <w:t xml:space="preserve">the </w:t>
      </w:r>
      <w:r>
        <w:rPr>
          <w:rFonts w:eastAsia="宋体" w:hint="eastAsia"/>
          <w:color w:val="000000" w:themeColor="text1"/>
          <w:lang w:bidi="ar"/>
        </w:rPr>
        <w:t>clinical significance</w:t>
      </w:r>
      <w:r>
        <w:rPr>
          <w:rFonts w:eastAsia="宋体"/>
          <w:color w:val="000000" w:themeColor="text1"/>
          <w:lang w:bidi="ar"/>
        </w:rPr>
        <w:t xml:space="preserve"> of early cardiac workload </w:t>
      </w:r>
      <w:r>
        <w:rPr>
          <w:rFonts w:eastAsia="宋体" w:hint="eastAsia"/>
          <w:color w:val="000000" w:themeColor="text1"/>
          <w:lang w:bidi="ar"/>
        </w:rPr>
        <w:t>in patients with</w:t>
      </w:r>
      <w:r>
        <w:rPr>
          <w:rFonts w:eastAsia="宋体"/>
          <w:color w:val="000000" w:themeColor="text1"/>
          <w:lang w:bidi="ar"/>
        </w:rPr>
        <w:t xml:space="preserve"> ICH </w:t>
      </w:r>
      <w:r>
        <w:rPr>
          <w:rFonts w:eastAsia="宋体" w:hint="eastAsia"/>
          <w:color w:val="000000" w:themeColor="text1"/>
          <w:lang w:bidi="ar"/>
        </w:rPr>
        <w:t>remains inadequately elucidated</w:t>
      </w:r>
      <w:r>
        <w:rPr>
          <w:rFonts w:eastAsia="宋体"/>
          <w:color w:val="000000" w:themeColor="text1"/>
          <w:lang w:bidi="ar"/>
        </w:rPr>
        <w:t>.</w:t>
      </w:r>
    </w:p>
    <w:p w14:paraId="39BE0C6D" w14:textId="77777777" w:rsidR="00CC3835" w:rsidRDefault="00CC3835">
      <w:pPr>
        <w:pStyle w:val="Text"/>
        <w:ind w:firstLine="420"/>
        <w:rPr>
          <w:color w:val="000000" w:themeColor="text1"/>
        </w:rPr>
      </w:pPr>
    </w:p>
    <w:p w14:paraId="4AEF734F" w14:textId="77777777" w:rsidR="00CC3835" w:rsidRDefault="00256BAA">
      <w:pPr>
        <w:pStyle w:val="Text"/>
        <w:ind w:firstLine="420"/>
        <w:rPr>
          <w:rFonts w:eastAsia="华文楷体"/>
          <w:color w:val="000000" w:themeColor="text1"/>
        </w:rPr>
      </w:pPr>
      <w:bookmarkStart w:id="27" w:name="OLE_LINK89"/>
      <w:r>
        <w:rPr>
          <w:color w:val="000000" w:themeColor="text1"/>
        </w:rPr>
        <w:t xml:space="preserve">The rate-pressure product (RPP), </w:t>
      </w:r>
      <w:r>
        <w:rPr>
          <w:rFonts w:hint="eastAsia"/>
          <w:color w:val="000000" w:themeColor="text1"/>
        </w:rPr>
        <w:t>calculated as</w:t>
      </w:r>
      <w:r>
        <w:rPr>
          <w:color w:val="000000" w:themeColor="text1"/>
        </w:rPr>
        <w:t xml:space="preserve"> the product of heart rate</w:t>
      </w:r>
      <w:r>
        <w:rPr>
          <w:rFonts w:eastAsia="宋体" w:hint="eastAsia"/>
          <w:color w:val="000000" w:themeColor="text1"/>
          <w:lang w:eastAsia="zh-CN"/>
        </w:rPr>
        <w:t xml:space="preserve"> (HR)</w:t>
      </w:r>
      <w:r>
        <w:rPr>
          <w:color w:val="000000" w:themeColor="text1"/>
        </w:rPr>
        <w:t xml:space="preserve"> and systolic blood pressure</w:t>
      </w:r>
      <w:r>
        <w:rPr>
          <w:rFonts w:eastAsia="宋体" w:hint="eastAsia"/>
          <w:color w:val="000000" w:themeColor="text1"/>
          <w:lang w:eastAsia="zh-CN"/>
        </w:rPr>
        <w:t xml:space="preserve"> (SBP)</w:t>
      </w:r>
      <w:r>
        <w:rPr>
          <w:color w:val="000000" w:themeColor="text1"/>
        </w:rPr>
        <w:t>, serves</w:t>
      </w:r>
      <w:r>
        <w:rPr>
          <w:color w:val="000000" w:themeColor="text1"/>
        </w:rPr>
        <w:t xml:space="preserve"> as a </w:t>
      </w:r>
      <w:r>
        <w:rPr>
          <w:rFonts w:hint="eastAsia"/>
          <w:color w:val="000000" w:themeColor="text1"/>
        </w:rPr>
        <w:t>well-validated</w:t>
      </w:r>
      <w:r>
        <w:rPr>
          <w:rFonts w:eastAsia="宋体" w:hint="eastAsia"/>
          <w:color w:val="000000" w:themeColor="text1"/>
          <w:lang w:eastAsia="zh-CN"/>
        </w:rPr>
        <w:t xml:space="preserve"> and</w:t>
      </w:r>
      <w:r>
        <w:rPr>
          <w:color w:val="000000" w:themeColor="text1"/>
        </w:rPr>
        <w:t xml:space="preserve"> readily accessible surrogate for myocardial oxygen consumption </w:t>
      </w:r>
      <w:r>
        <w:rPr>
          <w:rFonts w:eastAsia="宋体"/>
          <w:color w:val="000000" w:themeColor="text1"/>
        </w:rPr>
        <w:t>[13,14]</w:t>
      </w:r>
      <w:r>
        <w:rPr>
          <w:rFonts w:eastAsia="宋体" w:hint="eastAsia"/>
          <w:color w:val="000000" w:themeColor="text1"/>
          <w:lang w:eastAsia="zh-CN"/>
        </w:rPr>
        <w:t>.</w:t>
      </w:r>
      <w:r>
        <w:rPr>
          <w:rFonts w:eastAsia="华文楷体"/>
          <w:color w:val="000000" w:themeColor="text1"/>
        </w:rPr>
        <w:t xml:space="preserve"> </w:t>
      </w:r>
      <w:r>
        <w:rPr>
          <w:rFonts w:eastAsia="华文楷体" w:hint="eastAsia"/>
          <w:color w:val="000000" w:themeColor="text1"/>
        </w:rPr>
        <w:t>It is widely utilized</w:t>
      </w:r>
      <w:r>
        <w:rPr>
          <w:rFonts w:eastAsia="华文楷体"/>
          <w:color w:val="000000" w:themeColor="text1"/>
        </w:rPr>
        <w:t xml:space="preserve"> to quantify cardiac workload</w:t>
      </w:r>
      <w:r>
        <w:rPr>
          <w:rFonts w:eastAsia="华文楷体" w:hint="eastAsia"/>
          <w:color w:val="000000" w:themeColor="text1"/>
        </w:rPr>
        <w:t xml:space="preserve"> </w:t>
      </w:r>
      <w:r>
        <w:rPr>
          <w:rFonts w:eastAsia="宋体"/>
          <w:color w:val="000000" w:themeColor="text1"/>
        </w:rPr>
        <w:t>[15–17]</w:t>
      </w:r>
      <w:r>
        <w:rPr>
          <w:rFonts w:eastAsia="华文楷体"/>
          <w:color w:val="000000" w:themeColor="text1"/>
        </w:rPr>
        <w:t xml:space="preserve">. </w:t>
      </w:r>
      <w:r>
        <w:rPr>
          <w:rFonts w:eastAsia="华文楷体" w:hint="eastAsia"/>
          <w:color w:val="000000" w:themeColor="text1"/>
        </w:rPr>
        <w:t>In the field of cardiology</w:t>
      </w:r>
      <w:r>
        <w:rPr>
          <w:rFonts w:eastAsia="华文楷体"/>
          <w:color w:val="000000" w:themeColor="text1"/>
        </w:rPr>
        <w:t xml:space="preserve">, RPP is a well-established prognostic marker </w:t>
      </w:r>
      <w:r>
        <w:rPr>
          <w:rFonts w:eastAsia="华文楷体" w:hint="eastAsia"/>
          <w:color w:val="000000" w:themeColor="text1"/>
        </w:rPr>
        <w:t>for</w:t>
      </w:r>
      <w:r>
        <w:rPr>
          <w:rFonts w:eastAsia="华文楷体"/>
          <w:color w:val="000000" w:themeColor="text1"/>
        </w:rPr>
        <w:t xml:space="preserve"> adverse outcomes in hea</w:t>
      </w:r>
      <w:r>
        <w:rPr>
          <w:rFonts w:eastAsia="华文楷体"/>
          <w:color w:val="000000" w:themeColor="text1"/>
        </w:rPr>
        <w:t xml:space="preserve">rt failure and coronary artery disease </w:t>
      </w:r>
      <w:r>
        <w:rPr>
          <w:rFonts w:eastAsia="宋体"/>
          <w:color w:val="000000" w:themeColor="text1"/>
        </w:rPr>
        <w:t>[18–21]</w:t>
      </w:r>
      <w:r>
        <w:rPr>
          <w:rFonts w:eastAsia="华文楷体"/>
          <w:color w:val="000000" w:themeColor="text1"/>
        </w:rPr>
        <w:t xml:space="preserve">. </w:t>
      </w:r>
      <w:bookmarkStart w:id="28" w:name="OLE_LINK3"/>
      <w:bookmarkStart w:id="29" w:name="OLE_LINK2"/>
      <w:r>
        <w:rPr>
          <w:rFonts w:eastAsia="华文楷体" w:hint="eastAsia"/>
          <w:color w:val="000000" w:themeColor="text1"/>
        </w:rPr>
        <w:t>Additionally, a</w:t>
      </w:r>
      <w:r>
        <w:rPr>
          <w:rFonts w:eastAsia="华文楷体"/>
          <w:color w:val="000000" w:themeColor="text1"/>
        </w:rPr>
        <w:t xml:space="preserve">mong neurological disorders, RPP </w:t>
      </w:r>
      <w:r>
        <w:rPr>
          <w:rFonts w:eastAsia="华文楷体" w:hint="eastAsia"/>
          <w:color w:val="000000" w:themeColor="text1"/>
          <w:lang w:eastAsia="zh-CN"/>
        </w:rPr>
        <w:t>has been</w:t>
      </w:r>
      <w:r>
        <w:rPr>
          <w:rFonts w:eastAsia="华文楷体" w:hint="eastAsia"/>
          <w:color w:val="000000" w:themeColor="text1"/>
        </w:rPr>
        <w:t xml:space="preserve"> linked to </w:t>
      </w:r>
      <w:r>
        <w:rPr>
          <w:rFonts w:eastAsia="华文楷体"/>
          <w:color w:val="000000" w:themeColor="text1"/>
        </w:rPr>
        <w:t xml:space="preserve">mortality in acute aneurysmal subarachnoid hemorrhage and traumatic brain injury </w:t>
      </w:r>
      <w:bookmarkEnd w:id="28"/>
      <w:r>
        <w:rPr>
          <w:rFonts w:eastAsia="宋体"/>
          <w:color w:val="000000" w:themeColor="text1"/>
        </w:rPr>
        <w:t>[15,22]</w:t>
      </w:r>
      <w:r>
        <w:rPr>
          <w:rFonts w:eastAsia="华文楷体"/>
          <w:color w:val="000000" w:themeColor="text1"/>
        </w:rPr>
        <w:t xml:space="preserve">. </w:t>
      </w:r>
      <w:bookmarkEnd w:id="29"/>
      <w:r>
        <w:rPr>
          <w:rFonts w:eastAsia="华文楷体"/>
          <w:color w:val="000000" w:themeColor="text1"/>
        </w:rPr>
        <w:t>However, its prognostic significance in ICH has bee</w:t>
      </w:r>
      <w:r>
        <w:rPr>
          <w:rFonts w:eastAsia="华文楷体"/>
          <w:color w:val="000000" w:themeColor="text1"/>
        </w:rPr>
        <w:t xml:space="preserve">n </w:t>
      </w:r>
      <w:r>
        <w:rPr>
          <w:rFonts w:eastAsia="宋体"/>
          <w:color w:val="000000" w:themeColor="text1"/>
          <w:lang w:bidi="ar"/>
        </w:rPr>
        <w:t>rarely</w:t>
      </w:r>
      <w:r>
        <w:rPr>
          <w:rFonts w:eastAsia="华文楷体"/>
          <w:color w:val="000000" w:themeColor="text1"/>
        </w:rPr>
        <w:t xml:space="preserve"> explored.</w:t>
      </w:r>
      <w:bookmarkEnd w:id="24"/>
      <w:r>
        <w:rPr>
          <w:rFonts w:eastAsia="华文楷体"/>
          <w:color w:val="000000" w:themeColor="text1"/>
        </w:rPr>
        <w:t xml:space="preserve"> Therefore, this study aimed to investigate the association between early cardiac workload, as measured by RPP, and long-term outcomes.</w:t>
      </w:r>
    </w:p>
    <w:p w14:paraId="5F278300" w14:textId="77777777" w:rsidR="00CC3835" w:rsidRDefault="00CC3835">
      <w:pPr>
        <w:spacing w:line="360" w:lineRule="auto"/>
        <w:rPr>
          <w:rFonts w:ascii="Times New Roman" w:hAnsi="Times New Roman"/>
          <w:b/>
          <w:bCs/>
          <w:color w:val="000000" w:themeColor="text1"/>
          <w:sz w:val="22"/>
          <w:szCs w:val="22"/>
        </w:rPr>
      </w:pPr>
      <w:bookmarkStart w:id="30" w:name="OLE_LINK4"/>
      <w:bookmarkEnd w:id="27"/>
    </w:p>
    <w:p w14:paraId="09D98705" w14:textId="77777777" w:rsidR="00CC3835" w:rsidRDefault="00256BAA">
      <w:pPr>
        <w:pStyle w:val="1"/>
        <w:rPr>
          <w:color w:val="000000" w:themeColor="text1"/>
        </w:rPr>
      </w:pPr>
      <w:r>
        <w:rPr>
          <w:color w:val="000000" w:themeColor="text1"/>
        </w:rPr>
        <w:t>2. Methods</w:t>
      </w:r>
    </w:p>
    <w:p w14:paraId="791D937E" w14:textId="77777777" w:rsidR="00CC3835" w:rsidRDefault="00256BAA">
      <w:pPr>
        <w:pStyle w:val="2"/>
        <w:rPr>
          <w:color w:val="000000" w:themeColor="text1"/>
        </w:rPr>
      </w:pPr>
      <w:r>
        <w:rPr>
          <w:color w:val="000000" w:themeColor="text1"/>
        </w:rPr>
        <w:t xml:space="preserve">2.1 Study </w:t>
      </w:r>
      <w:r>
        <w:rPr>
          <w:rFonts w:hint="eastAsia"/>
          <w:color w:val="000000" w:themeColor="text1"/>
        </w:rPr>
        <w:t>D</w:t>
      </w:r>
      <w:r>
        <w:rPr>
          <w:color w:val="000000" w:themeColor="text1"/>
        </w:rPr>
        <w:t xml:space="preserve">esign and </w:t>
      </w:r>
      <w:r>
        <w:rPr>
          <w:rFonts w:hint="eastAsia"/>
          <w:color w:val="000000" w:themeColor="text1"/>
        </w:rPr>
        <w:t>P</w:t>
      </w:r>
      <w:r>
        <w:rPr>
          <w:color w:val="000000" w:themeColor="text1"/>
        </w:rPr>
        <w:t xml:space="preserve">opulation </w:t>
      </w:r>
    </w:p>
    <w:p w14:paraId="7EB05051" w14:textId="77777777" w:rsidR="00CC3835" w:rsidRDefault="00256BAA">
      <w:pPr>
        <w:pStyle w:val="Text"/>
        <w:ind w:firstLine="420"/>
        <w:rPr>
          <w:color w:val="000000" w:themeColor="text1"/>
        </w:rPr>
      </w:pPr>
      <w:r>
        <w:rPr>
          <w:color w:val="000000" w:themeColor="text1"/>
        </w:rPr>
        <w:t xml:space="preserve">This study utilized data from a multicenter, prospective, consecutive, observational cohort that enrolled patients with ICH from 13 hospitals in </w:t>
      </w:r>
      <w:r>
        <w:rPr>
          <w:b/>
          <w:color w:val="000000" w:themeColor="text1"/>
        </w:rPr>
        <w:t xml:space="preserve">XXX [This information has been edited and hidden] </w:t>
      </w:r>
      <w:r>
        <w:rPr>
          <w:color w:val="000000" w:themeColor="text1"/>
        </w:rPr>
        <w:t xml:space="preserve">between January 2014 and September 2016. </w:t>
      </w:r>
      <w:bookmarkStart w:id="31" w:name="OLE_LINK5"/>
      <w:bookmarkStart w:id="32" w:name="OLE_LINK49"/>
      <w:bookmarkEnd w:id="30"/>
      <w:r>
        <w:rPr>
          <w:color w:val="000000" w:themeColor="text1"/>
        </w:rPr>
        <w:t xml:space="preserve">The detailed design </w:t>
      </w:r>
      <w:r>
        <w:rPr>
          <w:color w:val="000000" w:themeColor="text1"/>
        </w:rPr>
        <w:t xml:space="preserve">of this cohort has been previously described [23]. The cohort included patients </w:t>
      </w:r>
      <w:r>
        <w:rPr>
          <w:rFonts w:hint="eastAsia"/>
          <w:color w:val="000000" w:themeColor="text1"/>
        </w:rPr>
        <w:t>aged 18 years or older</w:t>
      </w:r>
      <w:r>
        <w:rPr>
          <w:color w:val="000000" w:themeColor="text1"/>
        </w:rPr>
        <w:t xml:space="preserve"> who arrived at the hospital within 72 hours of symptom onset. Exclusion criteria </w:t>
      </w:r>
      <w:r>
        <w:rPr>
          <w:rFonts w:hint="eastAsia"/>
          <w:color w:val="000000" w:themeColor="text1"/>
        </w:rPr>
        <w:t>encompassed</w:t>
      </w:r>
      <w:r>
        <w:rPr>
          <w:color w:val="000000" w:themeColor="text1"/>
        </w:rPr>
        <w:t xml:space="preserve"> a history of ICH or severe comorbidities</w:t>
      </w:r>
      <w:r>
        <w:rPr>
          <w:rFonts w:hint="eastAsia"/>
          <w:color w:val="000000" w:themeColor="text1"/>
        </w:rPr>
        <w:t>, including</w:t>
      </w:r>
      <w:r>
        <w:rPr>
          <w:color w:val="000000" w:themeColor="text1"/>
        </w:rPr>
        <w:t>: (</w:t>
      </w:r>
      <w:proofErr w:type="spellStart"/>
      <w:r>
        <w:rPr>
          <w:color w:val="000000" w:themeColor="text1"/>
        </w:rPr>
        <w:t>i</w:t>
      </w:r>
      <w:proofErr w:type="spellEnd"/>
      <w:r>
        <w:rPr>
          <w:color w:val="000000" w:themeColor="text1"/>
        </w:rPr>
        <w:t>) Chi</w:t>
      </w:r>
      <w:r>
        <w:rPr>
          <w:color w:val="000000" w:themeColor="text1"/>
        </w:rPr>
        <w:t>ld-Pugh class C hepatic failure; (ii) renal failure (estimated glomerular filtration rate &lt;15 mL/min/1.73 m²); (iii) heart failure (left ventricular ejection fraction &lt;40%); and (iv) malignancy with a life expectancy of less than 3 months. A total of 1,964</w:t>
      </w:r>
      <w:r>
        <w:rPr>
          <w:color w:val="000000" w:themeColor="text1"/>
        </w:rPr>
        <w:t xml:space="preserve"> eligible patients were enrolled in the cohort. </w:t>
      </w:r>
      <w:bookmarkStart w:id="33" w:name="OLE_LINK50"/>
      <w:r>
        <w:rPr>
          <w:color w:val="000000" w:themeColor="text1"/>
        </w:rPr>
        <w:t xml:space="preserve">For the current analysis, patients with incomplete admission SBP or HR data (n=181) or </w:t>
      </w:r>
      <w:r>
        <w:rPr>
          <w:rFonts w:hint="eastAsia"/>
          <w:color w:val="000000" w:themeColor="text1"/>
        </w:rPr>
        <w:t>lacking</w:t>
      </w:r>
      <w:r>
        <w:rPr>
          <w:color w:val="000000" w:themeColor="text1"/>
        </w:rPr>
        <w:t xml:space="preserve"> follow-up information (n=386) were further excluded.</w:t>
      </w:r>
      <w:r>
        <w:rPr>
          <w:rFonts w:eastAsia="宋体" w:hint="eastAsia"/>
          <w:color w:val="000000" w:themeColor="text1"/>
          <w:lang w:eastAsia="zh-CN"/>
        </w:rPr>
        <w:t xml:space="preserve"> Additionally, patients with atrial fibrillation (AF, n=33) w</w:t>
      </w:r>
      <w:r>
        <w:rPr>
          <w:rFonts w:eastAsia="宋体" w:hint="eastAsia"/>
          <w:color w:val="000000" w:themeColor="text1"/>
          <w:lang w:eastAsia="zh-CN"/>
        </w:rPr>
        <w:t>ere excluded because the irregular rhythm associated with AF renders HR an unreliable measure for estimating cardiac workload.</w:t>
      </w:r>
      <w:r>
        <w:rPr>
          <w:color w:val="000000" w:themeColor="text1"/>
        </w:rPr>
        <w:t xml:space="preserve"> </w:t>
      </w:r>
      <w:bookmarkEnd w:id="33"/>
      <w:r>
        <w:rPr>
          <w:color w:val="000000" w:themeColor="text1"/>
        </w:rPr>
        <w:t>Ultimately, 1,364 patients were included in the final analysis</w:t>
      </w:r>
      <w:bookmarkEnd w:id="31"/>
      <w:r>
        <w:rPr>
          <w:color w:val="000000" w:themeColor="text1"/>
        </w:rPr>
        <w:t>.</w:t>
      </w:r>
    </w:p>
    <w:bookmarkEnd w:id="32"/>
    <w:p w14:paraId="4D0623E5" w14:textId="77777777" w:rsidR="00CC3835" w:rsidRDefault="00CC3835">
      <w:pPr>
        <w:pStyle w:val="Text"/>
        <w:ind w:firstLine="420"/>
        <w:rPr>
          <w:color w:val="000000" w:themeColor="text1"/>
        </w:rPr>
      </w:pPr>
    </w:p>
    <w:p w14:paraId="7F9BD464" w14:textId="77777777" w:rsidR="00CC3835" w:rsidRDefault="00256BAA">
      <w:pPr>
        <w:pStyle w:val="2"/>
        <w:rPr>
          <w:color w:val="000000" w:themeColor="text1"/>
        </w:rPr>
      </w:pPr>
      <w:bookmarkStart w:id="34" w:name="OLE_LINK6"/>
      <w:r>
        <w:rPr>
          <w:rFonts w:hint="eastAsia"/>
          <w:color w:val="000000" w:themeColor="text1"/>
        </w:rPr>
        <w:t xml:space="preserve">2.2 </w:t>
      </w:r>
      <w:r>
        <w:rPr>
          <w:color w:val="000000" w:themeColor="text1"/>
        </w:rPr>
        <w:t xml:space="preserve">Clinical </w:t>
      </w:r>
      <w:r>
        <w:rPr>
          <w:rFonts w:hint="eastAsia"/>
          <w:color w:val="000000" w:themeColor="text1"/>
        </w:rPr>
        <w:t>D</w:t>
      </w:r>
      <w:r>
        <w:rPr>
          <w:color w:val="000000" w:themeColor="text1"/>
        </w:rPr>
        <w:t xml:space="preserve">ata </w:t>
      </w:r>
      <w:r>
        <w:rPr>
          <w:rFonts w:hint="eastAsia"/>
          <w:color w:val="000000" w:themeColor="text1"/>
        </w:rPr>
        <w:t>C</w:t>
      </w:r>
      <w:r>
        <w:rPr>
          <w:color w:val="000000" w:themeColor="text1"/>
        </w:rPr>
        <w:t>ollection</w:t>
      </w:r>
    </w:p>
    <w:p w14:paraId="182FF61E" w14:textId="235579CF" w:rsidR="00CC3835" w:rsidRDefault="00256BAA">
      <w:pPr>
        <w:pStyle w:val="Text"/>
        <w:ind w:firstLine="420"/>
        <w:rPr>
          <w:color w:val="000000" w:themeColor="text1"/>
        </w:rPr>
      </w:pPr>
      <w:r>
        <w:rPr>
          <w:color w:val="000000" w:themeColor="text1"/>
        </w:rPr>
        <w:t xml:space="preserve">Standardized questionnaires </w:t>
      </w:r>
      <w:r>
        <w:rPr>
          <w:rFonts w:eastAsia="宋体" w:hint="eastAsia"/>
          <w:color w:val="000000" w:themeColor="text1"/>
          <w:lang w:eastAsia="zh-CN"/>
        </w:rPr>
        <w:t xml:space="preserve">were </w:t>
      </w:r>
      <w:r>
        <w:rPr>
          <w:rFonts w:hint="eastAsia"/>
          <w:color w:val="000000" w:themeColor="text1"/>
        </w:rPr>
        <w:t>em</w:t>
      </w:r>
      <w:r>
        <w:rPr>
          <w:rFonts w:hint="eastAsia"/>
          <w:color w:val="000000" w:themeColor="text1"/>
        </w:rPr>
        <w:t xml:space="preserve">ployed to gather </w:t>
      </w:r>
      <w:r>
        <w:rPr>
          <w:color w:val="000000" w:themeColor="text1"/>
        </w:rPr>
        <w:t xml:space="preserve">comprehensive clinical information, </w:t>
      </w:r>
      <w:r>
        <w:rPr>
          <w:rFonts w:hint="eastAsia"/>
          <w:color w:val="000000" w:themeColor="text1"/>
        </w:rPr>
        <w:t>encompassing</w:t>
      </w:r>
      <w:r>
        <w:rPr>
          <w:color w:val="000000" w:themeColor="text1"/>
        </w:rPr>
        <w:t xml:space="preserve"> demographics (age and sex), lifestyle factors (smoking and alcohol intake), medical history (hypertension, diabetes mellitus, dyslipidemia, ischemic stroke, and myocardial infarction)</w:t>
      </w:r>
      <w:r>
        <w:rPr>
          <w:rFonts w:eastAsia="宋体" w:hint="eastAsia"/>
          <w:color w:val="000000" w:themeColor="text1"/>
          <w:lang w:eastAsia="zh-CN"/>
        </w:rPr>
        <w:t>, and i</w:t>
      </w:r>
      <w:r>
        <w:rPr>
          <w:rFonts w:eastAsia="宋体" w:hint="eastAsia"/>
          <w:color w:val="000000" w:themeColor="text1"/>
          <w:lang w:eastAsia="zh-CN"/>
        </w:rPr>
        <w:t>n-hospital medications (antihypertensive, antidiabetic, and lipid-lowering agents)</w:t>
      </w:r>
      <w:r>
        <w:rPr>
          <w:color w:val="000000" w:themeColor="text1"/>
        </w:rPr>
        <w:t xml:space="preserve">. </w:t>
      </w:r>
      <w:r>
        <w:rPr>
          <w:rFonts w:hint="eastAsia"/>
          <w:color w:val="000000" w:themeColor="text1"/>
        </w:rPr>
        <w:t>The pre-morbid functional status was evaluated</w:t>
      </w:r>
      <w:r>
        <w:rPr>
          <w:color w:val="000000" w:themeColor="text1"/>
        </w:rPr>
        <w:t xml:space="preserve"> using the modified Rankin Scale (mRS)</w:t>
      </w:r>
      <w:r>
        <w:rPr>
          <w:color w:val="000000" w:themeColor="text1"/>
          <w:shd w:val="clear" w:color="auto" w:fill="FFFFFF"/>
        </w:rPr>
        <w:t xml:space="preserve"> </w:t>
      </w:r>
      <w:r>
        <w:rPr>
          <w:color w:val="000000" w:themeColor="text1"/>
        </w:rPr>
        <w:t xml:space="preserve">by trained investigators. </w:t>
      </w:r>
      <w:r>
        <w:rPr>
          <w:rFonts w:hint="eastAsia"/>
          <w:color w:val="000000" w:themeColor="text1"/>
        </w:rPr>
        <w:t>Neurological deficit severity was assessed at admission utili</w:t>
      </w:r>
      <w:r>
        <w:rPr>
          <w:rFonts w:hint="eastAsia"/>
          <w:color w:val="000000" w:themeColor="text1"/>
        </w:rPr>
        <w:t>zing the Glasgow Coma Scale (GCS). Neuroimaging assessments were conducted based on the initial computed tomography scan obtained within 24 hours of admission to ascertain hematoma characteristics, including location (lobar, deep, infratentorial</w:t>
      </w:r>
      <w:r>
        <w:rPr>
          <w:rFonts w:eastAsia="宋体" w:hint="eastAsia"/>
          <w:color w:val="000000" w:themeColor="text1"/>
          <w:lang w:eastAsia="zh-CN"/>
        </w:rPr>
        <w:t>,</w:t>
      </w:r>
      <w:r>
        <w:rPr>
          <w:rFonts w:eastAsia="宋体" w:hint="eastAsia"/>
          <w:color w:val="FF0000"/>
          <w:lang w:eastAsia="zh-CN"/>
        </w:rPr>
        <w:t xml:space="preserve"> </w:t>
      </w:r>
      <w:r w:rsidR="00D53386">
        <w:rPr>
          <w:rFonts w:eastAsia="宋体" w:hint="eastAsia"/>
          <w:color w:val="FF0000"/>
          <w:lang w:eastAsia="zh-CN"/>
        </w:rPr>
        <w:t xml:space="preserve">and </w:t>
      </w:r>
      <w:r>
        <w:rPr>
          <w:rFonts w:eastAsia="宋体" w:hint="eastAsia"/>
          <w:color w:val="FF0000"/>
          <w:lang w:eastAsia="zh-CN"/>
        </w:rPr>
        <w:t>ventr</w:t>
      </w:r>
      <w:r>
        <w:rPr>
          <w:rFonts w:eastAsia="宋体" w:hint="eastAsia"/>
          <w:color w:val="FF0000"/>
          <w:lang w:eastAsia="zh-CN"/>
        </w:rPr>
        <w:t>icular</w:t>
      </w:r>
      <w:r>
        <w:rPr>
          <w:rFonts w:hint="eastAsia"/>
          <w:color w:val="000000" w:themeColor="text1"/>
        </w:rPr>
        <w:t>), volume, and the presence of intraventricular extension.</w:t>
      </w:r>
      <w:r>
        <w:rPr>
          <w:color w:val="000000" w:themeColor="text1"/>
        </w:rPr>
        <w:t xml:space="preserve"> </w:t>
      </w:r>
    </w:p>
    <w:bookmarkEnd w:id="34"/>
    <w:p w14:paraId="0301A50F" w14:textId="77777777" w:rsidR="00CC3835" w:rsidRDefault="00CC3835">
      <w:pPr>
        <w:spacing w:line="360" w:lineRule="auto"/>
        <w:rPr>
          <w:rFonts w:ascii="Times New Roman" w:hAnsi="Times New Roman"/>
          <w:b/>
          <w:bCs/>
          <w:color w:val="000000" w:themeColor="text1"/>
          <w:sz w:val="22"/>
          <w:szCs w:val="22"/>
        </w:rPr>
      </w:pPr>
    </w:p>
    <w:p w14:paraId="7125E0DA" w14:textId="77777777" w:rsidR="00CC3835" w:rsidRDefault="00256BAA">
      <w:pPr>
        <w:pStyle w:val="2"/>
        <w:rPr>
          <w:rFonts w:eastAsia="宋体"/>
          <w:color w:val="000000" w:themeColor="text1"/>
        </w:rPr>
      </w:pPr>
      <w:r>
        <w:rPr>
          <w:rFonts w:hint="eastAsia"/>
          <w:color w:val="000000" w:themeColor="text1"/>
        </w:rPr>
        <w:t xml:space="preserve">2.3 </w:t>
      </w:r>
      <w:r>
        <w:rPr>
          <w:color w:val="000000" w:themeColor="text1"/>
        </w:rPr>
        <w:t>RPP Calculation</w:t>
      </w:r>
    </w:p>
    <w:p w14:paraId="552FF213" w14:textId="3F9E5901" w:rsidR="00CC3835" w:rsidRDefault="00256BAA">
      <w:pPr>
        <w:pStyle w:val="Text"/>
        <w:ind w:firstLine="420"/>
        <w:rPr>
          <w:rFonts w:eastAsia="宋体"/>
          <w:color w:val="000000" w:themeColor="text1"/>
          <w:lang w:eastAsia="zh-CN"/>
        </w:rPr>
      </w:pPr>
      <w:r>
        <w:rPr>
          <w:rFonts w:hint="eastAsia"/>
          <w:color w:val="000000" w:themeColor="text1"/>
        </w:rPr>
        <w:t xml:space="preserve">Early cardiac workload was </w:t>
      </w:r>
      <w:r>
        <w:rPr>
          <w:rFonts w:eastAsia="宋体" w:hint="eastAsia"/>
          <w:color w:val="000000" w:themeColor="text1"/>
          <w:lang w:eastAsia="zh-CN"/>
        </w:rPr>
        <w:t>quantified</w:t>
      </w:r>
      <w:r>
        <w:rPr>
          <w:rFonts w:hint="eastAsia"/>
          <w:color w:val="000000" w:themeColor="text1"/>
        </w:rPr>
        <w:t xml:space="preserve"> </w:t>
      </w:r>
      <w:r>
        <w:rPr>
          <w:rFonts w:eastAsia="宋体" w:hint="eastAsia"/>
          <w:color w:val="000000" w:themeColor="text1"/>
          <w:lang w:eastAsia="zh-CN"/>
        </w:rPr>
        <w:t>using</w:t>
      </w:r>
      <w:r>
        <w:rPr>
          <w:rFonts w:hint="eastAsia"/>
          <w:color w:val="000000" w:themeColor="text1"/>
        </w:rPr>
        <w:t xml:space="preserve"> the RPP </w:t>
      </w:r>
      <w:r>
        <w:rPr>
          <w:rFonts w:eastAsia="宋体" w:hint="eastAsia"/>
          <w:color w:val="000000" w:themeColor="text1"/>
          <w:lang w:eastAsia="zh-CN"/>
        </w:rPr>
        <w:t>measured at admission within 72 hours of symptom onset (the cohort's enrollment window), calculated as: [HR (b</w:t>
      </w:r>
      <w:r w:rsidR="00D53386">
        <w:rPr>
          <w:rFonts w:eastAsia="宋体" w:hint="eastAsia"/>
          <w:color w:val="000000" w:themeColor="text1"/>
          <w:lang w:eastAsia="zh-CN"/>
        </w:rPr>
        <w:t>pm</w:t>
      </w:r>
      <w:r>
        <w:rPr>
          <w:rFonts w:eastAsia="宋体" w:hint="eastAsia"/>
          <w:color w:val="000000" w:themeColor="text1"/>
          <w:lang w:eastAsia="zh-CN"/>
        </w:rPr>
        <w:t xml:space="preserve">) </w:t>
      </w:r>
      <w:r>
        <w:rPr>
          <w:rFonts w:eastAsia="宋体" w:hint="eastAsia"/>
          <w:color w:val="000000" w:themeColor="text1"/>
          <w:lang w:eastAsia="zh-CN"/>
        </w:rPr>
        <w:t>×</w:t>
      </w:r>
      <w:r>
        <w:rPr>
          <w:rFonts w:eastAsia="宋体" w:hint="eastAsia"/>
          <w:color w:val="000000" w:themeColor="text1"/>
          <w:lang w:eastAsia="zh-CN"/>
        </w:rPr>
        <w:t xml:space="preserve"> SBP (mmHg)] / 1000 [20]. Both SBP and HR were measured after a 5-minute rest period in a quiet environment, prior to the administration of any in-hospital medications. SBP was assessed using a mercury manometer while the patient was either seated or supin</w:t>
      </w:r>
      <w:r>
        <w:rPr>
          <w:rFonts w:eastAsia="宋体" w:hint="eastAsia"/>
          <w:color w:val="000000" w:themeColor="text1"/>
          <w:lang w:eastAsia="zh-CN"/>
        </w:rPr>
        <w:t>e, and HR was derived from a 10-second, 12-lead electrocardiogram.</w:t>
      </w:r>
    </w:p>
    <w:p w14:paraId="2B669C71" w14:textId="77777777" w:rsidR="00CC3835" w:rsidRDefault="00CC3835">
      <w:pPr>
        <w:spacing w:line="360" w:lineRule="auto"/>
        <w:rPr>
          <w:rFonts w:ascii="Times New Roman" w:hAnsi="Times New Roman"/>
          <w:b/>
          <w:bCs/>
          <w:color w:val="000000" w:themeColor="text1"/>
          <w:sz w:val="22"/>
          <w:szCs w:val="22"/>
        </w:rPr>
      </w:pPr>
    </w:p>
    <w:p w14:paraId="1A8C7737" w14:textId="77777777" w:rsidR="00CC3835" w:rsidRDefault="00256BAA">
      <w:pPr>
        <w:spacing w:line="360" w:lineRule="auto"/>
        <w:rPr>
          <w:rFonts w:ascii="Times New Roman" w:eastAsia="Times New Roman" w:hAnsi="Times New Roman"/>
          <w:b/>
          <w:bCs/>
          <w:i/>
          <w:color w:val="000000" w:themeColor="text1"/>
          <w:sz w:val="21"/>
          <w:szCs w:val="21"/>
        </w:rPr>
      </w:pPr>
      <w:bookmarkStart w:id="35" w:name="OLE_LINK7"/>
      <w:r>
        <w:rPr>
          <w:rFonts w:ascii="Times New Roman" w:eastAsia="Times New Roman" w:hAnsi="Times New Roman" w:hint="eastAsia"/>
          <w:b/>
          <w:bCs/>
          <w:i/>
          <w:color w:val="000000" w:themeColor="text1"/>
          <w:sz w:val="21"/>
          <w:szCs w:val="21"/>
        </w:rPr>
        <w:t>2.4 Follow-Up and Clinical Outcomes</w:t>
      </w:r>
    </w:p>
    <w:p w14:paraId="19C63C7E" w14:textId="77777777" w:rsidR="00CC3835" w:rsidRDefault="00256BAA">
      <w:pPr>
        <w:pStyle w:val="Text"/>
        <w:ind w:firstLine="420"/>
        <w:rPr>
          <w:color w:val="000000" w:themeColor="text1"/>
        </w:rPr>
      </w:pPr>
      <w:r>
        <w:rPr>
          <w:rFonts w:hint="eastAsia"/>
          <w:color w:val="000000" w:themeColor="text1"/>
        </w:rPr>
        <w:t>Patients were followed up through telephone interviews at 90 days and 1 year</w:t>
      </w:r>
      <w:r>
        <w:rPr>
          <w:color w:val="000000" w:themeColor="text1"/>
        </w:rPr>
        <w:t xml:space="preserve"> after the onset </w:t>
      </w:r>
      <w:r>
        <w:rPr>
          <w:rFonts w:hint="eastAsia"/>
          <w:color w:val="000000" w:themeColor="text1"/>
        </w:rPr>
        <w:t>of symptoms to evaluate their</w:t>
      </w:r>
      <w:r>
        <w:rPr>
          <w:rFonts w:eastAsia="宋体" w:hint="eastAsia"/>
          <w:color w:val="000000" w:themeColor="text1"/>
          <w:lang w:eastAsia="zh-CN"/>
        </w:rPr>
        <w:t xml:space="preserve"> </w:t>
      </w:r>
      <w:r>
        <w:rPr>
          <w:color w:val="000000" w:themeColor="text1"/>
        </w:rPr>
        <w:t xml:space="preserve">mRS scores. </w:t>
      </w:r>
      <w:r>
        <w:rPr>
          <w:rFonts w:hint="eastAsia"/>
          <w:color w:val="000000" w:themeColor="text1"/>
        </w:rPr>
        <w:t xml:space="preserve">The primary </w:t>
      </w:r>
      <w:r>
        <w:rPr>
          <w:rFonts w:hint="eastAsia"/>
          <w:color w:val="000000" w:themeColor="text1"/>
        </w:rPr>
        <w:t>outcomes included</w:t>
      </w:r>
      <w:r>
        <w:rPr>
          <w:color w:val="000000" w:themeColor="text1"/>
        </w:rPr>
        <w:t xml:space="preserve"> </w:t>
      </w:r>
      <w:bookmarkStart w:id="36" w:name="OLE_LINK38"/>
      <w:r>
        <w:rPr>
          <w:color w:val="000000" w:themeColor="text1"/>
        </w:rPr>
        <w:t>unfavorable functional outcome</w:t>
      </w:r>
      <w:bookmarkEnd w:id="36"/>
      <w:r>
        <w:rPr>
          <w:color w:val="000000" w:themeColor="text1"/>
        </w:rPr>
        <w:t xml:space="preserve">, defined as an mRS score of &gt;3, and all-cause mortality. All outcome assessors were blinded to the patients' baseline clinical and imaging </w:t>
      </w:r>
      <w:r>
        <w:rPr>
          <w:rFonts w:eastAsia="宋体" w:hint="eastAsia"/>
          <w:color w:val="000000" w:themeColor="text1"/>
          <w:lang w:eastAsia="zh-CN"/>
        </w:rPr>
        <w:t>data</w:t>
      </w:r>
      <w:r>
        <w:rPr>
          <w:color w:val="000000" w:themeColor="text1"/>
        </w:rPr>
        <w:t>.</w:t>
      </w:r>
    </w:p>
    <w:bookmarkEnd w:id="35"/>
    <w:p w14:paraId="650B7A80" w14:textId="77777777" w:rsidR="00CC3835" w:rsidRDefault="00CC3835">
      <w:pPr>
        <w:spacing w:line="360" w:lineRule="auto"/>
        <w:rPr>
          <w:rFonts w:ascii="Times New Roman" w:hAnsi="Times New Roman"/>
          <w:color w:val="000000" w:themeColor="text1"/>
          <w:sz w:val="22"/>
          <w:szCs w:val="22"/>
        </w:rPr>
      </w:pPr>
    </w:p>
    <w:p w14:paraId="04675A58" w14:textId="77777777" w:rsidR="00CC3835" w:rsidRDefault="00256BAA">
      <w:pPr>
        <w:pStyle w:val="2"/>
        <w:rPr>
          <w:color w:val="000000" w:themeColor="text1"/>
        </w:rPr>
      </w:pPr>
      <w:bookmarkStart w:id="37" w:name="OLE_LINK8"/>
      <w:r>
        <w:rPr>
          <w:rFonts w:hint="eastAsia"/>
          <w:color w:val="000000" w:themeColor="text1"/>
        </w:rPr>
        <w:lastRenderedPageBreak/>
        <w:t>2.5 Statistical Analysis</w:t>
      </w:r>
    </w:p>
    <w:p w14:paraId="0C018D48" w14:textId="77777777" w:rsidR="00CC3835" w:rsidRDefault="00256BAA">
      <w:pPr>
        <w:pStyle w:val="Text"/>
        <w:ind w:firstLine="420"/>
        <w:rPr>
          <w:rFonts w:eastAsia="宋体"/>
          <w:color w:val="000000" w:themeColor="text1"/>
        </w:rPr>
      </w:pPr>
      <w:r>
        <w:rPr>
          <w:color w:val="000000" w:themeColor="text1"/>
        </w:rPr>
        <w:t xml:space="preserve">Continuous variables </w:t>
      </w:r>
      <w:r>
        <w:rPr>
          <w:rFonts w:hint="eastAsia"/>
          <w:color w:val="000000" w:themeColor="text1"/>
        </w:rPr>
        <w:t>exhibiting</w:t>
      </w:r>
      <w:r>
        <w:rPr>
          <w:color w:val="000000" w:themeColor="text1"/>
        </w:rPr>
        <w:t xml:space="preserve"> non-</w:t>
      </w:r>
      <w:r>
        <w:rPr>
          <w:color w:val="000000" w:themeColor="text1"/>
        </w:rPr>
        <w:t xml:space="preserve">normal distribution were </w:t>
      </w:r>
      <w:r>
        <w:rPr>
          <w:rFonts w:hint="eastAsia"/>
          <w:color w:val="000000" w:themeColor="text1"/>
        </w:rPr>
        <w:t>presented</w:t>
      </w:r>
      <w:r>
        <w:rPr>
          <w:color w:val="000000" w:themeColor="text1"/>
        </w:rPr>
        <w:t xml:space="preserve"> as medians with interquartile ranges (IQRs), </w:t>
      </w:r>
      <w:r>
        <w:rPr>
          <w:rFonts w:hint="eastAsia"/>
          <w:color w:val="000000" w:themeColor="text1"/>
        </w:rPr>
        <w:t>whereas</w:t>
      </w:r>
      <w:r>
        <w:rPr>
          <w:color w:val="000000" w:themeColor="text1"/>
        </w:rPr>
        <w:t xml:space="preserve"> categorical variables were </w:t>
      </w:r>
      <w:r>
        <w:rPr>
          <w:rFonts w:hint="eastAsia"/>
          <w:color w:val="000000" w:themeColor="text1"/>
        </w:rPr>
        <w:t>displayed</w:t>
      </w:r>
      <w:r>
        <w:rPr>
          <w:color w:val="000000" w:themeColor="text1"/>
        </w:rPr>
        <w:t xml:space="preserve"> as counts and percentages. </w:t>
      </w:r>
      <w:r>
        <w:rPr>
          <w:rFonts w:eastAsia="宋体" w:hint="eastAsia"/>
          <w:color w:val="000000" w:themeColor="text1"/>
          <w:lang w:eastAsia="zh-CN"/>
        </w:rPr>
        <w:t xml:space="preserve">The </w:t>
      </w:r>
      <w:r>
        <w:rPr>
          <w:color w:val="000000" w:themeColor="text1"/>
        </w:rPr>
        <w:t xml:space="preserve">Kruskal-Wallis test and the chi-square test (or Fisher's exact test when appropriate) were </w:t>
      </w:r>
      <w:r>
        <w:rPr>
          <w:rFonts w:hint="eastAsia"/>
          <w:color w:val="000000" w:themeColor="text1"/>
        </w:rPr>
        <w:t>employed</w:t>
      </w:r>
      <w:r>
        <w:rPr>
          <w:color w:val="000000" w:themeColor="text1"/>
        </w:rPr>
        <w:t xml:space="preserve"> </w:t>
      </w:r>
      <w:r>
        <w:rPr>
          <w:color w:val="000000" w:themeColor="text1"/>
        </w:rPr>
        <w:t xml:space="preserve">to compare baseline characteristics across </w:t>
      </w:r>
      <w:r>
        <w:rPr>
          <w:rFonts w:eastAsia="宋体" w:hint="eastAsia"/>
          <w:color w:val="000000" w:themeColor="text1"/>
          <w:lang w:eastAsia="zh-CN"/>
        </w:rPr>
        <w:t xml:space="preserve">the </w:t>
      </w:r>
      <w:r>
        <w:rPr>
          <w:color w:val="000000" w:themeColor="text1"/>
        </w:rPr>
        <w:t>quartiles of RPP (Q1, Q2, Q3, and Q4).</w:t>
      </w:r>
      <w:bookmarkStart w:id="38" w:name="OLE_LINK52"/>
      <w:r>
        <w:rPr>
          <w:rFonts w:eastAsia="宋体"/>
          <w:color w:val="000000" w:themeColor="text1"/>
        </w:rPr>
        <w:t xml:space="preserve"> </w:t>
      </w:r>
    </w:p>
    <w:p w14:paraId="3295B62F" w14:textId="77777777" w:rsidR="00CC3835" w:rsidRDefault="00CC3835">
      <w:pPr>
        <w:pStyle w:val="Text"/>
        <w:ind w:firstLine="420"/>
        <w:rPr>
          <w:rFonts w:eastAsia="宋体"/>
          <w:color w:val="000000" w:themeColor="text1"/>
        </w:rPr>
      </w:pPr>
    </w:p>
    <w:p w14:paraId="347AF74D" w14:textId="77777777" w:rsidR="00CC3835" w:rsidRDefault="00256BAA">
      <w:pPr>
        <w:pStyle w:val="Text"/>
        <w:ind w:firstLine="420"/>
        <w:rPr>
          <w:bCs/>
          <w:color w:val="000000" w:themeColor="text1"/>
        </w:rPr>
      </w:pPr>
      <w:r>
        <w:rPr>
          <w:rFonts w:eastAsia="宋体" w:hint="eastAsia"/>
          <w:color w:val="000000" w:themeColor="text1"/>
          <w:lang w:eastAsia="zh-CN"/>
        </w:rPr>
        <w:t xml:space="preserve">Associations of </w:t>
      </w:r>
      <w:r>
        <w:rPr>
          <w:color w:val="000000" w:themeColor="text1"/>
        </w:rPr>
        <w:t xml:space="preserve">RPP </w:t>
      </w:r>
      <w:r>
        <w:rPr>
          <w:rFonts w:eastAsia="宋体" w:hint="eastAsia"/>
          <w:color w:val="000000" w:themeColor="text1"/>
          <w:lang w:eastAsia="zh-CN"/>
        </w:rPr>
        <w:t>with</w:t>
      </w:r>
      <w:r>
        <w:rPr>
          <w:color w:val="000000" w:themeColor="text1"/>
        </w:rPr>
        <w:t xml:space="preserve"> </w:t>
      </w:r>
      <w:r>
        <w:rPr>
          <w:rFonts w:hint="eastAsia"/>
          <w:color w:val="000000" w:themeColor="text1"/>
        </w:rPr>
        <w:t>unfavorable functional</w:t>
      </w:r>
      <w:r>
        <w:rPr>
          <w:color w:val="000000" w:themeColor="text1"/>
        </w:rPr>
        <w:t xml:space="preserve"> outcomes</w:t>
      </w:r>
      <w:r>
        <w:rPr>
          <w:rFonts w:eastAsia="宋体" w:hint="eastAsia"/>
          <w:color w:val="000000" w:themeColor="text1"/>
          <w:lang w:eastAsia="zh-CN"/>
        </w:rPr>
        <w:t xml:space="preserve"> and all-cause mortality were evaluated using m</w:t>
      </w:r>
      <w:r>
        <w:rPr>
          <w:color w:val="000000" w:themeColor="text1"/>
        </w:rPr>
        <w:t>ultivariable logistic regression</w:t>
      </w:r>
      <w:r>
        <w:rPr>
          <w:rFonts w:eastAsia="宋体" w:hint="eastAsia"/>
          <w:color w:val="000000" w:themeColor="text1"/>
          <w:lang w:eastAsia="zh-CN"/>
        </w:rPr>
        <w:t xml:space="preserve"> and Cox proportional hazards models, respectively. </w:t>
      </w:r>
      <w:r>
        <w:rPr>
          <w:rFonts w:hint="eastAsia"/>
          <w:color w:val="000000" w:themeColor="text1"/>
        </w:rPr>
        <w:t>RPP was modeled both continuously</w:t>
      </w:r>
      <w:r>
        <w:rPr>
          <w:rFonts w:eastAsia="宋体" w:hint="eastAsia"/>
          <w:color w:val="000000" w:themeColor="text1"/>
          <w:lang w:eastAsia="zh-CN"/>
        </w:rPr>
        <w:t xml:space="preserve"> and categorically</w:t>
      </w:r>
      <w:r>
        <w:rPr>
          <w:color w:val="000000" w:themeColor="text1"/>
        </w:rPr>
        <w:t xml:space="preserve"> by quartiles.</w:t>
      </w:r>
      <w:r>
        <w:rPr>
          <w:rFonts w:eastAsia="宋体" w:hint="eastAsia"/>
          <w:color w:val="000000" w:themeColor="text1"/>
          <w:lang w:eastAsia="zh-CN"/>
        </w:rPr>
        <w:t xml:space="preserve"> Four </w:t>
      </w:r>
      <w:r>
        <w:rPr>
          <w:color w:val="000000" w:themeColor="text1"/>
        </w:rPr>
        <w:t xml:space="preserve">sequential models were </w:t>
      </w:r>
      <w:r>
        <w:rPr>
          <w:rFonts w:eastAsia="宋体" w:hint="eastAsia"/>
          <w:color w:val="000000" w:themeColor="text1"/>
          <w:lang w:eastAsia="zh-CN"/>
        </w:rPr>
        <w:t>fitted</w:t>
      </w:r>
      <w:r>
        <w:rPr>
          <w:color w:val="000000" w:themeColor="text1"/>
        </w:rPr>
        <w:t>: Model 1, unadjusted; Model 2, adjusted for age and sex; Model 3, additionally adjusted for smoking, al</w:t>
      </w:r>
      <w:r>
        <w:rPr>
          <w:color w:val="000000" w:themeColor="text1"/>
        </w:rPr>
        <w:t>cohol intake, medical history (hypertension, diabetes mellitus, dyslipidemia, ischemic stroke, myocardial infarction), mRS before onset</w:t>
      </w:r>
      <w:r>
        <w:rPr>
          <w:rFonts w:eastAsia="宋体"/>
          <w:color w:val="000000" w:themeColor="text1"/>
        </w:rPr>
        <w:t xml:space="preserve">, </w:t>
      </w:r>
      <w:r>
        <w:rPr>
          <w:color w:val="000000" w:themeColor="text1"/>
        </w:rPr>
        <w:t>admission GCS, location of hematoma, hematoma volume,</w:t>
      </w:r>
      <w:r>
        <w:rPr>
          <w:rFonts w:eastAsia="宋体"/>
          <w:color w:val="000000" w:themeColor="text1"/>
        </w:rPr>
        <w:t xml:space="preserve"> and</w:t>
      </w:r>
      <w:r>
        <w:rPr>
          <w:color w:val="000000" w:themeColor="text1"/>
        </w:rPr>
        <w:t xml:space="preserve"> intraventricular extension</w:t>
      </w:r>
      <w:r>
        <w:rPr>
          <w:rFonts w:eastAsia="宋体" w:hint="eastAsia"/>
          <w:color w:val="000000" w:themeColor="text1"/>
          <w:lang w:eastAsia="zh-CN"/>
        </w:rPr>
        <w:t>; Model 4, further adjusted for in-</w:t>
      </w:r>
      <w:r>
        <w:rPr>
          <w:rFonts w:eastAsia="宋体" w:hint="eastAsia"/>
          <w:color w:val="000000" w:themeColor="text1"/>
          <w:lang w:eastAsia="zh-CN"/>
        </w:rPr>
        <w:t>hospital medications (antihypertensive, antidiabetic, and lipid-lowering agents)</w:t>
      </w:r>
      <w:r>
        <w:rPr>
          <w:color w:val="000000" w:themeColor="text1"/>
        </w:rPr>
        <w:t xml:space="preserve">. Trend test was used to assess the impact of RPP elevation across quartiles on </w:t>
      </w:r>
      <w:bookmarkStart w:id="39" w:name="OLE_LINK37"/>
      <w:r>
        <w:rPr>
          <w:color w:val="000000" w:themeColor="text1"/>
        </w:rPr>
        <w:t>outcomes</w:t>
      </w:r>
      <w:bookmarkEnd w:id="39"/>
      <w:r>
        <w:rPr>
          <w:bCs/>
          <w:color w:val="000000" w:themeColor="text1"/>
        </w:rPr>
        <w:t>. To further assess the dose-response relationship, restricted cubic splines (RCS)</w:t>
      </w:r>
      <w:r>
        <w:rPr>
          <w:rFonts w:eastAsia="宋体"/>
          <w:bCs/>
          <w:color w:val="000000" w:themeColor="text1"/>
        </w:rPr>
        <w:t xml:space="preserve"> based</w:t>
      </w:r>
      <w:r>
        <w:rPr>
          <w:rFonts w:eastAsia="宋体"/>
          <w:bCs/>
          <w:color w:val="000000" w:themeColor="text1"/>
        </w:rPr>
        <w:t xml:space="preserve"> on Model </w:t>
      </w:r>
      <w:r>
        <w:rPr>
          <w:rFonts w:eastAsia="宋体" w:hint="eastAsia"/>
          <w:bCs/>
          <w:color w:val="000000" w:themeColor="text1"/>
          <w:lang w:eastAsia="zh-CN"/>
        </w:rPr>
        <w:t>4</w:t>
      </w:r>
      <w:r>
        <w:rPr>
          <w:rFonts w:eastAsia="宋体"/>
          <w:bCs/>
          <w:color w:val="000000" w:themeColor="text1"/>
        </w:rPr>
        <w:t xml:space="preserve"> </w:t>
      </w:r>
      <w:r>
        <w:rPr>
          <w:bCs/>
          <w:color w:val="000000" w:themeColor="text1"/>
        </w:rPr>
        <w:t>were employed, with</w:t>
      </w:r>
      <w:r>
        <w:rPr>
          <w:rFonts w:eastAsia="宋体"/>
          <w:bCs/>
          <w:color w:val="000000" w:themeColor="text1"/>
        </w:rPr>
        <w:t xml:space="preserve"> </w:t>
      </w:r>
      <w:r>
        <w:rPr>
          <w:rFonts w:eastAsia="宋体" w:hint="eastAsia"/>
          <w:bCs/>
          <w:color w:val="000000" w:themeColor="text1"/>
          <w:lang w:eastAsia="zh-CN"/>
        </w:rPr>
        <w:t>3</w:t>
      </w:r>
      <w:r>
        <w:rPr>
          <w:rFonts w:ascii="Times New Roman Regular" w:eastAsia="宋体" w:hAnsi="Times New Roman Regular" w:cs="Times New Roman Regular"/>
          <w:bCs/>
          <w:color w:val="000000" w:themeColor="text1"/>
          <w:lang w:eastAsia="zh-CN"/>
        </w:rPr>
        <w:t>–</w:t>
      </w:r>
      <w:r>
        <w:rPr>
          <w:rFonts w:eastAsia="宋体" w:hint="eastAsia"/>
          <w:bCs/>
          <w:color w:val="000000" w:themeColor="text1"/>
          <w:lang w:eastAsia="zh-CN"/>
        </w:rPr>
        <w:t>5</w:t>
      </w:r>
      <w:r>
        <w:rPr>
          <w:rFonts w:eastAsia="宋体" w:hint="eastAsia"/>
          <w:bCs/>
          <w:color w:val="000000" w:themeColor="text1"/>
        </w:rPr>
        <w:t xml:space="preserve"> knots selected according to</w:t>
      </w:r>
      <w:r>
        <w:rPr>
          <w:rFonts w:eastAsia="宋体" w:hint="eastAsia"/>
          <w:bCs/>
          <w:color w:val="000000" w:themeColor="text1"/>
          <w:lang w:eastAsia="zh-CN"/>
        </w:rPr>
        <w:t xml:space="preserve"> the</w:t>
      </w:r>
      <w:r>
        <w:rPr>
          <w:rFonts w:eastAsia="宋体" w:hint="eastAsia"/>
          <w:bCs/>
          <w:color w:val="000000" w:themeColor="text1"/>
        </w:rPr>
        <w:t xml:space="preserve"> Akaike Information Criterion and</w:t>
      </w:r>
      <w:r>
        <w:rPr>
          <w:rFonts w:eastAsia="宋体" w:hint="eastAsia"/>
          <w:bCs/>
          <w:color w:val="000000" w:themeColor="text1"/>
          <w:lang w:eastAsia="zh-CN"/>
        </w:rPr>
        <w:t xml:space="preserve"> </w:t>
      </w:r>
      <w:r>
        <w:rPr>
          <w:rFonts w:eastAsia="宋体" w:hint="eastAsia"/>
          <w:bCs/>
          <w:color w:val="000000" w:themeColor="text1"/>
        </w:rPr>
        <w:t>placed at prespecified percentiles</w:t>
      </w:r>
      <w:r>
        <w:rPr>
          <w:bCs/>
          <w:color w:val="000000" w:themeColor="text1"/>
        </w:rPr>
        <w:t xml:space="preserve">. </w:t>
      </w:r>
      <w:r>
        <w:rPr>
          <w:rFonts w:eastAsia="宋体" w:hint="eastAsia"/>
          <w:bCs/>
          <w:color w:val="000000" w:themeColor="text1"/>
          <w:lang w:eastAsia="zh-CN"/>
        </w:rPr>
        <w:t>S</w:t>
      </w:r>
      <w:r>
        <w:rPr>
          <w:bCs/>
          <w:color w:val="000000" w:themeColor="text1"/>
        </w:rPr>
        <w:t xml:space="preserve">hift analysis </w:t>
      </w:r>
      <w:r>
        <w:rPr>
          <w:rFonts w:hint="eastAsia"/>
          <w:bCs/>
          <w:color w:val="000000" w:themeColor="text1"/>
        </w:rPr>
        <w:t>of the full mRS distribution at 90 days and 1 year across RPP quartiles was conducted using ordinal logi</w:t>
      </w:r>
      <w:r>
        <w:rPr>
          <w:rFonts w:hint="eastAsia"/>
          <w:bCs/>
          <w:color w:val="000000" w:themeColor="text1"/>
        </w:rPr>
        <w:t>stic regression</w:t>
      </w:r>
      <w:r>
        <w:rPr>
          <w:rFonts w:eastAsia="宋体" w:hint="eastAsia"/>
          <w:bCs/>
          <w:color w:val="000000" w:themeColor="text1"/>
          <w:lang w:eastAsia="zh-CN"/>
        </w:rPr>
        <w:t xml:space="preserve"> and the Kruskal</w:t>
      </w:r>
      <w:r>
        <w:rPr>
          <w:rFonts w:ascii="Times New Roman Regular" w:eastAsia="宋体" w:hAnsi="Times New Roman Regular" w:cs="Times New Roman Regular"/>
          <w:bCs/>
          <w:color w:val="000000" w:themeColor="text1"/>
          <w:lang w:eastAsia="zh-CN"/>
        </w:rPr>
        <w:t>–</w:t>
      </w:r>
      <w:r>
        <w:rPr>
          <w:rFonts w:eastAsia="宋体" w:hint="eastAsia"/>
          <w:bCs/>
          <w:color w:val="000000" w:themeColor="text1"/>
          <w:lang w:eastAsia="zh-CN"/>
        </w:rPr>
        <w:t>Wallis test</w:t>
      </w:r>
      <w:r>
        <w:rPr>
          <w:bCs/>
          <w:color w:val="000000" w:themeColor="text1"/>
        </w:rPr>
        <w:t xml:space="preserve">. </w:t>
      </w:r>
      <w:bookmarkStart w:id="40" w:name="OLE_LINK10"/>
      <w:r>
        <w:rPr>
          <w:rFonts w:hint="eastAsia"/>
          <w:bCs/>
          <w:color w:val="000000" w:themeColor="text1"/>
        </w:rPr>
        <w:t>One-year survival across RPP quartiles was compared using Kaplan</w:t>
      </w:r>
      <w:r>
        <w:rPr>
          <w:rFonts w:eastAsia="宋体" w:hint="eastAsia"/>
          <w:bCs/>
          <w:color w:val="000000" w:themeColor="text1"/>
          <w:lang w:eastAsia="zh-CN"/>
        </w:rPr>
        <w:t>-</w:t>
      </w:r>
      <w:r>
        <w:rPr>
          <w:rFonts w:hint="eastAsia"/>
          <w:bCs/>
          <w:color w:val="000000" w:themeColor="text1"/>
        </w:rPr>
        <w:t>Meier curves and the log-rank test</w:t>
      </w:r>
      <w:r>
        <w:rPr>
          <w:bCs/>
          <w:color w:val="000000" w:themeColor="text1"/>
        </w:rPr>
        <w:t xml:space="preserve">. </w:t>
      </w:r>
      <w:bookmarkStart w:id="41" w:name="OLE_LINK51"/>
      <w:bookmarkEnd w:id="40"/>
      <w:r>
        <w:rPr>
          <w:bCs/>
          <w:color w:val="000000" w:themeColor="text1"/>
        </w:rPr>
        <w:t>The predictive ability of RPP, HR, and SBP was compared using C-statistics.</w:t>
      </w:r>
    </w:p>
    <w:p w14:paraId="6C6E10B9" w14:textId="77777777" w:rsidR="00CC3835" w:rsidRDefault="00256BAA">
      <w:pPr>
        <w:pStyle w:val="Text"/>
        <w:ind w:firstLine="420"/>
        <w:rPr>
          <w:bCs/>
          <w:color w:val="000000" w:themeColor="text1"/>
        </w:rPr>
      </w:pPr>
      <w:r>
        <w:rPr>
          <w:bCs/>
          <w:color w:val="000000" w:themeColor="text1"/>
        </w:rPr>
        <w:t xml:space="preserve"> </w:t>
      </w:r>
      <w:bookmarkEnd w:id="41"/>
    </w:p>
    <w:p w14:paraId="55847B8C" w14:textId="77777777" w:rsidR="00CC3835" w:rsidRDefault="00256BAA">
      <w:pPr>
        <w:pStyle w:val="Text"/>
        <w:ind w:firstLine="420"/>
        <w:rPr>
          <w:rFonts w:eastAsia="宋体"/>
          <w:color w:val="000000" w:themeColor="text1"/>
          <w:kern w:val="2"/>
          <w:lang w:eastAsia="zh-CN"/>
        </w:rPr>
      </w:pPr>
      <w:r>
        <w:rPr>
          <w:rFonts w:hint="eastAsia"/>
          <w:bCs/>
          <w:color w:val="000000" w:themeColor="text1"/>
        </w:rPr>
        <w:t>To assess the robustness of</w:t>
      </w:r>
      <w:r>
        <w:rPr>
          <w:rFonts w:eastAsia="宋体" w:hint="eastAsia"/>
          <w:bCs/>
          <w:color w:val="000000" w:themeColor="text1"/>
          <w:lang w:eastAsia="zh-CN"/>
        </w:rPr>
        <w:t xml:space="preserve"> the observed associations</w:t>
      </w:r>
      <w:r>
        <w:rPr>
          <w:rFonts w:hint="eastAsia"/>
          <w:bCs/>
          <w:color w:val="000000" w:themeColor="text1"/>
        </w:rPr>
        <w:t xml:space="preserve">, sensitivity analyses were performed by restricting the cohort to patients with onset-to-door times </w:t>
      </w:r>
      <w:r>
        <w:rPr>
          <w:rFonts w:eastAsia="宋体" w:hint="eastAsia"/>
          <w:bCs/>
          <w:color w:val="000000" w:themeColor="text1"/>
          <w:lang w:eastAsia="zh-CN"/>
        </w:rPr>
        <w:t>of</w:t>
      </w:r>
      <w:r>
        <w:rPr>
          <w:rFonts w:hint="eastAsia"/>
          <w:bCs/>
          <w:color w:val="000000" w:themeColor="text1"/>
        </w:rPr>
        <w:t xml:space="preserve"> ≤6 h, ≤12 h, and ≤24 h.</w:t>
      </w:r>
      <w:r>
        <w:rPr>
          <w:rFonts w:eastAsia="宋体" w:hint="eastAsia"/>
          <w:bCs/>
          <w:color w:val="000000" w:themeColor="text1"/>
          <w:lang w:eastAsia="zh-CN"/>
        </w:rPr>
        <w:t xml:space="preserve"> Furthermore,</w:t>
      </w:r>
      <w:r>
        <w:rPr>
          <w:rFonts w:hint="eastAsia"/>
          <w:bCs/>
          <w:color w:val="000000" w:themeColor="text1"/>
        </w:rPr>
        <w:t xml:space="preserve"> </w:t>
      </w:r>
      <w:r>
        <w:rPr>
          <w:bCs/>
          <w:color w:val="000000" w:themeColor="text1"/>
        </w:rPr>
        <w:t xml:space="preserve">subgroup </w:t>
      </w:r>
      <w:r>
        <w:rPr>
          <w:rFonts w:eastAsia="宋体" w:hint="eastAsia"/>
          <w:bCs/>
          <w:color w:val="000000" w:themeColor="text1"/>
        </w:rPr>
        <w:t>analy</w:t>
      </w:r>
      <w:r>
        <w:rPr>
          <w:rFonts w:eastAsia="宋体" w:hint="eastAsia"/>
          <w:bCs/>
          <w:color w:val="000000" w:themeColor="text1"/>
          <w:lang w:eastAsia="zh-CN"/>
        </w:rPr>
        <w:t>s</w:t>
      </w:r>
      <w:r>
        <w:rPr>
          <w:rFonts w:eastAsia="宋体" w:hint="eastAsia"/>
          <w:bCs/>
          <w:color w:val="000000" w:themeColor="text1"/>
        </w:rPr>
        <w:t>es</w:t>
      </w:r>
      <w:r>
        <w:rPr>
          <w:bCs/>
          <w:color w:val="000000" w:themeColor="text1"/>
        </w:rPr>
        <w:t xml:space="preserve"> were conducted to </w:t>
      </w:r>
      <w:r>
        <w:rPr>
          <w:rFonts w:hint="eastAsia"/>
          <w:bCs/>
          <w:color w:val="000000" w:themeColor="text1"/>
        </w:rPr>
        <w:t>assess the consistency of the findings across</w:t>
      </w:r>
      <w:r>
        <w:rPr>
          <w:rFonts w:eastAsia="宋体" w:hint="eastAsia"/>
          <w:bCs/>
          <w:color w:val="000000" w:themeColor="text1"/>
          <w:lang w:eastAsia="zh-CN"/>
        </w:rPr>
        <w:t xml:space="preserve"> differe</w:t>
      </w:r>
      <w:r>
        <w:rPr>
          <w:rFonts w:eastAsia="宋体" w:hint="eastAsia"/>
          <w:bCs/>
          <w:color w:val="000000" w:themeColor="text1"/>
          <w:lang w:eastAsia="zh-CN"/>
        </w:rPr>
        <w:t>nt populations:</w:t>
      </w:r>
      <w:r>
        <w:rPr>
          <w:bCs/>
          <w:color w:val="000000" w:themeColor="text1"/>
        </w:rPr>
        <w:t xml:space="preserve"> age</w:t>
      </w:r>
      <w:r>
        <w:rPr>
          <w:rFonts w:eastAsia="宋体" w:hint="eastAsia"/>
          <w:bCs/>
          <w:color w:val="000000" w:themeColor="text1"/>
          <w:lang w:eastAsia="zh-CN"/>
        </w:rPr>
        <w:t xml:space="preserve"> </w:t>
      </w:r>
      <w:r>
        <w:rPr>
          <w:rFonts w:hint="eastAsia"/>
          <w:bCs/>
          <w:color w:val="000000" w:themeColor="text1"/>
        </w:rPr>
        <w:t xml:space="preserve">(&lt;65 years vs. </w:t>
      </w:r>
      <w:r>
        <w:rPr>
          <w:rFonts w:ascii="Times New Roman Regular" w:eastAsia="宋体" w:hAnsi="Times New Roman Regular" w:cs="Times New Roman Regular"/>
          <w:bCs/>
          <w:color w:val="000000" w:themeColor="text1"/>
          <w:lang w:eastAsia="zh-CN"/>
        </w:rPr>
        <w:t>≥</w:t>
      </w:r>
      <w:r>
        <w:rPr>
          <w:rFonts w:hint="eastAsia"/>
          <w:bCs/>
          <w:color w:val="000000" w:themeColor="text1"/>
        </w:rPr>
        <w:t>65 years)</w:t>
      </w:r>
      <w:r>
        <w:rPr>
          <w:bCs/>
          <w:color w:val="000000" w:themeColor="text1"/>
        </w:rPr>
        <w:t xml:space="preserve">, sex, history of hypertension, </w:t>
      </w:r>
      <w:r>
        <w:rPr>
          <w:rFonts w:eastAsia="宋体" w:hint="eastAsia"/>
          <w:bCs/>
          <w:color w:val="000000" w:themeColor="text1"/>
          <w:lang w:eastAsia="zh-CN"/>
        </w:rPr>
        <w:t>onset-to-door time (</w:t>
      </w:r>
      <w:r>
        <w:rPr>
          <w:rFonts w:ascii="Times New Roman Regular" w:eastAsia="宋体" w:hAnsi="Times New Roman Regular" w:cs="Times New Roman Regular"/>
          <w:bCs/>
          <w:color w:val="000000" w:themeColor="text1"/>
          <w:lang w:eastAsia="zh-CN"/>
        </w:rPr>
        <w:t>≤</w:t>
      </w:r>
      <w:r>
        <w:rPr>
          <w:rFonts w:eastAsia="宋体" w:hint="eastAsia"/>
          <w:bCs/>
          <w:color w:val="000000" w:themeColor="text1"/>
          <w:lang w:eastAsia="zh-CN"/>
        </w:rPr>
        <w:t>6 h, 6</w:t>
      </w:r>
      <w:r>
        <w:rPr>
          <w:rFonts w:ascii="Times New Roman Regular" w:eastAsia="宋体" w:hAnsi="Times New Roman Regular" w:cs="Times New Roman Regular"/>
          <w:bCs/>
          <w:color w:val="000000" w:themeColor="text1"/>
          <w:lang w:eastAsia="zh-CN"/>
        </w:rPr>
        <w:t>–</w:t>
      </w:r>
      <w:r>
        <w:rPr>
          <w:rFonts w:eastAsia="宋体" w:hint="eastAsia"/>
          <w:bCs/>
          <w:color w:val="000000" w:themeColor="text1"/>
          <w:lang w:eastAsia="zh-CN"/>
        </w:rPr>
        <w:t xml:space="preserve">12 h, and &gt;12 h), </w:t>
      </w:r>
      <w:r>
        <w:rPr>
          <w:bCs/>
          <w:color w:val="000000" w:themeColor="text1"/>
        </w:rPr>
        <w:t>ICH severity</w:t>
      </w:r>
      <w:r>
        <w:rPr>
          <w:rFonts w:eastAsia="宋体" w:hint="eastAsia"/>
          <w:bCs/>
          <w:color w:val="000000" w:themeColor="text1"/>
          <w:lang w:eastAsia="zh-CN"/>
        </w:rPr>
        <w:t xml:space="preserve"> (GCS &gt;12, 9</w:t>
      </w:r>
      <w:r>
        <w:rPr>
          <w:rFonts w:ascii="Times New Roman Regular" w:eastAsia="宋体" w:hAnsi="Times New Roman Regular" w:cs="Times New Roman Regular"/>
          <w:bCs/>
          <w:color w:val="000000" w:themeColor="text1"/>
          <w:lang w:eastAsia="zh-CN"/>
        </w:rPr>
        <w:t>–</w:t>
      </w:r>
      <w:r>
        <w:rPr>
          <w:rFonts w:ascii="Times New Roman Regular" w:eastAsia="宋体" w:hAnsi="Times New Roman Regular" w:cs="Times New Roman Regular" w:hint="eastAsia"/>
          <w:bCs/>
          <w:color w:val="000000" w:themeColor="text1"/>
          <w:lang w:eastAsia="zh-CN"/>
        </w:rPr>
        <w:t xml:space="preserve">12, and </w:t>
      </w:r>
      <w:r>
        <w:rPr>
          <w:rFonts w:ascii="Times New Roman Regular" w:eastAsia="宋体" w:hAnsi="Times New Roman Regular" w:cs="Times New Roman Regular"/>
          <w:bCs/>
          <w:color w:val="000000" w:themeColor="text1"/>
          <w:lang w:eastAsia="zh-CN"/>
        </w:rPr>
        <w:t>≤</w:t>
      </w:r>
      <w:r>
        <w:rPr>
          <w:rFonts w:ascii="Times New Roman Regular" w:eastAsia="宋体" w:hAnsi="Times New Roman Regular" w:cs="Times New Roman Regular" w:hint="eastAsia"/>
          <w:bCs/>
          <w:color w:val="000000" w:themeColor="text1"/>
          <w:lang w:eastAsia="zh-CN"/>
        </w:rPr>
        <w:t>8</w:t>
      </w:r>
      <w:r>
        <w:rPr>
          <w:rFonts w:eastAsia="宋体" w:hint="eastAsia"/>
          <w:bCs/>
          <w:color w:val="000000" w:themeColor="text1"/>
          <w:lang w:eastAsia="zh-CN"/>
        </w:rPr>
        <w:t>)</w:t>
      </w:r>
      <w:r>
        <w:rPr>
          <w:bCs/>
          <w:color w:val="000000" w:themeColor="text1"/>
        </w:rPr>
        <w:t xml:space="preserve"> and in-hospital β-blocker </w:t>
      </w:r>
      <w:r>
        <w:rPr>
          <w:rFonts w:eastAsia="宋体"/>
          <w:bCs/>
          <w:color w:val="000000" w:themeColor="text1"/>
        </w:rPr>
        <w:t>treatment</w:t>
      </w:r>
      <w:r>
        <w:rPr>
          <w:bCs/>
          <w:color w:val="000000" w:themeColor="text1"/>
        </w:rPr>
        <w:t>.</w:t>
      </w:r>
      <w:r>
        <w:rPr>
          <w:rFonts w:eastAsia="宋体" w:hint="eastAsia"/>
          <w:bCs/>
          <w:color w:val="000000" w:themeColor="text1"/>
          <w:lang w:eastAsia="zh-CN"/>
        </w:rPr>
        <w:t xml:space="preserve"> </w:t>
      </w:r>
    </w:p>
    <w:bookmarkEnd w:id="38"/>
    <w:p w14:paraId="56848ABE" w14:textId="77777777" w:rsidR="00CC3835" w:rsidRDefault="00CC3835">
      <w:pPr>
        <w:spacing w:line="360" w:lineRule="auto"/>
        <w:rPr>
          <w:rFonts w:ascii="Times New Roman" w:hAnsi="Times New Roman"/>
          <w:bCs/>
          <w:color w:val="000000" w:themeColor="text1"/>
          <w:sz w:val="22"/>
          <w:szCs w:val="22"/>
        </w:rPr>
      </w:pPr>
    </w:p>
    <w:p w14:paraId="5882FD23" w14:textId="1498DFC6" w:rsidR="00CC3835" w:rsidRPr="006D0C3E" w:rsidRDefault="00256BAA" w:rsidP="006D0C3E">
      <w:pPr>
        <w:pStyle w:val="Text"/>
        <w:ind w:firstLine="420"/>
        <w:rPr>
          <w:color w:val="000000" w:themeColor="text1"/>
          <w:lang w:eastAsia="zh-CN"/>
        </w:rPr>
      </w:pPr>
      <w:r>
        <w:rPr>
          <w:color w:val="000000" w:themeColor="text1"/>
        </w:rPr>
        <w:t xml:space="preserve">All statistical analyses were performed using R software </w:t>
      </w:r>
      <w:r>
        <w:rPr>
          <w:color w:val="000000" w:themeColor="text1"/>
        </w:rPr>
        <w:t xml:space="preserve">(version 4.4.2; R Foundation), and a two-sided </w:t>
      </w:r>
      <w:r>
        <w:rPr>
          <w:rFonts w:hint="eastAsia"/>
          <w:i/>
          <w:color w:val="000000" w:themeColor="text1"/>
        </w:rPr>
        <w:t>p</w:t>
      </w:r>
      <w:r>
        <w:rPr>
          <w:color w:val="000000" w:themeColor="text1"/>
        </w:rPr>
        <w:t>-value &lt; 0.05 was considered statistically significant.</w:t>
      </w:r>
      <w:bookmarkEnd w:id="37"/>
    </w:p>
    <w:p w14:paraId="34361928" w14:textId="77777777" w:rsidR="00CC3835" w:rsidRDefault="00CC3835">
      <w:pPr>
        <w:spacing w:line="360" w:lineRule="auto"/>
        <w:rPr>
          <w:rFonts w:ascii="Times New Roman" w:hAnsi="Times New Roman"/>
          <w:b/>
          <w:bCs/>
          <w:color w:val="000000" w:themeColor="text1"/>
          <w:sz w:val="22"/>
          <w:szCs w:val="22"/>
        </w:rPr>
      </w:pPr>
    </w:p>
    <w:p w14:paraId="1A6FED86" w14:textId="77777777" w:rsidR="00CC3835" w:rsidRDefault="00256BAA">
      <w:pPr>
        <w:pStyle w:val="1"/>
        <w:rPr>
          <w:color w:val="000000" w:themeColor="text1"/>
        </w:rPr>
      </w:pPr>
      <w:bookmarkStart w:id="42" w:name="OLE_LINK9"/>
      <w:r>
        <w:rPr>
          <w:color w:val="000000" w:themeColor="text1"/>
        </w:rPr>
        <w:t>3. Result</w:t>
      </w:r>
      <w:r>
        <w:rPr>
          <w:rFonts w:hint="eastAsia"/>
          <w:color w:val="000000" w:themeColor="text1"/>
        </w:rPr>
        <w:t>s</w:t>
      </w:r>
    </w:p>
    <w:p w14:paraId="52F7E6ED" w14:textId="77777777" w:rsidR="00CC3835" w:rsidRDefault="00256BAA">
      <w:pPr>
        <w:pStyle w:val="2"/>
        <w:rPr>
          <w:color w:val="000000" w:themeColor="text1"/>
        </w:rPr>
      </w:pPr>
      <w:r>
        <w:rPr>
          <w:rFonts w:hint="eastAsia"/>
          <w:color w:val="000000" w:themeColor="text1"/>
        </w:rPr>
        <w:t>3.1 Baseline Characteristics</w:t>
      </w:r>
    </w:p>
    <w:p w14:paraId="0B62E340" w14:textId="77777777" w:rsidR="00CC3835" w:rsidRDefault="00256BAA">
      <w:pPr>
        <w:pStyle w:val="Text"/>
        <w:ind w:firstLine="420"/>
        <w:rPr>
          <w:color w:val="000000" w:themeColor="text1"/>
        </w:rPr>
      </w:pPr>
      <w:r>
        <w:rPr>
          <w:color w:val="000000" w:themeColor="text1"/>
        </w:rPr>
        <w:t xml:space="preserve">A total of 1,364 patients with ICH were included in this study. The median age was 57.0 years (IQR, 48.0–67.0), and 915 (67.1%) patients were male. Baseline characteristics </w:t>
      </w:r>
      <w:r>
        <w:rPr>
          <w:rFonts w:hint="eastAsia"/>
          <w:color w:val="000000" w:themeColor="text1"/>
        </w:rPr>
        <w:t>according to</w:t>
      </w:r>
      <w:r>
        <w:rPr>
          <w:color w:val="000000" w:themeColor="text1"/>
        </w:rPr>
        <w:t xml:space="preserve"> quartiles of RPP are </w:t>
      </w:r>
      <w:r>
        <w:rPr>
          <w:rFonts w:eastAsia="宋体" w:hint="eastAsia"/>
          <w:color w:val="000000" w:themeColor="text1"/>
          <w:lang w:eastAsia="zh-CN"/>
        </w:rPr>
        <w:t>detailed</w:t>
      </w:r>
      <w:r>
        <w:rPr>
          <w:color w:val="000000" w:themeColor="text1"/>
        </w:rPr>
        <w:t xml:space="preserve"> in </w:t>
      </w:r>
      <w:r>
        <w:rPr>
          <w:b/>
          <w:color w:val="000000" w:themeColor="text1"/>
        </w:rPr>
        <w:t>Table 1</w:t>
      </w:r>
      <w:r>
        <w:rPr>
          <w:color w:val="000000" w:themeColor="text1"/>
        </w:rPr>
        <w:t>. Significant differences were</w:t>
      </w:r>
      <w:r>
        <w:rPr>
          <w:color w:val="000000" w:themeColor="text1"/>
        </w:rPr>
        <w:t xml:space="preserve"> observed among the quartiles </w:t>
      </w:r>
      <w:r>
        <w:rPr>
          <w:rFonts w:hint="eastAsia"/>
          <w:color w:val="000000" w:themeColor="text1"/>
        </w:rPr>
        <w:t>concerning</w:t>
      </w:r>
      <w:r>
        <w:rPr>
          <w:color w:val="000000" w:themeColor="text1"/>
        </w:rPr>
        <w:t xml:space="preserve"> history of hypertension, history of diabetes mellitus, onset-to-door time, admission SBP, admission HR, admission GCS score, location of hematoma, hematoma volume, i</w:t>
      </w:r>
      <w:r>
        <w:rPr>
          <w:rFonts w:eastAsia="Times New Roman Regular"/>
          <w:color w:val="000000" w:themeColor="text1"/>
          <w:lang w:bidi="ar"/>
        </w:rPr>
        <w:t>ntraventricular extension</w:t>
      </w:r>
      <w:r>
        <w:rPr>
          <w:rFonts w:eastAsia="宋体"/>
          <w:color w:val="000000" w:themeColor="text1"/>
          <w:lang w:bidi="ar"/>
        </w:rPr>
        <w:t>,</w:t>
      </w:r>
      <w:r>
        <w:rPr>
          <w:rFonts w:eastAsia="Times New Roman Regular"/>
          <w:color w:val="000000" w:themeColor="text1"/>
          <w:lang w:bidi="ar"/>
        </w:rPr>
        <w:t xml:space="preserve"> and i</w:t>
      </w:r>
      <w:r>
        <w:rPr>
          <w:color w:val="000000" w:themeColor="text1"/>
        </w:rPr>
        <w:t xml:space="preserve">n-hospital </w:t>
      </w:r>
      <w:r>
        <w:rPr>
          <w:rFonts w:eastAsia="宋体" w:hint="eastAsia"/>
          <w:color w:val="000000" w:themeColor="text1"/>
          <w:lang w:eastAsia="zh-CN"/>
        </w:rPr>
        <w:t>a</w:t>
      </w:r>
      <w:r>
        <w:rPr>
          <w:rFonts w:hint="eastAsia"/>
          <w:color w:val="000000" w:themeColor="text1"/>
        </w:rPr>
        <w:t>ntihyp</w:t>
      </w:r>
      <w:r>
        <w:rPr>
          <w:rFonts w:hint="eastAsia"/>
          <w:color w:val="000000" w:themeColor="text1"/>
        </w:rPr>
        <w:t>ertensive agents</w:t>
      </w:r>
      <w:r>
        <w:rPr>
          <w:color w:val="000000" w:themeColor="text1"/>
        </w:rPr>
        <w:t xml:space="preserve"> </w:t>
      </w:r>
      <w:r>
        <w:rPr>
          <w:rFonts w:eastAsia="Times New Roman Regular"/>
          <w:color w:val="000000" w:themeColor="text1"/>
          <w:lang w:bidi="ar"/>
        </w:rPr>
        <w:t xml:space="preserve">(all </w:t>
      </w:r>
      <w:r>
        <w:rPr>
          <w:rFonts w:eastAsia="宋体" w:hint="eastAsia"/>
          <w:i/>
          <w:color w:val="000000" w:themeColor="text1"/>
          <w:lang w:bidi="ar"/>
        </w:rPr>
        <w:t>p</w:t>
      </w:r>
      <w:r>
        <w:rPr>
          <w:rFonts w:eastAsia="Times New Roman Regular"/>
          <w:color w:val="000000" w:themeColor="text1"/>
          <w:lang w:bidi="ar"/>
        </w:rPr>
        <w:t xml:space="preserve"> &lt; 0.05).</w:t>
      </w:r>
      <w:r>
        <w:rPr>
          <w:color w:val="000000" w:themeColor="text1"/>
        </w:rPr>
        <w:t xml:space="preserve">  </w:t>
      </w:r>
    </w:p>
    <w:p w14:paraId="6BB4B6DC" w14:textId="77777777" w:rsidR="00CC3835" w:rsidRDefault="00256BAA">
      <w:pPr>
        <w:pStyle w:val="Tablecaption"/>
        <w:spacing w:before="312" w:after="312"/>
        <w:rPr>
          <w:color w:val="000000" w:themeColor="text1"/>
        </w:rPr>
      </w:pPr>
      <w:r>
        <w:rPr>
          <w:rFonts w:eastAsia="Times New Roman Bold"/>
          <w:color w:val="000000" w:themeColor="text1"/>
        </w:rPr>
        <w:t>Table 1. Baseline characteristics among ICH patients according to quartiles of RPP</w:t>
      </w:r>
    </w:p>
    <w:tbl>
      <w:tblPr>
        <w:tblW w:w="10795" w:type="dxa"/>
        <w:jc w:val="center"/>
        <w:tblLayout w:type="fixed"/>
        <w:tblLook w:val="04A0" w:firstRow="1" w:lastRow="0" w:firstColumn="1" w:lastColumn="0" w:noHBand="0" w:noVBand="1"/>
      </w:tblPr>
      <w:tblGrid>
        <w:gridCol w:w="2163"/>
        <w:gridCol w:w="1526"/>
        <w:gridCol w:w="1562"/>
        <w:gridCol w:w="1562"/>
        <w:gridCol w:w="1562"/>
        <w:gridCol w:w="1564"/>
        <w:gridCol w:w="856"/>
      </w:tblGrid>
      <w:tr w:rsidR="00CC3835" w14:paraId="39C450F8" w14:textId="77777777">
        <w:trPr>
          <w:trHeight w:val="113"/>
          <w:jc w:val="center"/>
        </w:trPr>
        <w:tc>
          <w:tcPr>
            <w:tcW w:w="2163" w:type="dxa"/>
            <w:vMerge w:val="restart"/>
            <w:tcBorders>
              <w:top w:val="single" w:sz="4" w:space="0" w:color="000000"/>
              <w:left w:val="nil"/>
              <w:bottom w:val="single" w:sz="4" w:space="0" w:color="000000"/>
              <w:right w:val="nil"/>
            </w:tcBorders>
            <w:noWrap/>
            <w:vAlign w:val="center"/>
          </w:tcPr>
          <w:p w14:paraId="0ED800FF"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Variables</w:t>
            </w:r>
          </w:p>
        </w:tc>
        <w:tc>
          <w:tcPr>
            <w:tcW w:w="1526" w:type="dxa"/>
            <w:vMerge w:val="restart"/>
            <w:tcBorders>
              <w:top w:val="single" w:sz="4" w:space="0" w:color="000000"/>
              <w:left w:val="nil"/>
              <w:bottom w:val="single" w:sz="4" w:space="0" w:color="000000"/>
              <w:right w:val="nil"/>
            </w:tcBorders>
            <w:noWrap/>
            <w:vAlign w:val="center"/>
          </w:tcPr>
          <w:p w14:paraId="0FAAFFD8"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Total</w:t>
            </w:r>
          </w:p>
        </w:tc>
        <w:tc>
          <w:tcPr>
            <w:tcW w:w="6250" w:type="dxa"/>
            <w:gridSpan w:val="4"/>
            <w:tcBorders>
              <w:top w:val="single" w:sz="4" w:space="0" w:color="000000"/>
              <w:left w:val="nil"/>
              <w:bottom w:val="nil"/>
              <w:right w:val="nil"/>
            </w:tcBorders>
            <w:noWrap/>
            <w:vAlign w:val="center"/>
          </w:tcPr>
          <w:p w14:paraId="2E25C6B4"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RPP</w:t>
            </w:r>
          </w:p>
        </w:tc>
        <w:tc>
          <w:tcPr>
            <w:tcW w:w="856" w:type="dxa"/>
            <w:vMerge w:val="restart"/>
            <w:tcBorders>
              <w:top w:val="single" w:sz="4" w:space="0" w:color="000000"/>
              <w:left w:val="nil"/>
              <w:bottom w:val="single" w:sz="4" w:space="0" w:color="000000"/>
              <w:right w:val="nil"/>
            </w:tcBorders>
            <w:noWrap/>
            <w:vAlign w:val="center"/>
          </w:tcPr>
          <w:p w14:paraId="7A44BAEF"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Bold Italic" w:eastAsia="T" w:hAnsi="Times New Roman Bold Italic" w:cs="Times New Roman Bold Italic"/>
                <w:b/>
                <w:bCs/>
                <w:i/>
                <w:iCs/>
                <w:color w:val="000000" w:themeColor="text1"/>
                <w:sz w:val="16"/>
                <w:szCs w:val="16"/>
                <w:lang w:bidi="ar"/>
              </w:rPr>
              <w:t>p</w:t>
            </w:r>
            <w:r>
              <w:rPr>
                <w:rFonts w:ascii="Times New Roman" w:eastAsia="Times New Roman Bold" w:hAnsi="Times New Roman"/>
                <w:b/>
                <w:bCs/>
                <w:color w:val="000000" w:themeColor="text1"/>
                <w:sz w:val="16"/>
                <w:szCs w:val="16"/>
                <w:lang w:bidi="ar"/>
              </w:rPr>
              <w:t>-value</w:t>
            </w:r>
          </w:p>
        </w:tc>
      </w:tr>
      <w:tr w:rsidR="00CC3835" w14:paraId="4D159E8D" w14:textId="77777777">
        <w:trPr>
          <w:trHeight w:val="113"/>
          <w:jc w:val="center"/>
        </w:trPr>
        <w:tc>
          <w:tcPr>
            <w:tcW w:w="2163" w:type="dxa"/>
            <w:vMerge/>
            <w:tcBorders>
              <w:top w:val="single" w:sz="4" w:space="0" w:color="000000"/>
              <w:left w:val="nil"/>
              <w:bottom w:val="single" w:sz="4" w:space="0" w:color="000000"/>
              <w:right w:val="nil"/>
            </w:tcBorders>
            <w:noWrap/>
            <w:vAlign w:val="center"/>
          </w:tcPr>
          <w:p w14:paraId="3B631462" w14:textId="77777777" w:rsidR="00CC3835" w:rsidRDefault="00CC3835">
            <w:pPr>
              <w:jc w:val="center"/>
              <w:textAlignment w:val="center"/>
              <w:rPr>
                <w:rFonts w:ascii="Times New Roman" w:eastAsia="Times New Roman Bold" w:hAnsi="Times New Roman"/>
                <w:b/>
                <w:bCs/>
                <w:color w:val="000000" w:themeColor="text1"/>
                <w:sz w:val="16"/>
                <w:szCs w:val="16"/>
                <w:lang w:bidi="ar"/>
              </w:rPr>
            </w:pPr>
          </w:p>
        </w:tc>
        <w:tc>
          <w:tcPr>
            <w:tcW w:w="1526" w:type="dxa"/>
            <w:vMerge/>
            <w:tcBorders>
              <w:top w:val="single" w:sz="4" w:space="0" w:color="000000"/>
              <w:left w:val="nil"/>
              <w:bottom w:val="single" w:sz="4" w:space="0" w:color="000000"/>
              <w:right w:val="nil"/>
            </w:tcBorders>
            <w:noWrap/>
            <w:vAlign w:val="center"/>
          </w:tcPr>
          <w:p w14:paraId="6311C8B8" w14:textId="77777777" w:rsidR="00CC3835" w:rsidRDefault="00CC3835">
            <w:pPr>
              <w:jc w:val="center"/>
              <w:textAlignment w:val="center"/>
              <w:rPr>
                <w:rFonts w:ascii="Times New Roman" w:eastAsia="Times New Roman Bold" w:hAnsi="Times New Roman"/>
                <w:b/>
                <w:bCs/>
                <w:color w:val="000000" w:themeColor="text1"/>
                <w:sz w:val="16"/>
                <w:szCs w:val="16"/>
                <w:lang w:bidi="ar"/>
              </w:rPr>
            </w:pPr>
          </w:p>
        </w:tc>
        <w:tc>
          <w:tcPr>
            <w:tcW w:w="1562" w:type="dxa"/>
            <w:tcBorders>
              <w:top w:val="nil"/>
              <w:left w:val="nil"/>
              <w:bottom w:val="single" w:sz="4" w:space="0" w:color="000000"/>
              <w:right w:val="nil"/>
            </w:tcBorders>
            <w:noWrap/>
            <w:vAlign w:val="center"/>
          </w:tcPr>
          <w:p w14:paraId="3C4E21DF"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Q1 (&lt;10.89)</w:t>
            </w:r>
          </w:p>
        </w:tc>
        <w:tc>
          <w:tcPr>
            <w:tcW w:w="1562" w:type="dxa"/>
            <w:tcBorders>
              <w:top w:val="nil"/>
              <w:left w:val="nil"/>
              <w:bottom w:val="single" w:sz="4" w:space="0" w:color="000000"/>
              <w:right w:val="nil"/>
            </w:tcBorders>
            <w:noWrap/>
            <w:vAlign w:val="center"/>
          </w:tcPr>
          <w:p w14:paraId="1C76387D"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Q2 (10.89–12.88)</w:t>
            </w:r>
          </w:p>
        </w:tc>
        <w:tc>
          <w:tcPr>
            <w:tcW w:w="1562" w:type="dxa"/>
            <w:tcBorders>
              <w:top w:val="nil"/>
              <w:left w:val="nil"/>
              <w:bottom w:val="single" w:sz="4" w:space="0" w:color="000000"/>
              <w:right w:val="nil"/>
            </w:tcBorders>
            <w:noWrap/>
            <w:vAlign w:val="center"/>
          </w:tcPr>
          <w:p w14:paraId="7E61CA08"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Q3 (12.88–15.33)</w:t>
            </w:r>
          </w:p>
        </w:tc>
        <w:tc>
          <w:tcPr>
            <w:tcW w:w="1564" w:type="dxa"/>
            <w:tcBorders>
              <w:top w:val="nil"/>
              <w:left w:val="nil"/>
              <w:bottom w:val="single" w:sz="4" w:space="0" w:color="000000"/>
              <w:right w:val="nil"/>
            </w:tcBorders>
            <w:noWrap/>
            <w:vAlign w:val="center"/>
          </w:tcPr>
          <w:p w14:paraId="08907EB5" w14:textId="77777777" w:rsidR="00CC3835" w:rsidRDefault="00256BAA">
            <w:pPr>
              <w:jc w:val="center"/>
              <w:textAlignment w:val="center"/>
              <w:rPr>
                <w:rFonts w:ascii="Times New Roman" w:eastAsia="Times New Roman Bold" w:hAnsi="Times New Roman"/>
                <w:b/>
                <w:bCs/>
                <w:color w:val="000000" w:themeColor="text1"/>
                <w:sz w:val="16"/>
                <w:szCs w:val="16"/>
                <w:lang w:bidi="ar"/>
              </w:rPr>
            </w:pPr>
            <w:r>
              <w:rPr>
                <w:rFonts w:ascii="Times New Roman" w:eastAsia="Times New Roman Bold" w:hAnsi="Times New Roman"/>
                <w:b/>
                <w:bCs/>
                <w:color w:val="000000" w:themeColor="text1"/>
                <w:sz w:val="16"/>
                <w:szCs w:val="16"/>
                <w:lang w:bidi="ar"/>
              </w:rPr>
              <w:t>Q4 (&gt;15.33)</w:t>
            </w:r>
          </w:p>
        </w:tc>
        <w:tc>
          <w:tcPr>
            <w:tcW w:w="856" w:type="dxa"/>
            <w:vMerge/>
            <w:tcBorders>
              <w:top w:val="single" w:sz="4" w:space="0" w:color="000000"/>
              <w:left w:val="nil"/>
              <w:bottom w:val="single" w:sz="4" w:space="0" w:color="000000"/>
              <w:right w:val="nil"/>
            </w:tcBorders>
            <w:noWrap/>
            <w:vAlign w:val="center"/>
          </w:tcPr>
          <w:p w14:paraId="2A59AB84" w14:textId="77777777" w:rsidR="00CC3835" w:rsidRDefault="00CC3835">
            <w:pPr>
              <w:jc w:val="center"/>
              <w:textAlignment w:val="center"/>
              <w:rPr>
                <w:rFonts w:ascii="Times New Roman" w:eastAsia="Times New Roman Bold" w:hAnsi="Times New Roman"/>
                <w:b/>
                <w:bCs/>
                <w:color w:val="000000" w:themeColor="text1"/>
                <w:sz w:val="16"/>
                <w:szCs w:val="16"/>
                <w:lang w:bidi="ar"/>
              </w:rPr>
            </w:pPr>
          </w:p>
        </w:tc>
      </w:tr>
      <w:tr w:rsidR="00CC3835" w14:paraId="62DA4EA2" w14:textId="77777777">
        <w:trPr>
          <w:trHeight w:val="113"/>
          <w:jc w:val="center"/>
        </w:trPr>
        <w:tc>
          <w:tcPr>
            <w:tcW w:w="2163" w:type="dxa"/>
            <w:tcBorders>
              <w:top w:val="nil"/>
              <w:left w:val="nil"/>
              <w:bottom w:val="nil"/>
              <w:right w:val="nil"/>
            </w:tcBorders>
            <w:noWrap/>
            <w:vAlign w:val="center"/>
          </w:tcPr>
          <w:p w14:paraId="5170588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n</w:t>
            </w:r>
          </w:p>
        </w:tc>
        <w:tc>
          <w:tcPr>
            <w:tcW w:w="1526" w:type="dxa"/>
            <w:tcBorders>
              <w:top w:val="nil"/>
              <w:left w:val="nil"/>
              <w:bottom w:val="nil"/>
              <w:right w:val="nil"/>
            </w:tcBorders>
            <w:noWrap/>
            <w:vAlign w:val="center"/>
          </w:tcPr>
          <w:p w14:paraId="5E00C33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1364</w:t>
            </w:r>
          </w:p>
        </w:tc>
        <w:tc>
          <w:tcPr>
            <w:tcW w:w="1562" w:type="dxa"/>
            <w:tcBorders>
              <w:top w:val="nil"/>
              <w:left w:val="nil"/>
              <w:bottom w:val="nil"/>
              <w:right w:val="nil"/>
            </w:tcBorders>
            <w:noWrap/>
            <w:vAlign w:val="center"/>
          </w:tcPr>
          <w:p w14:paraId="5E4E6AE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341</w:t>
            </w:r>
          </w:p>
        </w:tc>
        <w:tc>
          <w:tcPr>
            <w:tcW w:w="1562" w:type="dxa"/>
            <w:tcBorders>
              <w:top w:val="nil"/>
              <w:left w:val="nil"/>
              <w:bottom w:val="nil"/>
              <w:right w:val="nil"/>
            </w:tcBorders>
            <w:noWrap/>
            <w:vAlign w:val="center"/>
          </w:tcPr>
          <w:p w14:paraId="0167E9C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341</w:t>
            </w:r>
          </w:p>
        </w:tc>
        <w:tc>
          <w:tcPr>
            <w:tcW w:w="1562" w:type="dxa"/>
            <w:tcBorders>
              <w:top w:val="nil"/>
              <w:left w:val="nil"/>
              <w:bottom w:val="nil"/>
              <w:right w:val="nil"/>
            </w:tcBorders>
            <w:noWrap/>
            <w:vAlign w:val="center"/>
          </w:tcPr>
          <w:p w14:paraId="0A8114B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341</w:t>
            </w:r>
          </w:p>
        </w:tc>
        <w:tc>
          <w:tcPr>
            <w:tcW w:w="1564" w:type="dxa"/>
            <w:tcBorders>
              <w:top w:val="nil"/>
              <w:left w:val="nil"/>
              <w:bottom w:val="nil"/>
              <w:right w:val="nil"/>
            </w:tcBorders>
            <w:noWrap/>
            <w:vAlign w:val="center"/>
          </w:tcPr>
          <w:p w14:paraId="1503C57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341</w:t>
            </w:r>
          </w:p>
        </w:tc>
        <w:tc>
          <w:tcPr>
            <w:tcW w:w="856" w:type="dxa"/>
            <w:tcBorders>
              <w:top w:val="nil"/>
              <w:left w:val="nil"/>
              <w:bottom w:val="nil"/>
              <w:right w:val="nil"/>
            </w:tcBorders>
            <w:noWrap/>
            <w:vAlign w:val="center"/>
          </w:tcPr>
          <w:p w14:paraId="4CBBFCB3"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72054A23" w14:textId="77777777">
        <w:trPr>
          <w:trHeight w:val="113"/>
          <w:jc w:val="center"/>
        </w:trPr>
        <w:tc>
          <w:tcPr>
            <w:tcW w:w="2163" w:type="dxa"/>
            <w:tcBorders>
              <w:top w:val="nil"/>
              <w:left w:val="nil"/>
              <w:bottom w:val="nil"/>
              <w:right w:val="nil"/>
            </w:tcBorders>
            <w:noWrap/>
            <w:vAlign w:val="center"/>
          </w:tcPr>
          <w:p w14:paraId="6C0778C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Age, years</w:t>
            </w:r>
          </w:p>
        </w:tc>
        <w:tc>
          <w:tcPr>
            <w:tcW w:w="1526" w:type="dxa"/>
            <w:tcBorders>
              <w:top w:val="nil"/>
              <w:left w:val="nil"/>
              <w:bottom w:val="nil"/>
              <w:right w:val="nil"/>
            </w:tcBorders>
            <w:noWrap/>
            <w:vAlign w:val="center"/>
          </w:tcPr>
          <w:p w14:paraId="75B1B25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57.0 (48.0,</w:t>
            </w:r>
            <w:r>
              <w:rPr>
                <w:rFonts w:ascii="Times New Roman" w:eastAsia="Times New Roman Bold" w:hAnsi="Times New Roman"/>
                <w:bCs/>
                <w:color w:val="000000" w:themeColor="text1"/>
                <w:sz w:val="16"/>
                <w:szCs w:val="16"/>
                <w:lang w:bidi="ar"/>
              </w:rPr>
              <w:t xml:space="preserve"> 67.0)</w:t>
            </w:r>
          </w:p>
        </w:tc>
        <w:tc>
          <w:tcPr>
            <w:tcW w:w="1562" w:type="dxa"/>
            <w:tcBorders>
              <w:top w:val="nil"/>
              <w:left w:val="nil"/>
              <w:bottom w:val="nil"/>
              <w:right w:val="nil"/>
            </w:tcBorders>
            <w:noWrap/>
            <w:vAlign w:val="center"/>
          </w:tcPr>
          <w:p w14:paraId="3D13FFC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59.0 (47.0, 67.0)</w:t>
            </w:r>
          </w:p>
        </w:tc>
        <w:tc>
          <w:tcPr>
            <w:tcW w:w="1562" w:type="dxa"/>
            <w:tcBorders>
              <w:top w:val="nil"/>
              <w:left w:val="nil"/>
              <w:bottom w:val="nil"/>
              <w:right w:val="nil"/>
            </w:tcBorders>
            <w:noWrap/>
            <w:vAlign w:val="center"/>
          </w:tcPr>
          <w:p w14:paraId="43489AC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58.0 (50.0, 67.0)</w:t>
            </w:r>
          </w:p>
        </w:tc>
        <w:tc>
          <w:tcPr>
            <w:tcW w:w="1562" w:type="dxa"/>
            <w:tcBorders>
              <w:top w:val="nil"/>
              <w:left w:val="nil"/>
              <w:bottom w:val="nil"/>
              <w:right w:val="nil"/>
            </w:tcBorders>
            <w:noWrap/>
            <w:vAlign w:val="center"/>
          </w:tcPr>
          <w:p w14:paraId="5367DA6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57.0 (50.0, 65.0)</w:t>
            </w:r>
          </w:p>
        </w:tc>
        <w:tc>
          <w:tcPr>
            <w:tcW w:w="1564" w:type="dxa"/>
            <w:tcBorders>
              <w:top w:val="nil"/>
              <w:left w:val="nil"/>
              <w:bottom w:val="nil"/>
              <w:right w:val="nil"/>
            </w:tcBorders>
            <w:noWrap/>
            <w:vAlign w:val="center"/>
          </w:tcPr>
          <w:p w14:paraId="52328E2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56.0 (47.0, 66.0)</w:t>
            </w:r>
          </w:p>
        </w:tc>
        <w:tc>
          <w:tcPr>
            <w:tcW w:w="856" w:type="dxa"/>
            <w:tcBorders>
              <w:top w:val="nil"/>
              <w:left w:val="nil"/>
              <w:bottom w:val="nil"/>
              <w:right w:val="nil"/>
            </w:tcBorders>
            <w:noWrap/>
            <w:vAlign w:val="center"/>
          </w:tcPr>
          <w:p w14:paraId="7883C40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0.448</w:t>
            </w:r>
          </w:p>
        </w:tc>
      </w:tr>
      <w:tr w:rsidR="00CC3835" w14:paraId="38378988" w14:textId="77777777">
        <w:trPr>
          <w:trHeight w:val="113"/>
          <w:jc w:val="center"/>
        </w:trPr>
        <w:tc>
          <w:tcPr>
            <w:tcW w:w="2163" w:type="dxa"/>
            <w:tcBorders>
              <w:top w:val="nil"/>
              <w:left w:val="nil"/>
              <w:bottom w:val="nil"/>
              <w:right w:val="nil"/>
            </w:tcBorders>
            <w:noWrap/>
            <w:vAlign w:val="center"/>
          </w:tcPr>
          <w:p w14:paraId="4FFA271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Male, n (%)</w:t>
            </w:r>
          </w:p>
        </w:tc>
        <w:tc>
          <w:tcPr>
            <w:tcW w:w="1526" w:type="dxa"/>
            <w:tcBorders>
              <w:top w:val="nil"/>
              <w:left w:val="nil"/>
              <w:bottom w:val="nil"/>
              <w:right w:val="nil"/>
            </w:tcBorders>
            <w:noWrap/>
            <w:vAlign w:val="center"/>
          </w:tcPr>
          <w:p w14:paraId="4AB95E8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915 (67.1)</w:t>
            </w:r>
          </w:p>
        </w:tc>
        <w:tc>
          <w:tcPr>
            <w:tcW w:w="1562" w:type="dxa"/>
            <w:tcBorders>
              <w:top w:val="nil"/>
              <w:left w:val="nil"/>
              <w:bottom w:val="nil"/>
              <w:right w:val="nil"/>
            </w:tcBorders>
            <w:noWrap/>
            <w:vAlign w:val="center"/>
          </w:tcPr>
          <w:p w14:paraId="446BAF4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230 (67.4)</w:t>
            </w:r>
          </w:p>
        </w:tc>
        <w:tc>
          <w:tcPr>
            <w:tcW w:w="1562" w:type="dxa"/>
            <w:tcBorders>
              <w:top w:val="nil"/>
              <w:left w:val="nil"/>
              <w:bottom w:val="nil"/>
              <w:right w:val="nil"/>
            </w:tcBorders>
            <w:noWrap/>
            <w:vAlign w:val="center"/>
          </w:tcPr>
          <w:p w14:paraId="723092B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224 (65.7)</w:t>
            </w:r>
          </w:p>
        </w:tc>
        <w:tc>
          <w:tcPr>
            <w:tcW w:w="1562" w:type="dxa"/>
            <w:tcBorders>
              <w:top w:val="nil"/>
              <w:left w:val="nil"/>
              <w:bottom w:val="nil"/>
              <w:right w:val="nil"/>
            </w:tcBorders>
            <w:noWrap/>
            <w:vAlign w:val="center"/>
          </w:tcPr>
          <w:p w14:paraId="4C79080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230 (67.4)</w:t>
            </w:r>
          </w:p>
        </w:tc>
        <w:tc>
          <w:tcPr>
            <w:tcW w:w="1564" w:type="dxa"/>
            <w:tcBorders>
              <w:top w:val="nil"/>
              <w:left w:val="nil"/>
              <w:bottom w:val="nil"/>
              <w:right w:val="nil"/>
            </w:tcBorders>
            <w:noWrap/>
            <w:vAlign w:val="center"/>
          </w:tcPr>
          <w:p w14:paraId="5A35484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231 (67.7)</w:t>
            </w:r>
          </w:p>
        </w:tc>
        <w:tc>
          <w:tcPr>
            <w:tcW w:w="856" w:type="dxa"/>
            <w:tcBorders>
              <w:top w:val="nil"/>
              <w:left w:val="nil"/>
              <w:bottom w:val="nil"/>
              <w:right w:val="nil"/>
            </w:tcBorders>
            <w:noWrap/>
            <w:vAlign w:val="center"/>
          </w:tcPr>
          <w:p w14:paraId="4921FEC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0.939</w:t>
            </w:r>
          </w:p>
        </w:tc>
      </w:tr>
      <w:tr w:rsidR="00CC3835" w14:paraId="6EC39E09" w14:textId="77777777">
        <w:trPr>
          <w:trHeight w:val="113"/>
          <w:jc w:val="center"/>
        </w:trPr>
        <w:tc>
          <w:tcPr>
            <w:tcW w:w="2163" w:type="dxa"/>
            <w:tcBorders>
              <w:top w:val="nil"/>
              <w:left w:val="nil"/>
              <w:bottom w:val="nil"/>
              <w:right w:val="nil"/>
            </w:tcBorders>
            <w:noWrap/>
            <w:vAlign w:val="center"/>
          </w:tcPr>
          <w:p w14:paraId="45A4089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lastRenderedPageBreak/>
              <w:t>Smoking, n (%)</w:t>
            </w:r>
          </w:p>
        </w:tc>
        <w:tc>
          <w:tcPr>
            <w:tcW w:w="1526" w:type="dxa"/>
            <w:tcBorders>
              <w:top w:val="nil"/>
              <w:left w:val="nil"/>
              <w:bottom w:val="nil"/>
              <w:right w:val="nil"/>
            </w:tcBorders>
            <w:noWrap/>
            <w:vAlign w:val="center"/>
          </w:tcPr>
          <w:p w14:paraId="40E9543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585 (42.9)</w:t>
            </w:r>
          </w:p>
        </w:tc>
        <w:tc>
          <w:tcPr>
            <w:tcW w:w="1562" w:type="dxa"/>
            <w:tcBorders>
              <w:top w:val="nil"/>
              <w:left w:val="nil"/>
              <w:bottom w:val="nil"/>
              <w:right w:val="nil"/>
            </w:tcBorders>
            <w:noWrap/>
            <w:vAlign w:val="center"/>
          </w:tcPr>
          <w:p w14:paraId="52502B3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151 (44.3)</w:t>
            </w:r>
          </w:p>
        </w:tc>
        <w:tc>
          <w:tcPr>
            <w:tcW w:w="1562" w:type="dxa"/>
            <w:tcBorders>
              <w:top w:val="nil"/>
              <w:left w:val="nil"/>
              <w:bottom w:val="nil"/>
              <w:right w:val="nil"/>
            </w:tcBorders>
            <w:noWrap/>
            <w:vAlign w:val="center"/>
          </w:tcPr>
          <w:p w14:paraId="68963B5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144 (42.2)</w:t>
            </w:r>
          </w:p>
        </w:tc>
        <w:tc>
          <w:tcPr>
            <w:tcW w:w="1562" w:type="dxa"/>
            <w:tcBorders>
              <w:top w:val="nil"/>
              <w:left w:val="nil"/>
              <w:bottom w:val="nil"/>
              <w:right w:val="nil"/>
            </w:tcBorders>
            <w:noWrap/>
            <w:vAlign w:val="center"/>
          </w:tcPr>
          <w:p w14:paraId="666F3D1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152 (44.6)</w:t>
            </w:r>
          </w:p>
        </w:tc>
        <w:tc>
          <w:tcPr>
            <w:tcW w:w="1564" w:type="dxa"/>
            <w:tcBorders>
              <w:top w:val="nil"/>
              <w:left w:val="nil"/>
              <w:bottom w:val="nil"/>
              <w:right w:val="nil"/>
            </w:tcBorders>
            <w:noWrap/>
            <w:vAlign w:val="center"/>
          </w:tcPr>
          <w:p w14:paraId="548775F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138 (40.5)</w:t>
            </w:r>
          </w:p>
        </w:tc>
        <w:tc>
          <w:tcPr>
            <w:tcW w:w="856" w:type="dxa"/>
            <w:tcBorders>
              <w:top w:val="nil"/>
              <w:left w:val="nil"/>
              <w:bottom w:val="nil"/>
              <w:right w:val="nil"/>
            </w:tcBorders>
            <w:noWrap/>
            <w:vAlign w:val="center"/>
          </w:tcPr>
          <w:p w14:paraId="6BC48F8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0.673</w:t>
            </w:r>
          </w:p>
        </w:tc>
      </w:tr>
      <w:tr w:rsidR="00CC3835" w14:paraId="3E46B97C" w14:textId="77777777">
        <w:trPr>
          <w:trHeight w:val="113"/>
          <w:jc w:val="center"/>
        </w:trPr>
        <w:tc>
          <w:tcPr>
            <w:tcW w:w="2163" w:type="dxa"/>
            <w:tcBorders>
              <w:top w:val="nil"/>
              <w:left w:val="nil"/>
              <w:bottom w:val="nil"/>
              <w:right w:val="nil"/>
            </w:tcBorders>
            <w:noWrap/>
            <w:vAlign w:val="center"/>
          </w:tcPr>
          <w:p w14:paraId="6192B7A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Alcohol intake, n </w:t>
            </w:r>
            <w:r>
              <w:rPr>
                <w:rFonts w:ascii="Times New Roman" w:eastAsia="Times New Roman Bold" w:hAnsi="Times New Roman"/>
                <w:bCs/>
                <w:color w:val="000000" w:themeColor="text1"/>
                <w:sz w:val="16"/>
                <w:szCs w:val="16"/>
                <w:lang w:bidi="ar"/>
              </w:rPr>
              <w:t>(%)</w:t>
            </w:r>
          </w:p>
        </w:tc>
        <w:tc>
          <w:tcPr>
            <w:tcW w:w="1526" w:type="dxa"/>
            <w:tcBorders>
              <w:top w:val="nil"/>
              <w:left w:val="nil"/>
              <w:bottom w:val="nil"/>
              <w:right w:val="nil"/>
            </w:tcBorders>
            <w:noWrap/>
            <w:vAlign w:val="center"/>
          </w:tcPr>
          <w:p w14:paraId="549D642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499 (36.6)</w:t>
            </w:r>
          </w:p>
        </w:tc>
        <w:tc>
          <w:tcPr>
            <w:tcW w:w="1562" w:type="dxa"/>
            <w:tcBorders>
              <w:top w:val="nil"/>
              <w:left w:val="nil"/>
              <w:bottom w:val="nil"/>
              <w:right w:val="nil"/>
            </w:tcBorders>
            <w:noWrap/>
            <w:vAlign w:val="center"/>
          </w:tcPr>
          <w:p w14:paraId="3518131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128 (37.5)</w:t>
            </w:r>
          </w:p>
        </w:tc>
        <w:tc>
          <w:tcPr>
            <w:tcW w:w="1562" w:type="dxa"/>
            <w:tcBorders>
              <w:top w:val="nil"/>
              <w:left w:val="nil"/>
              <w:bottom w:val="nil"/>
              <w:right w:val="nil"/>
            </w:tcBorders>
            <w:noWrap/>
            <w:vAlign w:val="center"/>
          </w:tcPr>
          <w:p w14:paraId="77A255C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129 (37.8)</w:t>
            </w:r>
          </w:p>
        </w:tc>
        <w:tc>
          <w:tcPr>
            <w:tcW w:w="1562" w:type="dxa"/>
            <w:tcBorders>
              <w:top w:val="nil"/>
              <w:left w:val="nil"/>
              <w:bottom w:val="nil"/>
              <w:right w:val="nil"/>
            </w:tcBorders>
            <w:noWrap/>
            <w:vAlign w:val="center"/>
          </w:tcPr>
          <w:p w14:paraId="29C1215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122 (35.8)</w:t>
            </w:r>
          </w:p>
        </w:tc>
        <w:tc>
          <w:tcPr>
            <w:tcW w:w="1564" w:type="dxa"/>
            <w:tcBorders>
              <w:top w:val="nil"/>
              <w:left w:val="nil"/>
              <w:bottom w:val="nil"/>
              <w:right w:val="nil"/>
            </w:tcBorders>
            <w:noWrap/>
            <w:vAlign w:val="center"/>
          </w:tcPr>
          <w:p w14:paraId="7127BD1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120 (35.2)</w:t>
            </w:r>
          </w:p>
        </w:tc>
        <w:tc>
          <w:tcPr>
            <w:tcW w:w="856" w:type="dxa"/>
            <w:tcBorders>
              <w:top w:val="nil"/>
              <w:left w:val="nil"/>
              <w:bottom w:val="nil"/>
              <w:right w:val="nil"/>
            </w:tcBorders>
            <w:noWrap/>
            <w:vAlign w:val="center"/>
          </w:tcPr>
          <w:p w14:paraId="1C8F3DE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hint="eastAsia"/>
                <w:bCs/>
                <w:color w:val="000000" w:themeColor="text1"/>
                <w:sz w:val="16"/>
                <w:szCs w:val="16"/>
                <w:lang w:bidi="ar"/>
              </w:rPr>
              <w:t>0.863</w:t>
            </w:r>
          </w:p>
        </w:tc>
      </w:tr>
      <w:tr w:rsidR="00CC3835" w14:paraId="794BC7B6" w14:textId="77777777">
        <w:trPr>
          <w:trHeight w:val="113"/>
          <w:jc w:val="center"/>
        </w:trPr>
        <w:tc>
          <w:tcPr>
            <w:tcW w:w="2163" w:type="dxa"/>
            <w:tcBorders>
              <w:top w:val="nil"/>
              <w:left w:val="nil"/>
              <w:bottom w:val="nil"/>
              <w:right w:val="nil"/>
            </w:tcBorders>
            <w:noWrap/>
            <w:vAlign w:val="center"/>
          </w:tcPr>
          <w:p w14:paraId="3A46997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Medical history, n (%)</w:t>
            </w:r>
          </w:p>
        </w:tc>
        <w:tc>
          <w:tcPr>
            <w:tcW w:w="1526" w:type="dxa"/>
            <w:tcBorders>
              <w:top w:val="nil"/>
              <w:left w:val="nil"/>
              <w:bottom w:val="nil"/>
              <w:right w:val="nil"/>
            </w:tcBorders>
            <w:noWrap/>
            <w:vAlign w:val="center"/>
          </w:tcPr>
          <w:p w14:paraId="417A7F1D"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136B524E"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17413ADA"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3C7B7FBB"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4" w:type="dxa"/>
            <w:tcBorders>
              <w:top w:val="nil"/>
              <w:left w:val="nil"/>
              <w:bottom w:val="nil"/>
              <w:right w:val="nil"/>
            </w:tcBorders>
            <w:noWrap/>
            <w:vAlign w:val="center"/>
          </w:tcPr>
          <w:p w14:paraId="68E00E29"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856" w:type="dxa"/>
            <w:tcBorders>
              <w:top w:val="nil"/>
              <w:left w:val="nil"/>
              <w:bottom w:val="nil"/>
              <w:right w:val="nil"/>
            </w:tcBorders>
            <w:noWrap/>
            <w:vAlign w:val="center"/>
          </w:tcPr>
          <w:p w14:paraId="768C23F1"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07BDE8F8" w14:textId="77777777">
        <w:trPr>
          <w:trHeight w:val="113"/>
          <w:jc w:val="center"/>
        </w:trPr>
        <w:tc>
          <w:tcPr>
            <w:tcW w:w="2163" w:type="dxa"/>
            <w:tcBorders>
              <w:top w:val="nil"/>
              <w:left w:val="nil"/>
              <w:bottom w:val="nil"/>
              <w:right w:val="nil"/>
            </w:tcBorders>
            <w:noWrap/>
            <w:vAlign w:val="center"/>
          </w:tcPr>
          <w:p w14:paraId="6B39985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Hypertension</w:t>
            </w:r>
          </w:p>
        </w:tc>
        <w:tc>
          <w:tcPr>
            <w:tcW w:w="1526" w:type="dxa"/>
            <w:tcBorders>
              <w:top w:val="nil"/>
              <w:left w:val="nil"/>
              <w:bottom w:val="nil"/>
              <w:right w:val="nil"/>
            </w:tcBorders>
            <w:noWrap/>
            <w:vAlign w:val="center"/>
          </w:tcPr>
          <w:p w14:paraId="1B96FC6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934 (68.5)</w:t>
            </w:r>
          </w:p>
        </w:tc>
        <w:tc>
          <w:tcPr>
            <w:tcW w:w="1562" w:type="dxa"/>
            <w:tcBorders>
              <w:top w:val="nil"/>
              <w:left w:val="nil"/>
              <w:bottom w:val="nil"/>
              <w:right w:val="nil"/>
            </w:tcBorders>
            <w:noWrap/>
            <w:vAlign w:val="center"/>
          </w:tcPr>
          <w:p w14:paraId="0A5CF1E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170 (49.9)</w:t>
            </w:r>
          </w:p>
        </w:tc>
        <w:tc>
          <w:tcPr>
            <w:tcW w:w="1562" w:type="dxa"/>
            <w:tcBorders>
              <w:top w:val="nil"/>
              <w:left w:val="nil"/>
              <w:bottom w:val="nil"/>
              <w:right w:val="nil"/>
            </w:tcBorders>
            <w:noWrap/>
            <w:vAlign w:val="center"/>
          </w:tcPr>
          <w:p w14:paraId="2AB9DF0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234 (68.6)</w:t>
            </w:r>
          </w:p>
        </w:tc>
        <w:tc>
          <w:tcPr>
            <w:tcW w:w="1562" w:type="dxa"/>
            <w:tcBorders>
              <w:top w:val="nil"/>
              <w:left w:val="nil"/>
              <w:bottom w:val="nil"/>
              <w:right w:val="nil"/>
            </w:tcBorders>
            <w:noWrap/>
            <w:vAlign w:val="center"/>
          </w:tcPr>
          <w:p w14:paraId="37ADBF6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258 (75.7)</w:t>
            </w:r>
          </w:p>
        </w:tc>
        <w:tc>
          <w:tcPr>
            <w:tcW w:w="1564" w:type="dxa"/>
            <w:tcBorders>
              <w:top w:val="nil"/>
              <w:left w:val="nil"/>
              <w:bottom w:val="nil"/>
              <w:right w:val="nil"/>
            </w:tcBorders>
            <w:noWrap/>
            <w:vAlign w:val="center"/>
          </w:tcPr>
          <w:p w14:paraId="1F956EB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272 (79.8)</w:t>
            </w:r>
          </w:p>
        </w:tc>
        <w:tc>
          <w:tcPr>
            <w:tcW w:w="856" w:type="dxa"/>
            <w:tcBorders>
              <w:top w:val="nil"/>
              <w:left w:val="nil"/>
              <w:bottom w:val="nil"/>
              <w:right w:val="nil"/>
            </w:tcBorders>
            <w:noWrap/>
            <w:vAlign w:val="center"/>
          </w:tcPr>
          <w:p w14:paraId="42C4820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42CFD2D8" w14:textId="77777777">
        <w:trPr>
          <w:trHeight w:val="113"/>
          <w:jc w:val="center"/>
        </w:trPr>
        <w:tc>
          <w:tcPr>
            <w:tcW w:w="2163" w:type="dxa"/>
            <w:tcBorders>
              <w:top w:val="nil"/>
              <w:left w:val="nil"/>
              <w:bottom w:val="nil"/>
              <w:right w:val="nil"/>
            </w:tcBorders>
            <w:noWrap/>
            <w:vAlign w:val="center"/>
          </w:tcPr>
          <w:p w14:paraId="1B9F271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Diabetes mellitus</w:t>
            </w:r>
          </w:p>
        </w:tc>
        <w:tc>
          <w:tcPr>
            <w:tcW w:w="1526" w:type="dxa"/>
            <w:tcBorders>
              <w:top w:val="nil"/>
              <w:left w:val="nil"/>
              <w:bottom w:val="nil"/>
              <w:right w:val="nil"/>
            </w:tcBorders>
            <w:noWrap/>
            <w:vAlign w:val="center"/>
          </w:tcPr>
          <w:p w14:paraId="43AAA12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205 (15.0)</w:t>
            </w:r>
          </w:p>
        </w:tc>
        <w:tc>
          <w:tcPr>
            <w:tcW w:w="1562" w:type="dxa"/>
            <w:tcBorders>
              <w:top w:val="nil"/>
              <w:left w:val="nil"/>
              <w:bottom w:val="nil"/>
              <w:right w:val="nil"/>
            </w:tcBorders>
            <w:noWrap/>
            <w:vAlign w:val="center"/>
          </w:tcPr>
          <w:p w14:paraId="03F41C5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39 (11.4)</w:t>
            </w:r>
          </w:p>
        </w:tc>
        <w:tc>
          <w:tcPr>
            <w:tcW w:w="1562" w:type="dxa"/>
            <w:tcBorders>
              <w:top w:val="nil"/>
              <w:left w:val="nil"/>
              <w:bottom w:val="nil"/>
              <w:right w:val="nil"/>
            </w:tcBorders>
            <w:noWrap/>
            <w:vAlign w:val="center"/>
          </w:tcPr>
          <w:p w14:paraId="46EF4B8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46 (13.5)</w:t>
            </w:r>
          </w:p>
        </w:tc>
        <w:tc>
          <w:tcPr>
            <w:tcW w:w="1562" w:type="dxa"/>
            <w:tcBorders>
              <w:top w:val="nil"/>
              <w:left w:val="nil"/>
              <w:bottom w:val="nil"/>
              <w:right w:val="nil"/>
            </w:tcBorders>
            <w:noWrap/>
            <w:vAlign w:val="center"/>
          </w:tcPr>
          <w:p w14:paraId="65308C4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49 (14.4)</w:t>
            </w:r>
          </w:p>
        </w:tc>
        <w:tc>
          <w:tcPr>
            <w:tcW w:w="1564" w:type="dxa"/>
            <w:tcBorders>
              <w:top w:val="nil"/>
              <w:left w:val="nil"/>
              <w:bottom w:val="nil"/>
              <w:right w:val="nil"/>
            </w:tcBorders>
            <w:noWrap/>
            <w:vAlign w:val="center"/>
          </w:tcPr>
          <w:p w14:paraId="12822F4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71 (20.8)</w:t>
            </w:r>
          </w:p>
        </w:tc>
        <w:tc>
          <w:tcPr>
            <w:tcW w:w="856" w:type="dxa"/>
            <w:tcBorders>
              <w:top w:val="nil"/>
              <w:left w:val="nil"/>
              <w:bottom w:val="nil"/>
              <w:right w:val="nil"/>
            </w:tcBorders>
            <w:noWrap/>
            <w:vAlign w:val="center"/>
          </w:tcPr>
          <w:p w14:paraId="275D569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0.004</w:t>
            </w:r>
          </w:p>
        </w:tc>
      </w:tr>
      <w:tr w:rsidR="00CC3835" w14:paraId="310B63D0" w14:textId="77777777">
        <w:trPr>
          <w:trHeight w:val="113"/>
          <w:jc w:val="center"/>
        </w:trPr>
        <w:tc>
          <w:tcPr>
            <w:tcW w:w="2163" w:type="dxa"/>
            <w:tcBorders>
              <w:top w:val="nil"/>
              <w:left w:val="nil"/>
              <w:bottom w:val="nil"/>
              <w:right w:val="nil"/>
            </w:tcBorders>
            <w:noWrap/>
            <w:vAlign w:val="center"/>
          </w:tcPr>
          <w:p w14:paraId="39D8893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Dyslipidemia</w:t>
            </w:r>
          </w:p>
        </w:tc>
        <w:tc>
          <w:tcPr>
            <w:tcW w:w="1526" w:type="dxa"/>
            <w:tcBorders>
              <w:top w:val="nil"/>
              <w:left w:val="nil"/>
              <w:bottom w:val="nil"/>
              <w:right w:val="nil"/>
            </w:tcBorders>
            <w:noWrap/>
            <w:vAlign w:val="center"/>
          </w:tcPr>
          <w:p w14:paraId="4314567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125 (9.2)</w:t>
            </w:r>
          </w:p>
        </w:tc>
        <w:tc>
          <w:tcPr>
            <w:tcW w:w="1562" w:type="dxa"/>
            <w:tcBorders>
              <w:top w:val="nil"/>
              <w:left w:val="nil"/>
              <w:bottom w:val="nil"/>
              <w:right w:val="nil"/>
            </w:tcBorders>
            <w:noWrap/>
            <w:vAlign w:val="center"/>
          </w:tcPr>
          <w:p w14:paraId="7E463DD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32 (9.4)</w:t>
            </w:r>
          </w:p>
        </w:tc>
        <w:tc>
          <w:tcPr>
            <w:tcW w:w="1562" w:type="dxa"/>
            <w:tcBorders>
              <w:top w:val="nil"/>
              <w:left w:val="nil"/>
              <w:bottom w:val="nil"/>
              <w:right w:val="nil"/>
            </w:tcBorders>
            <w:noWrap/>
            <w:vAlign w:val="center"/>
          </w:tcPr>
          <w:p w14:paraId="67BF51C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32 (9.4)</w:t>
            </w:r>
          </w:p>
        </w:tc>
        <w:tc>
          <w:tcPr>
            <w:tcW w:w="1562" w:type="dxa"/>
            <w:tcBorders>
              <w:top w:val="nil"/>
              <w:left w:val="nil"/>
              <w:bottom w:val="nil"/>
              <w:right w:val="nil"/>
            </w:tcBorders>
            <w:noWrap/>
            <w:vAlign w:val="center"/>
          </w:tcPr>
          <w:p w14:paraId="31B1E02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32 (9.4)</w:t>
            </w:r>
          </w:p>
        </w:tc>
        <w:tc>
          <w:tcPr>
            <w:tcW w:w="1564" w:type="dxa"/>
            <w:tcBorders>
              <w:top w:val="nil"/>
              <w:left w:val="nil"/>
              <w:bottom w:val="nil"/>
              <w:right w:val="nil"/>
            </w:tcBorders>
            <w:noWrap/>
            <w:vAlign w:val="center"/>
          </w:tcPr>
          <w:p w14:paraId="0FF0A78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29 (8.5)</w:t>
            </w:r>
          </w:p>
        </w:tc>
        <w:tc>
          <w:tcPr>
            <w:tcW w:w="856" w:type="dxa"/>
            <w:tcBorders>
              <w:top w:val="nil"/>
              <w:left w:val="nil"/>
              <w:bottom w:val="nil"/>
              <w:right w:val="nil"/>
            </w:tcBorders>
            <w:noWrap/>
            <w:vAlign w:val="center"/>
          </w:tcPr>
          <w:p w14:paraId="1E58002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0.971</w:t>
            </w:r>
          </w:p>
        </w:tc>
      </w:tr>
      <w:tr w:rsidR="00CC3835" w14:paraId="41C685EE" w14:textId="77777777">
        <w:trPr>
          <w:trHeight w:val="113"/>
          <w:jc w:val="center"/>
        </w:trPr>
        <w:tc>
          <w:tcPr>
            <w:tcW w:w="2163" w:type="dxa"/>
            <w:tcBorders>
              <w:top w:val="nil"/>
              <w:left w:val="nil"/>
              <w:bottom w:val="nil"/>
              <w:right w:val="nil"/>
            </w:tcBorders>
            <w:noWrap/>
            <w:vAlign w:val="center"/>
          </w:tcPr>
          <w:p w14:paraId="1D00F58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Ischemic stroke</w:t>
            </w:r>
          </w:p>
        </w:tc>
        <w:tc>
          <w:tcPr>
            <w:tcW w:w="1526" w:type="dxa"/>
            <w:tcBorders>
              <w:top w:val="nil"/>
              <w:left w:val="nil"/>
              <w:bottom w:val="nil"/>
              <w:right w:val="nil"/>
            </w:tcBorders>
            <w:noWrap/>
            <w:vAlign w:val="center"/>
          </w:tcPr>
          <w:p w14:paraId="48D758F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195 (14.3)</w:t>
            </w:r>
          </w:p>
        </w:tc>
        <w:tc>
          <w:tcPr>
            <w:tcW w:w="1562" w:type="dxa"/>
            <w:tcBorders>
              <w:top w:val="nil"/>
              <w:left w:val="nil"/>
              <w:bottom w:val="nil"/>
              <w:right w:val="nil"/>
            </w:tcBorders>
            <w:noWrap/>
            <w:vAlign w:val="center"/>
          </w:tcPr>
          <w:p w14:paraId="087DB6C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52 (15.2)</w:t>
            </w:r>
          </w:p>
        </w:tc>
        <w:tc>
          <w:tcPr>
            <w:tcW w:w="1562" w:type="dxa"/>
            <w:tcBorders>
              <w:top w:val="nil"/>
              <w:left w:val="nil"/>
              <w:bottom w:val="nil"/>
              <w:right w:val="nil"/>
            </w:tcBorders>
            <w:noWrap/>
            <w:vAlign w:val="center"/>
          </w:tcPr>
          <w:p w14:paraId="59DACEF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46 (13.5)</w:t>
            </w:r>
          </w:p>
        </w:tc>
        <w:tc>
          <w:tcPr>
            <w:tcW w:w="1562" w:type="dxa"/>
            <w:tcBorders>
              <w:top w:val="nil"/>
              <w:left w:val="nil"/>
              <w:bottom w:val="nil"/>
              <w:right w:val="nil"/>
            </w:tcBorders>
            <w:noWrap/>
            <w:vAlign w:val="center"/>
          </w:tcPr>
          <w:p w14:paraId="3A4269D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46 (13.5)</w:t>
            </w:r>
          </w:p>
        </w:tc>
        <w:tc>
          <w:tcPr>
            <w:tcW w:w="1564" w:type="dxa"/>
            <w:tcBorders>
              <w:top w:val="nil"/>
              <w:left w:val="nil"/>
              <w:bottom w:val="nil"/>
              <w:right w:val="nil"/>
            </w:tcBorders>
            <w:noWrap/>
            <w:vAlign w:val="center"/>
          </w:tcPr>
          <w:p w14:paraId="20E338F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51 (15.0)</w:t>
            </w:r>
          </w:p>
        </w:tc>
        <w:tc>
          <w:tcPr>
            <w:tcW w:w="856" w:type="dxa"/>
            <w:tcBorders>
              <w:top w:val="nil"/>
              <w:left w:val="nil"/>
              <w:bottom w:val="nil"/>
              <w:right w:val="nil"/>
            </w:tcBorders>
            <w:noWrap/>
            <w:vAlign w:val="center"/>
          </w:tcPr>
          <w:p w14:paraId="480D501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0.865</w:t>
            </w:r>
          </w:p>
        </w:tc>
      </w:tr>
      <w:tr w:rsidR="00CC3835" w14:paraId="4716ED43" w14:textId="77777777">
        <w:trPr>
          <w:trHeight w:val="113"/>
          <w:jc w:val="center"/>
        </w:trPr>
        <w:tc>
          <w:tcPr>
            <w:tcW w:w="2163" w:type="dxa"/>
            <w:tcBorders>
              <w:top w:val="nil"/>
              <w:left w:val="nil"/>
              <w:bottom w:val="nil"/>
              <w:right w:val="nil"/>
            </w:tcBorders>
            <w:noWrap/>
            <w:vAlign w:val="center"/>
          </w:tcPr>
          <w:p w14:paraId="780CD3C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Myocardial infarction</w:t>
            </w:r>
          </w:p>
        </w:tc>
        <w:tc>
          <w:tcPr>
            <w:tcW w:w="1526" w:type="dxa"/>
            <w:tcBorders>
              <w:top w:val="nil"/>
              <w:left w:val="nil"/>
              <w:bottom w:val="nil"/>
              <w:right w:val="nil"/>
            </w:tcBorders>
            <w:noWrap/>
            <w:vAlign w:val="center"/>
          </w:tcPr>
          <w:p w14:paraId="1F263F3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28 (2.1)</w:t>
            </w:r>
          </w:p>
        </w:tc>
        <w:tc>
          <w:tcPr>
            <w:tcW w:w="1562" w:type="dxa"/>
            <w:tcBorders>
              <w:top w:val="nil"/>
              <w:left w:val="nil"/>
              <w:bottom w:val="nil"/>
              <w:right w:val="nil"/>
            </w:tcBorders>
            <w:noWrap/>
            <w:vAlign w:val="center"/>
          </w:tcPr>
          <w:p w14:paraId="1954998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 (2.6)</w:t>
            </w:r>
          </w:p>
        </w:tc>
        <w:tc>
          <w:tcPr>
            <w:tcW w:w="1562" w:type="dxa"/>
            <w:tcBorders>
              <w:top w:val="nil"/>
              <w:left w:val="nil"/>
              <w:bottom w:val="nil"/>
              <w:right w:val="nil"/>
            </w:tcBorders>
            <w:noWrap/>
            <w:vAlign w:val="center"/>
          </w:tcPr>
          <w:p w14:paraId="5D924A0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8 (2.3)</w:t>
            </w:r>
          </w:p>
        </w:tc>
        <w:tc>
          <w:tcPr>
            <w:tcW w:w="1562" w:type="dxa"/>
            <w:tcBorders>
              <w:top w:val="nil"/>
              <w:left w:val="nil"/>
              <w:bottom w:val="nil"/>
              <w:right w:val="nil"/>
            </w:tcBorders>
            <w:noWrap/>
            <w:vAlign w:val="center"/>
          </w:tcPr>
          <w:p w14:paraId="502F9A2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 (2.1)</w:t>
            </w:r>
          </w:p>
        </w:tc>
        <w:tc>
          <w:tcPr>
            <w:tcW w:w="1564" w:type="dxa"/>
            <w:tcBorders>
              <w:top w:val="nil"/>
              <w:left w:val="nil"/>
              <w:bottom w:val="nil"/>
              <w:right w:val="nil"/>
            </w:tcBorders>
            <w:noWrap/>
            <w:vAlign w:val="center"/>
          </w:tcPr>
          <w:p w14:paraId="4D3ABF2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 (1.2)</w:t>
            </w:r>
          </w:p>
        </w:tc>
        <w:tc>
          <w:tcPr>
            <w:tcW w:w="856" w:type="dxa"/>
            <w:tcBorders>
              <w:top w:val="nil"/>
              <w:left w:val="nil"/>
              <w:bottom w:val="nil"/>
              <w:right w:val="nil"/>
            </w:tcBorders>
            <w:noWrap/>
            <w:vAlign w:val="center"/>
          </w:tcPr>
          <w:p w14:paraId="61C469A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0.564</w:t>
            </w:r>
          </w:p>
        </w:tc>
      </w:tr>
      <w:tr w:rsidR="00CC3835" w14:paraId="3A2057DE" w14:textId="77777777">
        <w:trPr>
          <w:trHeight w:val="298"/>
          <w:jc w:val="center"/>
        </w:trPr>
        <w:tc>
          <w:tcPr>
            <w:tcW w:w="2163" w:type="dxa"/>
            <w:tcBorders>
              <w:top w:val="nil"/>
              <w:left w:val="nil"/>
              <w:bottom w:val="nil"/>
              <w:right w:val="nil"/>
            </w:tcBorders>
            <w:noWrap/>
            <w:vAlign w:val="center"/>
          </w:tcPr>
          <w:p w14:paraId="5598EDE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mRS before onset</w:t>
            </w:r>
          </w:p>
        </w:tc>
        <w:tc>
          <w:tcPr>
            <w:tcW w:w="1526" w:type="dxa"/>
            <w:tcBorders>
              <w:top w:val="nil"/>
              <w:left w:val="nil"/>
              <w:bottom w:val="nil"/>
              <w:right w:val="nil"/>
            </w:tcBorders>
            <w:noWrap/>
            <w:vAlign w:val="center"/>
          </w:tcPr>
          <w:p w14:paraId="66EB39C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 (0.0, 0.0)</w:t>
            </w:r>
          </w:p>
        </w:tc>
        <w:tc>
          <w:tcPr>
            <w:tcW w:w="1562" w:type="dxa"/>
            <w:tcBorders>
              <w:top w:val="nil"/>
              <w:left w:val="nil"/>
              <w:bottom w:val="nil"/>
              <w:right w:val="nil"/>
            </w:tcBorders>
            <w:noWrap/>
            <w:vAlign w:val="center"/>
          </w:tcPr>
          <w:p w14:paraId="6913EA4B"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0.0 </w:t>
            </w:r>
            <w:r>
              <w:rPr>
                <w:rFonts w:ascii="Times New Roman" w:eastAsia="Times New Roman Bold" w:hAnsi="Times New Roman"/>
                <w:bCs/>
                <w:color w:val="000000" w:themeColor="text1"/>
                <w:sz w:val="16"/>
                <w:szCs w:val="16"/>
                <w:lang w:bidi="ar"/>
              </w:rPr>
              <w:t>(0.0, 0.0)</w:t>
            </w:r>
          </w:p>
        </w:tc>
        <w:tc>
          <w:tcPr>
            <w:tcW w:w="1562" w:type="dxa"/>
            <w:tcBorders>
              <w:top w:val="nil"/>
              <w:left w:val="nil"/>
              <w:bottom w:val="nil"/>
              <w:right w:val="nil"/>
            </w:tcBorders>
            <w:noWrap/>
            <w:vAlign w:val="center"/>
          </w:tcPr>
          <w:p w14:paraId="3C10342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 (0.0, 0.0)</w:t>
            </w:r>
          </w:p>
        </w:tc>
        <w:tc>
          <w:tcPr>
            <w:tcW w:w="1562" w:type="dxa"/>
            <w:tcBorders>
              <w:top w:val="nil"/>
              <w:left w:val="nil"/>
              <w:bottom w:val="nil"/>
              <w:right w:val="nil"/>
            </w:tcBorders>
            <w:noWrap/>
            <w:vAlign w:val="center"/>
          </w:tcPr>
          <w:p w14:paraId="54ACE3F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 (0.0, 0.0)</w:t>
            </w:r>
          </w:p>
        </w:tc>
        <w:tc>
          <w:tcPr>
            <w:tcW w:w="1564" w:type="dxa"/>
            <w:tcBorders>
              <w:top w:val="nil"/>
              <w:left w:val="nil"/>
              <w:bottom w:val="nil"/>
              <w:right w:val="nil"/>
            </w:tcBorders>
            <w:noWrap/>
            <w:vAlign w:val="center"/>
          </w:tcPr>
          <w:p w14:paraId="07B2CFA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 (0.0, 0.0)</w:t>
            </w:r>
          </w:p>
        </w:tc>
        <w:tc>
          <w:tcPr>
            <w:tcW w:w="856" w:type="dxa"/>
            <w:tcBorders>
              <w:top w:val="nil"/>
              <w:left w:val="nil"/>
              <w:bottom w:val="nil"/>
              <w:right w:val="nil"/>
            </w:tcBorders>
            <w:noWrap/>
            <w:vAlign w:val="center"/>
          </w:tcPr>
          <w:p w14:paraId="71D6023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0.926</w:t>
            </w:r>
          </w:p>
        </w:tc>
      </w:tr>
      <w:tr w:rsidR="00CC3835" w14:paraId="764ACDCF" w14:textId="77777777">
        <w:trPr>
          <w:trHeight w:val="113"/>
          <w:jc w:val="center"/>
        </w:trPr>
        <w:tc>
          <w:tcPr>
            <w:tcW w:w="2163" w:type="dxa"/>
            <w:tcBorders>
              <w:top w:val="nil"/>
              <w:left w:val="nil"/>
              <w:bottom w:val="nil"/>
              <w:right w:val="nil"/>
            </w:tcBorders>
            <w:noWrap/>
            <w:vAlign w:val="center"/>
          </w:tcPr>
          <w:p w14:paraId="05D7AF9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Onset-to-door time, h</w:t>
            </w:r>
          </w:p>
        </w:tc>
        <w:tc>
          <w:tcPr>
            <w:tcW w:w="1526" w:type="dxa"/>
            <w:tcBorders>
              <w:top w:val="nil"/>
              <w:left w:val="nil"/>
              <w:bottom w:val="nil"/>
              <w:right w:val="nil"/>
            </w:tcBorders>
            <w:noWrap/>
            <w:vAlign w:val="center"/>
          </w:tcPr>
          <w:p w14:paraId="3E78532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4.0 (1.9, 11.4)</w:t>
            </w:r>
          </w:p>
        </w:tc>
        <w:tc>
          <w:tcPr>
            <w:tcW w:w="1562" w:type="dxa"/>
            <w:tcBorders>
              <w:top w:val="nil"/>
              <w:left w:val="nil"/>
              <w:bottom w:val="nil"/>
              <w:right w:val="nil"/>
            </w:tcBorders>
            <w:noWrap/>
            <w:vAlign w:val="center"/>
          </w:tcPr>
          <w:p w14:paraId="291ADF7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5.5 (2.3, 19.0)</w:t>
            </w:r>
          </w:p>
        </w:tc>
        <w:tc>
          <w:tcPr>
            <w:tcW w:w="1562" w:type="dxa"/>
            <w:tcBorders>
              <w:top w:val="nil"/>
              <w:left w:val="nil"/>
              <w:bottom w:val="nil"/>
              <w:right w:val="nil"/>
            </w:tcBorders>
            <w:noWrap/>
            <w:vAlign w:val="center"/>
          </w:tcPr>
          <w:p w14:paraId="06FB284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4.5 (2.0, 11.4)</w:t>
            </w:r>
          </w:p>
        </w:tc>
        <w:tc>
          <w:tcPr>
            <w:tcW w:w="1562" w:type="dxa"/>
            <w:tcBorders>
              <w:top w:val="nil"/>
              <w:left w:val="nil"/>
              <w:bottom w:val="nil"/>
              <w:right w:val="nil"/>
            </w:tcBorders>
            <w:noWrap/>
            <w:vAlign w:val="center"/>
          </w:tcPr>
          <w:p w14:paraId="6C44FC0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3.0 (1.7, 8.4)</w:t>
            </w:r>
          </w:p>
        </w:tc>
        <w:tc>
          <w:tcPr>
            <w:tcW w:w="1564" w:type="dxa"/>
            <w:tcBorders>
              <w:top w:val="nil"/>
              <w:left w:val="nil"/>
              <w:bottom w:val="nil"/>
              <w:right w:val="nil"/>
            </w:tcBorders>
            <w:noWrap/>
            <w:vAlign w:val="center"/>
          </w:tcPr>
          <w:p w14:paraId="2D85FA1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3.5 (1.8, 8.4)</w:t>
            </w:r>
          </w:p>
        </w:tc>
        <w:tc>
          <w:tcPr>
            <w:tcW w:w="856" w:type="dxa"/>
            <w:tcBorders>
              <w:top w:val="nil"/>
              <w:left w:val="nil"/>
              <w:bottom w:val="nil"/>
              <w:right w:val="nil"/>
            </w:tcBorders>
            <w:noWrap/>
            <w:vAlign w:val="center"/>
          </w:tcPr>
          <w:p w14:paraId="07D7A11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7775A14E" w14:textId="77777777">
        <w:trPr>
          <w:trHeight w:val="113"/>
          <w:jc w:val="center"/>
        </w:trPr>
        <w:tc>
          <w:tcPr>
            <w:tcW w:w="2163" w:type="dxa"/>
            <w:tcBorders>
              <w:top w:val="nil"/>
              <w:left w:val="nil"/>
              <w:bottom w:val="nil"/>
              <w:right w:val="nil"/>
            </w:tcBorders>
            <w:noWrap/>
            <w:vAlign w:val="center"/>
          </w:tcPr>
          <w:p w14:paraId="2EC666B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Admission SBP, mmHg</w:t>
            </w:r>
          </w:p>
        </w:tc>
        <w:tc>
          <w:tcPr>
            <w:tcW w:w="1526" w:type="dxa"/>
            <w:tcBorders>
              <w:top w:val="nil"/>
              <w:left w:val="nil"/>
              <w:bottom w:val="nil"/>
              <w:right w:val="nil"/>
            </w:tcBorders>
            <w:noWrap/>
            <w:vAlign w:val="center"/>
          </w:tcPr>
          <w:p w14:paraId="0C5FB00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164.0 (147.0, 185.3)</w:t>
            </w:r>
          </w:p>
        </w:tc>
        <w:tc>
          <w:tcPr>
            <w:tcW w:w="1562" w:type="dxa"/>
            <w:tcBorders>
              <w:top w:val="nil"/>
              <w:left w:val="nil"/>
              <w:bottom w:val="nil"/>
              <w:right w:val="nil"/>
            </w:tcBorders>
            <w:noWrap/>
            <w:vAlign w:val="center"/>
          </w:tcPr>
          <w:p w14:paraId="4DF1012A"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135.0 (127.0, 150.0)</w:t>
            </w:r>
          </w:p>
        </w:tc>
        <w:tc>
          <w:tcPr>
            <w:tcW w:w="1562" w:type="dxa"/>
            <w:tcBorders>
              <w:top w:val="nil"/>
              <w:left w:val="nil"/>
              <w:bottom w:val="nil"/>
              <w:right w:val="nil"/>
            </w:tcBorders>
            <w:noWrap/>
            <w:vAlign w:val="center"/>
          </w:tcPr>
          <w:p w14:paraId="31C6956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159.0 (148.0, 170.0)</w:t>
            </w:r>
          </w:p>
        </w:tc>
        <w:tc>
          <w:tcPr>
            <w:tcW w:w="1562" w:type="dxa"/>
            <w:tcBorders>
              <w:top w:val="nil"/>
              <w:left w:val="nil"/>
              <w:bottom w:val="nil"/>
              <w:right w:val="nil"/>
            </w:tcBorders>
            <w:noWrap/>
            <w:vAlign w:val="center"/>
          </w:tcPr>
          <w:p w14:paraId="2A5F696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177.0 (162.0, 188.0)</w:t>
            </w:r>
          </w:p>
        </w:tc>
        <w:tc>
          <w:tcPr>
            <w:tcW w:w="1564" w:type="dxa"/>
            <w:tcBorders>
              <w:top w:val="nil"/>
              <w:left w:val="nil"/>
              <w:bottom w:val="nil"/>
              <w:right w:val="nil"/>
            </w:tcBorders>
            <w:noWrap/>
            <w:vAlign w:val="center"/>
          </w:tcPr>
          <w:p w14:paraId="295ADF4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195.0 (175.0, 210.0)</w:t>
            </w:r>
          </w:p>
        </w:tc>
        <w:tc>
          <w:tcPr>
            <w:tcW w:w="856" w:type="dxa"/>
            <w:tcBorders>
              <w:top w:val="nil"/>
              <w:left w:val="nil"/>
              <w:bottom w:val="nil"/>
              <w:right w:val="nil"/>
            </w:tcBorders>
            <w:noWrap/>
            <w:vAlign w:val="center"/>
          </w:tcPr>
          <w:p w14:paraId="1E35226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5FAF0D18" w14:textId="77777777">
        <w:trPr>
          <w:trHeight w:val="113"/>
          <w:jc w:val="center"/>
        </w:trPr>
        <w:tc>
          <w:tcPr>
            <w:tcW w:w="2163" w:type="dxa"/>
            <w:tcBorders>
              <w:top w:val="nil"/>
              <w:left w:val="nil"/>
              <w:bottom w:val="nil"/>
              <w:right w:val="nil"/>
            </w:tcBorders>
            <w:noWrap/>
            <w:vAlign w:val="center"/>
          </w:tcPr>
          <w:p w14:paraId="76BA3002" w14:textId="77777777" w:rsidR="00CC3835" w:rsidRDefault="00256BAA">
            <w:pPr>
              <w:jc w:val="center"/>
              <w:textAlignment w:val="center"/>
              <w:rPr>
                <w:rFonts w:ascii="Times New Roman"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Admission HR, bp</w:t>
            </w:r>
            <w:r>
              <w:rPr>
                <w:rFonts w:ascii="Times New Roman" w:hAnsi="Times New Roman" w:hint="eastAsia"/>
                <w:bCs/>
                <w:color w:val="000000" w:themeColor="text1"/>
                <w:sz w:val="16"/>
                <w:szCs w:val="16"/>
                <w:lang w:bidi="ar"/>
              </w:rPr>
              <w:t>m</w:t>
            </w:r>
          </w:p>
        </w:tc>
        <w:tc>
          <w:tcPr>
            <w:tcW w:w="1526" w:type="dxa"/>
            <w:tcBorders>
              <w:top w:val="nil"/>
              <w:left w:val="nil"/>
              <w:bottom w:val="nil"/>
              <w:right w:val="nil"/>
            </w:tcBorders>
            <w:noWrap/>
            <w:vAlign w:val="center"/>
          </w:tcPr>
          <w:p w14:paraId="5FD0B48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79.0 (70.0, 88.0)</w:t>
            </w:r>
          </w:p>
        </w:tc>
        <w:tc>
          <w:tcPr>
            <w:tcW w:w="1562" w:type="dxa"/>
            <w:tcBorders>
              <w:top w:val="nil"/>
              <w:left w:val="nil"/>
              <w:bottom w:val="nil"/>
              <w:right w:val="nil"/>
            </w:tcBorders>
            <w:noWrap/>
            <w:vAlign w:val="center"/>
          </w:tcPr>
          <w:p w14:paraId="64AAD6B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70.0 (62.0, 75.0)</w:t>
            </w:r>
          </w:p>
        </w:tc>
        <w:tc>
          <w:tcPr>
            <w:tcW w:w="1562" w:type="dxa"/>
            <w:tcBorders>
              <w:top w:val="nil"/>
              <w:left w:val="nil"/>
              <w:bottom w:val="nil"/>
              <w:right w:val="nil"/>
            </w:tcBorders>
            <w:noWrap/>
            <w:vAlign w:val="center"/>
          </w:tcPr>
          <w:p w14:paraId="08FB25D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76.0 (70.0, 80.0)</w:t>
            </w:r>
          </w:p>
        </w:tc>
        <w:tc>
          <w:tcPr>
            <w:tcW w:w="1562" w:type="dxa"/>
            <w:tcBorders>
              <w:top w:val="nil"/>
              <w:left w:val="nil"/>
              <w:bottom w:val="nil"/>
              <w:right w:val="nil"/>
            </w:tcBorders>
            <w:noWrap/>
            <w:vAlign w:val="center"/>
          </w:tcPr>
          <w:p w14:paraId="25E82F6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80.0 (75.0, 86.0)</w:t>
            </w:r>
          </w:p>
        </w:tc>
        <w:tc>
          <w:tcPr>
            <w:tcW w:w="1564" w:type="dxa"/>
            <w:tcBorders>
              <w:top w:val="nil"/>
              <w:left w:val="nil"/>
              <w:bottom w:val="nil"/>
              <w:right w:val="nil"/>
            </w:tcBorders>
            <w:noWrap/>
            <w:vAlign w:val="center"/>
          </w:tcPr>
          <w:p w14:paraId="577065E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98.0 (86.0, 108.0)</w:t>
            </w:r>
          </w:p>
        </w:tc>
        <w:tc>
          <w:tcPr>
            <w:tcW w:w="856" w:type="dxa"/>
            <w:tcBorders>
              <w:top w:val="nil"/>
              <w:left w:val="nil"/>
              <w:bottom w:val="nil"/>
              <w:right w:val="nil"/>
            </w:tcBorders>
            <w:noWrap/>
            <w:vAlign w:val="center"/>
          </w:tcPr>
          <w:p w14:paraId="0E01373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3FBF3D0D" w14:textId="77777777">
        <w:trPr>
          <w:trHeight w:val="113"/>
          <w:jc w:val="center"/>
        </w:trPr>
        <w:tc>
          <w:tcPr>
            <w:tcW w:w="2163" w:type="dxa"/>
            <w:tcBorders>
              <w:top w:val="nil"/>
              <w:left w:val="nil"/>
              <w:bottom w:val="nil"/>
              <w:right w:val="nil"/>
            </w:tcBorders>
            <w:noWrap/>
            <w:vAlign w:val="center"/>
          </w:tcPr>
          <w:p w14:paraId="599637B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Admission GCS score</w:t>
            </w:r>
          </w:p>
        </w:tc>
        <w:tc>
          <w:tcPr>
            <w:tcW w:w="1526" w:type="dxa"/>
            <w:tcBorders>
              <w:top w:val="nil"/>
              <w:left w:val="nil"/>
              <w:bottom w:val="nil"/>
              <w:right w:val="nil"/>
            </w:tcBorders>
            <w:noWrap/>
            <w:vAlign w:val="center"/>
          </w:tcPr>
          <w:p w14:paraId="72E389AB"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14.0 (9.0, 15.0)</w:t>
            </w:r>
          </w:p>
        </w:tc>
        <w:tc>
          <w:tcPr>
            <w:tcW w:w="1562" w:type="dxa"/>
            <w:tcBorders>
              <w:top w:val="nil"/>
              <w:left w:val="nil"/>
              <w:bottom w:val="nil"/>
              <w:right w:val="nil"/>
            </w:tcBorders>
            <w:noWrap/>
            <w:vAlign w:val="center"/>
          </w:tcPr>
          <w:p w14:paraId="1E25557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14.0 (12.0, 15.0)</w:t>
            </w:r>
          </w:p>
        </w:tc>
        <w:tc>
          <w:tcPr>
            <w:tcW w:w="1562" w:type="dxa"/>
            <w:tcBorders>
              <w:top w:val="nil"/>
              <w:left w:val="nil"/>
              <w:bottom w:val="nil"/>
              <w:right w:val="nil"/>
            </w:tcBorders>
            <w:noWrap/>
            <w:vAlign w:val="center"/>
          </w:tcPr>
          <w:p w14:paraId="194B8E5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14.0 (11.0, 15.0)</w:t>
            </w:r>
          </w:p>
        </w:tc>
        <w:tc>
          <w:tcPr>
            <w:tcW w:w="1562" w:type="dxa"/>
            <w:tcBorders>
              <w:top w:val="nil"/>
              <w:left w:val="nil"/>
              <w:bottom w:val="nil"/>
              <w:right w:val="nil"/>
            </w:tcBorders>
            <w:noWrap/>
            <w:vAlign w:val="center"/>
          </w:tcPr>
          <w:p w14:paraId="029F9119"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14.0 (10.0, </w:t>
            </w:r>
            <w:r>
              <w:rPr>
                <w:rFonts w:ascii="Times New Roman" w:eastAsia="Times New Roman Bold" w:hAnsi="Times New Roman"/>
                <w:bCs/>
                <w:color w:val="000000" w:themeColor="text1"/>
                <w:sz w:val="16"/>
                <w:szCs w:val="16"/>
                <w:lang w:bidi="ar"/>
              </w:rPr>
              <w:t>15.0)</w:t>
            </w:r>
          </w:p>
        </w:tc>
        <w:tc>
          <w:tcPr>
            <w:tcW w:w="1564" w:type="dxa"/>
            <w:tcBorders>
              <w:top w:val="nil"/>
              <w:left w:val="nil"/>
              <w:bottom w:val="nil"/>
              <w:right w:val="nil"/>
            </w:tcBorders>
            <w:noWrap/>
            <w:vAlign w:val="center"/>
          </w:tcPr>
          <w:p w14:paraId="3E8E0D2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10.0 (5.0, 14.0)</w:t>
            </w:r>
          </w:p>
        </w:tc>
        <w:tc>
          <w:tcPr>
            <w:tcW w:w="856" w:type="dxa"/>
            <w:tcBorders>
              <w:top w:val="nil"/>
              <w:left w:val="nil"/>
              <w:bottom w:val="nil"/>
              <w:right w:val="nil"/>
            </w:tcBorders>
            <w:noWrap/>
            <w:vAlign w:val="center"/>
          </w:tcPr>
          <w:p w14:paraId="6A9A626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6EDB05E9" w14:textId="77777777">
        <w:trPr>
          <w:trHeight w:val="113"/>
          <w:jc w:val="center"/>
        </w:trPr>
        <w:tc>
          <w:tcPr>
            <w:tcW w:w="2163" w:type="dxa"/>
            <w:tcBorders>
              <w:top w:val="nil"/>
              <w:left w:val="nil"/>
              <w:bottom w:val="nil"/>
              <w:right w:val="nil"/>
            </w:tcBorders>
            <w:noWrap/>
            <w:vAlign w:val="center"/>
          </w:tcPr>
          <w:p w14:paraId="2695F7D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Location of hematoma, n (%)</w:t>
            </w:r>
          </w:p>
        </w:tc>
        <w:tc>
          <w:tcPr>
            <w:tcW w:w="1526" w:type="dxa"/>
            <w:tcBorders>
              <w:top w:val="nil"/>
              <w:left w:val="nil"/>
              <w:bottom w:val="nil"/>
              <w:right w:val="nil"/>
            </w:tcBorders>
            <w:noWrap/>
            <w:vAlign w:val="center"/>
          </w:tcPr>
          <w:p w14:paraId="6250A31A"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4A8E13A8"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4794ED7F"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3767F655"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4" w:type="dxa"/>
            <w:tcBorders>
              <w:top w:val="nil"/>
              <w:left w:val="nil"/>
              <w:bottom w:val="nil"/>
              <w:right w:val="nil"/>
            </w:tcBorders>
            <w:noWrap/>
            <w:vAlign w:val="center"/>
          </w:tcPr>
          <w:p w14:paraId="2A61E283"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856" w:type="dxa"/>
            <w:tcBorders>
              <w:top w:val="nil"/>
              <w:left w:val="nil"/>
              <w:bottom w:val="nil"/>
              <w:right w:val="nil"/>
            </w:tcBorders>
            <w:noWrap/>
            <w:vAlign w:val="center"/>
          </w:tcPr>
          <w:p w14:paraId="083B87F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0.033</w:t>
            </w:r>
          </w:p>
        </w:tc>
      </w:tr>
      <w:tr w:rsidR="00CC3835" w14:paraId="54B295F7" w14:textId="77777777">
        <w:trPr>
          <w:trHeight w:val="113"/>
          <w:jc w:val="center"/>
        </w:trPr>
        <w:tc>
          <w:tcPr>
            <w:tcW w:w="2163" w:type="dxa"/>
            <w:tcBorders>
              <w:top w:val="nil"/>
              <w:left w:val="nil"/>
              <w:bottom w:val="nil"/>
              <w:right w:val="nil"/>
            </w:tcBorders>
            <w:noWrap/>
            <w:vAlign w:val="center"/>
          </w:tcPr>
          <w:p w14:paraId="637EA1EB"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Lobar</w:t>
            </w:r>
          </w:p>
        </w:tc>
        <w:tc>
          <w:tcPr>
            <w:tcW w:w="1526" w:type="dxa"/>
            <w:tcBorders>
              <w:top w:val="nil"/>
              <w:left w:val="nil"/>
              <w:bottom w:val="nil"/>
              <w:right w:val="nil"/>
            </w:tcBorders>
            <w:noWrap/>
            <w:vAlign w:val="center"/>
          </w:tcPr>
          <w:p w14:paraId="0C16B25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351 (25.7)</w:t>
            </w:r>
          </w:p>
        </w:tc>
        <w:tc>
          <w:tcPr>
            <w:tcW w:w="1562" w:type="dxa"/>
            <w:tcBorders>
              <w:top w:val="nil"/>
              <w:left w:val="nil"/>
              <w:bottom w:val="nil"/>
              <w:right w:val="nil"/>
            </w:tcBorders>
            <w:noWrap/>
            <w:vAlign w:val="center"/>
          </w:tcPr>
          <w:p w14:paraId="5DC400F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106 (31.1)</w:t>
            </w:r>
          </w:p>
        </w:tc>
        <w:tc>
          <w:tcPr>
            <w:tcW w:w="1562" w:type="dxa"/>
            <w:tcBorders>
              <w:top w:val="nil"/>
              <w:left w:val="nil"/>
              <w:bottom w:val="nil"/>
              <w:right w:val="nil"/>
            </w:tcBorders>
            <w:noWrap/>
            <w:vAlign w:val="center"/>
          </w:tcPr>
          <w:p w14:paraId="4365729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90 (26.4)</w:t>
            </w:r>
          </w:p>
        </w:tc>
        <w:tc>
          <w:tcPr>
            <w:tcW w:w="1562" w:type="dxa"/>
            <w:tcBorders>
              <w:top w:val="nil"/>
              <w:left w:val="nil"/>
              <w:bottom w:val="nil"/>
              <w:right w:val="nil"/>
            </w:tcBorders>
            <w:noWrap/>
            <w:vAlign w:val="center"/>
          </w:tcPr>
          <w:p w14:paraId="25E9346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84 (24.6)</w:t>
            </w:r>
          </w:p>
        </w:tc>
        <w:tc>
          <w:tcPr>
            <w:tcW w:w="1564" w:type="dxa"/>
            <w:tcBorders>
              <w:top w:val="nil"/>
              <w:left w:val="nil"/>
              <w:bottom w:val="nil"/>
              <w:right w:val="nil"/>
            </w:tcBorders>
            <w:noWrap/>
            <w:vAlign w:val="center"/>
          </w:tcPr>
          <w:p w14:paraId="7E8BA2A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71 (20.8)</w:t>
            </w:r>
          </w:p>
        </w:tc>
        <w:tc>
          <w:tcPr>
            <w:tcW w:w="856" w:type="dxa"/>
            <w:tcBorders>
              <w:top w:val="nil"/>
              <w:left w:val="nil"/>
              <w:bottom w:val="nil"/>
              <w:right w:val="nil"/>
            </w:tcBorders>
            <w:noWrap/>
            <w:vAlign w:val="center"/>
          </w:tcPr>
          <w:p w14:paraId="4DEB3DE7"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17364B8C" w14:textId="77777777">
        <w:trPr>
          <w:trHeight w:val="113"/>
          <w:jc w:val="center"/>
        </w:trPr>
        <w:tc>
          <w:tcPr>
            <w:tcW w:w="2163" w:type="dxa"/>
            <w:tcBorders>
              <w:top w:val="nil"/>
              <w:left w:val="nil"/>
              <w:bottom w:val="nil"/>
              <w:right w:val="nil"/>
            </w:tcBorders>
            <w:noWrap/>
            <w:vAlign w:val="center"/>
          </w:tcPr>
          <w:p w14:paraId="623016C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Deep</w:t>
            </w:r>
          </w:p>
        </w:tc>
        <w:tc>
          <w:tcPr>
            <w:tcW w:w="1526" w:type="dxa"/>
            <w:tcBorders>
              <w:top w:val="nil"/>
              <w:left w:val="nil"/>
              <w:bottom w:val="nil"/>
              <w:right w:val="nil"/>
            </w:tcBorders>
            <w:noWrap/>
            <w:vAlign w:val="center"/>
          </w:tcPr>
          <w:p w14:paraId="69E66EF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772 (56.6)</w:t>
            </w:r>
          </w:p>
        </w:tc>
        <w:tc>
          <w:tcPr>
            <w:tcW w:w="1562" w:type="dxa"/>
            <w:tcBorders>
              <w:top w:val="nil"/>
              <w:left w:val="nil"/>
              <w:bottom w:val="nil"/>
              <w:right w:val="nil"/>
            </w:tcBorders>
            <w:noWrap/>
            <w:vAlign w:val="center"/>
          </w:tcPr>
          <w:p w14:paraId="483AD231"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180 (52.8)</w:t>
            </w:r>
          </w:p>
        </w:tc>
        <w:tc>
          <w:tcPr>
            <w:tcW w:w="1562" w:type="dxa"/>
            <w:tcBorders>
              <w:top w:val="nil"/>
              <w:left w:val="nil"/>
              <w:bottom w:val="nil"/>
              <w:right w:val="nil"/>
            </w:tcBorders>
            <w:noWrap/>
            <w:vAlign w:val="center"/>
          </w:tcPr>
          <w:p w14:paraId="139E75F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195 (57.2)</w:t>
            </w:r>
          </w:p>
        </w:tc>
        <w:tc>
          <w:tcPr>
            <w:tcW w:w="1562" w:type="dxa"/>
            <w:tcBorders>
              <w:top w:val="nil"/>
              <w:left w:val="nil"/>
              <w:bottom w:val="nil"/>
              <w:right w:val="nil"/>
            </w:tcBorders>
            <w:noWrap/>
            <w:vAlign w:val="center"/>
          </w:tcPr>
          <w:p w14:paraId="411F9E1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206 (60.4)</w:t>
            </w:r>
          </w:p>
        </w:tc>
        <w:tc>
          <w:tcPr>
            <w:tcW w:w="1564" w:type="dxa"/>
            <w:tcBorders>
              <w:top w:val="nil"/>
              <w:left w:val="nil"/>
              <w:bottom w:val="nil"/>
              <w:right w:val="nil"/>
            </w:tcBorders>
            <w:noWrap/>
            <w:vAlign w:val="center"/>
          </w:tcPr>
          <w:p w14:paraId="750044F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191 (56.0)</w:t>
            </w:r>
          </w:p>
        </w:tc>
        <w:tc>
          <w:tcPr>
            <w:tcW w:w="856" w:type="dxa"/>
            <w:tcBorders>
              <w:top w:val="nil"/>
              <w:left w:val="nil"/>
              <w:bottom w:val="nil"/>
              <w:right w:val="nil"/>
            </w:tcBorders>
            <w:noWrap/>
            <w:vAlign w:val="center"/>
          </w:tcPr>
          <w:p w14:paraId="2661F665"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4C50EC64" w14:textId="77777777">
        <w:trPr>
          <w:trHeight w:val="113"/>
          <w:jc w:val="center"/>
        </w:trPr>
        <w:tc>
          <w:tcPr>
            <w:tcW w:w="2163" w:type="dxa"/>
            <w:tcBorders>
              <w:top w:val="nil"/>
              <w:left w:val="nil"/>
              <w:bottom w:val="nil"/>
              <w:right w:val="nil"/>
            </w:tcBorders>
            <w:noWrap/>
            <w:vAlign w:val="center"/>
          </w:tcPr>
          <w:p w14:paraId="18FCFEF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hAnsi="Times New Roman" w:hint="eastAsia"/>
                <w:bCs/>
                <w:color w:val="000000" w:themeColor="text1"/>
                <w:sz w:val="16"/>
                <w:szCs w:val="16"/>
                <w:lang w:bidi="ar"/>
              </w:rPr>
              <w:t xml:space="preserve">  </w:t>
            </w:r>
            <w:r>
              <w:rPr>
                <w:rFonts w:ascii="Times New Roman" w:eastAsia="Times New Roman Bold" w:hAnsi="Times New Roman"/>
                <w:bCs/>
                <w:color w:val="000000" w:themeColor="text1"/>
                <w:sz w:val="16"/>
                <w:szCs w:val="16"/>
                <w:lang w:bidi="ar"/>
              </w:rPr>
              <w:t>Infratentorial</w:t>
            </w:r>
          </w:p>
        </w:tc>
        <w:tc>
          <w:tcPr>
            <w:tcW w:w="1526" w:type="dxa"/>
            <w:tcBorders>
              <w:top w:val="nil"/>
              <w:left w:val="nil"/>
              <w:bottom w:val="nil"/>
              <w:right w:val="nil"/>
            </w:tcBorders>
            <w:noWrap/>
            <w:vAlign w:val="center"/>
          </w:tcPr>
          <w:p w14:paraId="3CCD4F8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155 (11.4)</w:t>
            </w:r>
          </w:p>
        </w:tc>
        <w:tc>
          <w:tcPr>
            <w:tcW w:w="1562" w:type="dxa"/>
            <w:tcBorders>
              <w:top w:val="nil"/>
              <w:left w:val="nil"/>
              <w:bottom w:val="nil"/>
              <w:right w:val="nil"/>
            </w:tcBorders>
            <w:noWrap/>
            <w:vAlign w:val="center"/>
          </w:tcPr>
          <w:p w14:paraId="2B7097B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33 (9.7)</w:t>
            </w:r>
          </w:p>
        </w:tc>
        <w:tc>
          <w:tcPr>
            <w:tcW w:w="1562" w:type="dxa"/>
            <w:tcBorders>
              <w:top w:val="nil"/>
              <w:left w:val="nil"/>
              <w:bottom w:val="nil"/>
              <w:right w:val="nil"/>
            </w:tcBorders>
            <w:noWrap/>
            <w:vAlign w:val="center"/>
          </w:tcPr>
          <w:p w14:paraId="1978ADE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36 (10.6)</w:t>
            </w:r>
          </w:p>
        </w:tc>
        <w:tc>
          <w:tcPr>
            <w:tcW w:w="1562" w:type="dxa"/>
            <w:tcBorders>
              <w:top w:val="nil"/>
              <w:left w:val="nil"/>
              <w:bottom w:val="nil"/>
              <w:right w:val="nil"/>
            </w:tcBorders>
            <w:noWrap/>
            <w:vAlign w:val="center"/>
          </w:tcPr>
          <w:p w14:paraId="45B55F9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36 (10.6)</w:t>
            </w:r>
          </w:p>
        </w:tc>
        <w:tc>
          <w:tcPr>
            <w:tcW w:w="1564" w:type="dxa"/>
            <w:tcBorders>
              <w:top w:val="nil"/>
              <w:left w:val="nil"/>
              <w:bottom w:val="nil"/>
              <w:right w:val="nil"/>
            </w:tcBorders>
            <w:noWrap/>
            <w:vAlign w:val="center"/>
          </w:tcPr>
          <w:p w14:paraId="5A2240A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50</w:t>
            </w:r>
            <w:r>
              <w:rPr>
                <w:rFonts w:ascii="Times New Roman" w:eastAsia="Times New Roman Bold" w:hAnsi="Times New Roman"/>
                <w:bCs/>
                <w:color w:val="000000" w:themeColor="text1"/>
                <w:sz w:val="16"/>
                <w:szCs w:val="16"/>
                <w:lang w:bidi="ar"/>
              </w:rPr>
              <w:t xml:space="preserve"> (14.7)</w:t>
            </w:r>
          </w:p>
        </w:tc>
        <w:tc>
          <w:tcPr>
            <w:tcW w:w="856" w:type="dxa"/>
            <w:tcBorders>
              <w:top w:val="nil"/>
              <w:left w:val="nil"/>
              <w:bottom w:val="nil"/>
              <w:right w:val="nil"/>
            </w:tcBorders>
            <w:noWrap/>
            <w:vAlign w:val="center"/>
          </w:tcPr>
          <w:p w14:paraId="6F1679F0"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696FFA74" w14:textId="77777777">
        <w:trPr>
          <w:trHeight w:val="113"/>
          <w:jc w:val="center"/>
        </w:trPr>
        <w:tc>
          <w:tcPr>
            <w:tcW w:w="2163" w:type="dxa"/>
            <w:tcBorders>
              <w:top w:val="nil"/>
              <w:left w:val="nil"/>
              <w:bottom w:val="nil"/>
              <w:right w:val="nil"/>
            </w:tcBorders>
            <w:noWrap/>
            <w:vAlign w:val="center"/>
          </w:tcPr>
          <w:p w14:paraId="57898A1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  </w:t>
            </w:r>
            <w:r>
              <w:rPr>
                <w:rFonts w:ascii="Times New Roman" w:eastAsia="Times New Roman Bold" w:hAnsi="Times New Roman"/>
                <w:bCs/>
                <w:color w:val="EE0000"/>
                <w:sz w:val="16"/>
                <w:szCs w:val="16"/>
                <w:lang w:bidi="ar"/>
              </w:rPr>
              <w:t>Ventricular</w:t>
            </w:r>
          </w:p>
        </w:tc>
        <w:tc>
          <w:tcPr>
            <w:tcW w:w="1526" w:type="dxa"/>
            <w:tcBorders>
              <w:top w:val="nil"/>
              <w:left w:val="nil"/>
              <w:bottom w:val="nil"/>
              <w:right w:val="nil"/>
            </w:tcBorders>
            <w:noWrap/>
            <w:vAlign w:val="center"/>
          </w:tcPr>
          <w:p w14:paraId="5282DB42"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86 (6.3)</w:t>
            </w:r>
          </w:p>
        </w:tc>
        <w:tc>
          <w:tcPr>
            <w:tcW w:w="1562" w:type="dxa"/>
            <w:tcBorders>
              <w:top w:val="nil"/>
              <w:left w:val="nil"/>
              <w:bottom w:val="nil"/>
              <w:right w:val="nil"/>
            </w:tcBorders>
            <w:noWrap/>
            <w:vAlign w:val="center"/>
          </w:tcPr>
          <w:p w14:paraId="0122637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22 (6.5)</w:t>
            </w:r>
          </w:p>
        </w:tc>
        <w:tc>
          <w:tcPr>
            <w:tcW w:w="1562" w:type="dxa"/>
            <w:tcBorders>
              <w:top w:val="nil"/>
              <w:left w:val="nil"/>
              <w:bottom w:val="nil"/>
              <w:right w:val="nil"/>
            </w:tcBorders>
            <w:noWrap/>
            <w:vAlign w:val="center"/>
          </w:tcPr>
          <w:p w14:paraId="1F4DD88B"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20 (5.9)</w:t>
            </w:r>
          </w:p>
        </w:tc>
        <w:tc>
          <w:tcPr>
            <w:tcW w:w="1562" w:type="dxa"/>
            <w:tcBorders>
              <w:top w:val="nil"/>
              <w:left w:val="nil"/>
              <w:bottom w:val="nil"/>
              <w:right w:val="nil"/>
            </w:tcBorders>
            <w:noWrap/>
            <w:vAlign w:val="center"/>
          </w:tcPr>
          <w:p w14:paraId="087914F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 (4.4)</w:t>
            </w:r>
          </w:p>
        </w:tc>
        <w:tc>
          <w:tcPr>
            <w:tcW w:w="1564" w:type="dxa"/>
            <w:tcBorders>
              <w:top w:val="nil"/>
              <w:left w:val="nil"/>
              <w:bottom w:val="nil"/>
              <w:right w:val="nil"/>
            </w:tcBorders>
            <w:noWrap/>
            <w:vAlign w:val="center"/>
          </w:tcPr>
          <w:p w14:paraId="2825AC6C"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29 (8.5)</w:t>
            </w:r>
          </w:p>
        </w:tc>
        <w:tc>
          <w:tcPr>
            <w:tcW w:w="856" w:type="dxa"/>
            <w:tcBorders>
              <w:top w:val="nil"/>
              <w:left w:val="nil"/>
              <w:bottom w:val="nil"/>
              <w:right w:val="nil"/>
            </w:tcBorders>
            <w:noWrap/>
            <w:vAlign w:val="center"/>
          </w:tcPr>
          <w:p w14:paraId="485469E9"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582F8AB9" w14:textId="77777777">
        <w:trPr>
          <w:trHeight w:val="113"/>
          <w:jc w:val="center"/>
        </w:trPr>
        <w:tc>
          <w:tcPr>
            <w:tcW w:w="2163" w:type="dxa"/>
            <w:tcBorders>
              <w:top w:val="nil"/>
              <w:left w:val="nil"/>
              <w:bottom w:val="nil"/>
              <w:right w:val="nil"/>
            </w:tcBorders>
            <w:noWrap/>
            <w:vAlign w:val="center"/>
          </w:tcPr>
          <w:p w14:paraId="07E81E78" w14:textId="77777777" w:rsidR="00CC3835" w:rsidRDefault="00256BAA">
            <w:pPr>
              <w:jc w:val="center"/>
              <w:textAlignment w:val="center"/>
              <w:rPr>
                <w:rFonts w:ascii="Times New Roman"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Hematoma volume, m</w:t>
            </w:r>
            <w:r>
              <w:rPr>
                <w:rFonts w:ascii="Times New Roman" w:hAnsi="Times New Roman" w:hint="eastAsia"/>
                <w:bCs/>
                <w:color w:val="000000" w:themeColor="text1"/>
                <w:sz w:val="16"/>
                <w:szCs w:val="16"/>
                <w:lang w:bidi="ar"/>
              </w:rPr>
              <w:t>L</w:t>
            </w:r>
          </w:p>
        </w:tc>
        <w:tc>
          <w:tcPr>
            <w:tcW w:w="1526" w:type="dxa"/>
            <w:tcBorders>
              <w:top w:val="nil"/>
              <w:left w:val="nil"/>
              <w:bottom w:val="nil"/>
              <w:right w:val="nil"/>
            </w:tcBorders>
            <w:noWrap/>
            <w:vAlign w:val="center"/>
          </w:tcPr>
          <w:p w14:paraId="6EE58B67"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17.1 (6.7, 37.0)</w:t>
            </w:r>
          </w:p>
        </w:tc>
        <w:tc>
          <w:tcPr>
            <w:tcW w:w="1562" w:type="dxa"/>
            <w:tcBorders>
              <w:top w:val="nil"/>
              <w:left w:val="nil"/>
              <w:bottom w:val="nil"/>
              <w:right w:val="nil"/>
            </w:tcBorders>
            <w:noWrap/>
            <w:vAlign w:val="center"/>
          </w:tcPr>
          <w:p w14:paraId="7721D5E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15.3 (5.2, 30.2)</w:t>
            </w:r>
          </w:p>
        </w:tc>
        <w:tc>
          <w:tcPr>
            <w:tcW w:w="1562" w:type="dxa"/>
            <w:tcBorders>
              <w:top w:val="nil"/>
              <w:left w:val="nil"/>
              <w:bottom w:val="nil"/>
              <w:right w:val="nil"/>
            </w:tcBorders>
            <w:noWrap/>
            <w:vAlign w:val="center"/>
          </w:tcPr>
          <w:p w14:paraId="6817862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14.0 (5.0, 27.9)</w:t>
            </w:r>
          </w:p>
        </w:tc>
        <w:tc>
          <w:tcPr>
            <w:tcW w:w="1562" w:type="dxa"/>
            <w:tcBorders>
              <w:top w:val="nil"/>
              <w:left w:val="nil"/>
              <w:bottom w:val="nil"/>
              <w:right w:val="nil"/>
            </w:tcBorders>
            <w:noWrap/>
            <w:vAlign w:val="center"/>
          </w:tcPr>
          <w:p w14:paraId="6983AAB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15.4 (7.0, 37.1)</w:t>
            </w:r>
          </w:p>
        </w:tc>
        <w:tc>
          <w:tcPr>
            <w:tcW w:w="1564" w:type="dxa"/>
            <w:tcBorders>
              <w:top w:val="nil"/>
              <w:left w:val="nil"/>
              <w:bottom w:val="nil"/>
              <w:right w:val="nil"/>
            </w:tcBorders>
            <w:noWrap/>
            <w:vAlign w:val="center"/>
          </w:tcPr>
          <w:p w14:paraId="7B3A038D"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27.0 (10.0, 49.5)</w:t>
            </w:r>
          </w:p>
        </w:tc>
        <w:tc>
          <w:tcPr>
            <w:tcW w:w="856" w:type="dxa"/>
            <w:tcBorders>
              <w:top w:val="nil"/>
              <w:left w:val="nil"/>
              <w:bottom w:val="nil"/>
              <w:right w:val="nil"/>
            </w:tcBorders>
            <w:noWrap/>
            <w:vAlign w:val="center"/>
          </w:tcPr>
          <w:p w14:paraId="7BA731D4"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2A03DF38" w14:textId="77777777">
        <w:trPr>
          <w:trHeight w:val="113"/>
          <w:jc w:val="center"/>
        </w:trPr>
        <w:tc>
          <w:tcPr>
            <w:tcW w:w="2163" w:type="dxa"/>
            <w:tcBorders>
              <w:top w:val="nil"/>
              <w:left w:val="nil"/>
              <w:bottom w:val="nil"/>
              <w:right w:val="nil"/>
            </w:tcBorders>
            <w:noWrap/>
            <w:vAlign w:val="center"/>
          </w:tcPr>
          <w:p w14:paraId="32E9CD0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Intraventricular extension, n (%)</w:t>
            </w:r>
          </w:p>
        </w:tc>
        <w:tc>
          <w:tcPr>
            <w:tcW w:w="1526" w:type="dxa"/>
            <w:tcBorders>
              <w:top w:val="nil"/>
              <w:left w:val="nil"/>
              <w:bottom w:val="nil"/>
              <w:right w:val="nil"/>
            </w:tcBorders>
            <w:noWrap/>
            <w:vAlign w:val="center"/>
          </w:tcPr>
          <w:p w14:paraId="4E6B35A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488 (35.8)</w:t>
            </w:r>
          </w:p>
        </w:tc>
        <w:tc>
          <w:tcPr>
            <w:tcW w:w="1562" w:type="dxa"/>
            <w:tcBorders>
              <w:top w:val="nil"/>
              <w:left w:val="nil"/>
              <w:bottom w:val="nil"/>
              <w:right w:val="nil"/>
            </w:tcBorders>
            <w:noWrap/>
            <w:vAlign w:val="center"/>
          </w:tcPr>
          <w:p w14:paraId="01F5EC50"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99 (29.0)</w:t>
            </w:r>
          </w:p>
        </w:tc>
        <w:tc>
          <w:tcPr>
            <w:tcW w:w="1562" w:type="dxa"/>
            <w:tcBorders>
              <w:top w:val="nil"/>
              <w:left w:val="nil"/>
              <w:bottom w:val="nil"/>
              <w:right w:val="nil"/>
            </w:tcBorders>
            <w:noWrap/>
            <w:vAlign w:val="center"/>
          </w:tcPr>
          <w:p w14:paraId="527765B8"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100 (29.3)</w:t>
            </w:r>
          </w:p>
        </w:tc>
        <w:tc>
          <w:tcPr>
            <w:tcW w:w="1562" w:type="dxa"/>
            <w:tcBorders>
              <w:top w:val="nil"/>
              <w:left w:val="nil"/>
              <w:bottom w:val="nil"/>
              <w:right w:val="nil"/>
            </w:tcBorders>
            <w:noWrap/>
            <w:vAlign w:val="center"/>
          </w:tcPr>
          <w:p w14:paraId="49862793"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 xml:space="preserve">120 </w:t>
            </w:r>
            <w:r>
              <w:rPr>
                <w:rFonts w:ascii="Times New Roman" w:eastAsia="Times New Roman Bold" w:hAnsi="Times New Roman"/>
                <w:bCs/>
                <w:color w:val="000000" w:themeColor="text1"/>
                <w:sz w:val="16"/>
                <w:szCs w:val="16"/>
                <w:lang w:bidi="ar"/>
              </w:rPr>
              <w:t>(35.2)</w:t>
            </w:r>
          </w:p>
        </w:tc>
        <w:tc>
          <w:tcPr>
            <w:tcW w:w="1564" w:type="dxa"/>
            <w:tcBorders>
              <w:top w:val="nil"/>
              <w:left w:val="nil"/>
              <w:bottom w:val="nil"/>
              <w:right w:val="nil"/>
            </w:tcBorders>
            <w:noWrap/>
            <w:vAlign w:val="center"/>
          </w:tcPr>
          <w:p w14:paraId="3AA91A2E"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169 (49.6)</w:t>
            </w:r>
          </w:p>
        </w:tc>
        <w:tc>
          <w:tcPr>
            <w:tcW w:w="856" w:type="dxa"/>
            <w:tcBorders>
              <w:top w:val="nil"/>
              <w:left w:val="nil"/>
              <w:bottom w:val="nil"/>
              <w:right w:val="nil"/>
            </w:tcBorders>
            <w:noWrap/>
            <w:vAlign w:val="center"/>
          </w:tcPr>
          <w:p w14:paraId="045E202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bCs/>
                <w:color w:val="000000" w:themeColor="text1"/>
                <w:sz w:val="16"/>
                <w:szCs w:val="16"/>
                <w:lang w:bidi="ar"/>
              </w:rPr>
              <w:t>&lt;0.001</w:t>
            </w:r>
          </w:p>
        </w:tc>
      </w:tr>
      <w:tr w:rsidR="00CC3835" w14:paraId="2B638235" w14:textId="77777777">
        <w:trPr>
          <w:trHeight w:val="113"/>
          <w:jc w:val="center"/>
        </w:trPr>
        <w:tc>
          <w:tcPr>
            <w:tcW w:w="2163" w:type="dxa"/>
            <w:tcBorders>
              <w:top w:val="nil"/>
              <w:left w:val="nil"/>
              <w:bottom w:val="nil"/>
              <w:right w:val="nil"/>
            </w:tcBorders>
            <w:noWrap/>
            <w:vAlign w:val="center"/>
          </w:tcPr>
          <w:p w14:paraId="71972E86"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eastAsia="Times New Roman Bold" w:hAnsi="Times New Roman" w:hint="eastAsia"/>
                <w:bCs/>
                <w:color w:val="000000" w:themeColor="text1"/>
                <w:sz w:val="16"/>
                <w:szCs w:val="16"/>
                <w:lang w:bidi="ar"/>
              </w:rPr>
              <w:t>In-hospital medications, n (%)</w:t>
            </w:r>
          </w:p>
        </w:tc>
        <w:tc>
          <w:tcPr>
            <w:tcW w:w="1526" w:type="dxa"/>
            <w:tcBorders>
              <w:top w:val="nil"/>
              <w:left w:val="nil"/>
              <w:bottom w:val="nil"/>
              <w:right w:val="nil"/>
            </w:tcBorders>
            <w:noWrap/>
            <w:vAlign w:val="center"/>
          </w:tcPr>
          <w:p w14:paraId="4FE0B9F3"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7B4A6F13"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719416E6"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2" w:type="dxa"/>
            <w:tcBorders>
              <w:top w:val="nil"/>
              <w:left w:val="nil"/>
              <w:bottom w:val="nil"/>
              <w:right w:val="nil"/>
            </w:tcBorders>
            <w:noWrap/>
            <w:vAlign w:val="center"/>
          </w:tcPr>
          <w:p w14:paraId="593F5E14"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1564" w:type="dxa"/>
            <w:tcBorders>
              <w:top w:val="nil"/>
              <w:left w:val="nil"/>
              <w:bottom w:val="nil"/>
              <w:right w:val="nil"/>
            </w:tcBorders>
            <w:noWrap/>
            <w:vAlign w:val="center"/>
          </w:tcPr>
          <w:p w14:paraId="6F090E16"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c>
          <w:tcPr>
            <w:tcW w:w="856" w:type="dxa"/>
            <w:tcBorders>
              <w:top w:val="nil"/>
              <w:left w:val="nil"/>
              <w:bottom w:val="nil"/>
              <w:right w:val="nil"/>
            </w:tcBorders>
            <w:noWrap/>
            <w:vAlign w:val="center"/>
          </w:tcPr>
          <w:p w14:paraId="496E669D" w14:textId="77777777" w:rsidR="00CC3835" w:rsidRDefault="00CC3835">
            <w:pPr>
              <w:jc w:val="center"/>
              <w:textAlignment w:val="center"/>
              <w:rPr>
                <w:rFonts w:ascii="Times New Roman" w:eastAsia="Times New Roman Bold" w:hAnsi="Times New Roman"/>
                <w:bCs/>
                <w:color w:val="000000" w:themeColor="text1"/>
                <w:sz w:val="16"/>
                <w:szCs w:val="16"/>
                <w:lang w:bidi="ar"/>
              </w:rPr>
            </w:pPr>
          </w:p>
        </w:tc>
      </w:tr>
      <w:tr w:rsidR="00CC3835" w14:paraId="56A01723" w14:textId="77777777">
        <w:trPr>
          <w:trHeight w:val="113"/>
          <w:jc w:val="center"/>
        </w:trPr>
        <w:tc>
          <w:tcPr>
            <w:tcW w:w="2163" w:type="dxa"/>
            <w:tcBorders>
              <w:top w:val="nil"/>
              <w:left w:val="nil"/>
              <w:bottom w:val="nil"/>
              <w:right w:val="nil"/>
            </w:tcBorders>
            <w:noWrap/>
            <w:vAlign w:val="center"/>
          </w:tcPr>
          <w:p w14:paraId="2386F7AF" w14:textId="77777777" w:rsidR="00CC3835" w:rsidRDefault="00256BAA">
            <w:pPr>
              <w:jc w:val="center"/>
              <w:textAlignment w:val="center"/>
              <w:rPr>
                <w:rFonts w:ascii="Times New Roman" w:hAnsi="Times New Roman"/>
                <w:bCs/>
                <w:color w:val="000000" w:themeColor="text1"/>
                <w:sz w:val="16"/>
                <w:szCs w:val="16"/>
                <w:lang w:bidi="ar"/>
              </w:rPr>
            </w:pPr>
            <w:r>
              <w:rPr>
                <w:rFonts w:ascii="Times New Roman" w:hAnsi="Times New Roman" w:hint="eastAsia"/>
                <w:bCs/>
                <w:color w:val="000000" w:themeColor="text1"/>
                <w:sz w:val="16"/>
                <w:szCs w:val="16"/>
                <w:lang w:bidi="ar"/>
              </w:rPr>
              <w:t xml:space="preserve">  Antihypertensive agents</w:t>
            </w:r>
          </w:p>
        </w:tc>
        <w:tc>
          <w:tcPr>
            <w:tcW w:w="1526" w:type="dxa"/>
            <w:tcBorders>
              <w:top w:val="nil"/>
              <w:left w:val="nil"/>
              <w:bottom w:val="nil"/>
              <w:right w:val="nil"/>
            </w:tcBorders>
            <w:noWrap/>
            <w:vAlign w:val="center"/>
          </w:tcPr>
          <w:p w14:paraId="0BD8B28B"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1049 (76.9)</w:t>
            </w:r>
          </w:p>
        </w:tc>
        <w:tc>
          <w:tcPr>
            <w:tcW w:w="1562" w:type="dxa"/>
            <w:tcBorders>
              <w:top w:val="nil"/>
              <w:left w:val="nil"/>
              <w:bottom w:val="nil"/>
              <w:right w:val="nil"/>
            </w:tcBorders>
            <w:noWrap/>
            <w:vAlign w:val="center"/>
          </w:tcPr>
          <w:p w14:paraId="13463A4B"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193 (56.6)</w:t>
            </w:r>
          </w:p>
        </w:tc>
        <w:tc>
          <w:tcPr>
            <w:tcW w:w="1562" w:type="dxa"/>
            <w:tcBorders>
              <w:top w:val="nil"/>
              <w:left w:val="nil"/>
              <w:bottom w:val="nil"/>
              <w:right w:val="nil"/>
            </w:tcBorders>
            <w:noWrap/>
            <w:vAlign w:val="center"/>
          </w:tcPr>
          <w:p w14:paraId="083700C7"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267 (78.3)</w:t>
            </w:r>
          </w:p>
        </w:tc>
        <w:tc>
          <w:tcPr>
            <w:tcW w:w="1562" w:type="dxa"/>
            <w:tcBorders>
              <w:top w:val="nil"/>
              <w:left w:val="nil"/>
              <w:bottom w:val="nil"/>
              <w:right w:val="nil"/>
            </w:tcBorders>
            <w:noWrap/>
            <w:vAlign w:val="center"/>
          </w:tcPr>
          <w:p w14:paraId="4125883E"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299 (87.7)</w:t>
            </w:r>
          </w:p>
        </w:tc>
        <w:tc>
          <w:tcPr>
            <w:tcW w:w="1564" w:type="dxa"/>
            <w:tcBorders>
              <w:top w:val="nil"/>
              <w:left w:val="nil"/>
              <w:bottom w:val="nil"/>
              <w:right w:val="nil"/>
            </w:tcBorders>
            <w:noWrap/>
            <w:vAlign w:val="center"/>
          </w:tcPr>
          <w:p w14:paraId="57E883F8"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290 (85.0)</w:t>
            </w:r>
          </w:p>
        </w:tc>
        <w:tc>
          <w:tcPr>
            <w:tcW w:w="856" w:type="dxa"/>
            <w:tcBorders>
              <w:top w:val="nil"/>
              <w:left w:val="nil"/>
              <w:bottom w:val="nil"/>
              <w:right w:val="nil"/>
            </w:tcBorders>
            <w:noWrap/>
            <w:vAlign w:val="center"/>
          </w:tcPr>
          <w:p w14:paraId="0E1BABF2"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&lt;0.001</w:t>
            </w:r>
          </w:p>
        </w:tc>
      </w:tr>
      <w:tr w:rsidR="00CC3835" w14:paraId="4C9E2251" w14:textId="77777777">
        <w:trPr>
          <w:trHeight w:val="113"/>
          <w:jc w:val="center"/>
        </w:trPr>
        <w:tc>
          <w:tcPr>
            <w:tcW w:w="2163" w:type="dxa"/>
            <w:tcBorders>
              <w:top w:val="nil"/>
              <w:left w:val="nil"/>
              <w:bottom w:val="nil"/>
              <w:right w:val="nil"/>
            </w:tcBorders>
            <w:noWrap/>
            <w:vAlign w:val="center"/>
          </w:tcPr>
          <w:p w14:paraId="56A48AB5"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hAnsi="Times New Roman" w:hint="eastAsia"/>
                <w:bCs/>
                <w:color w:val="000000" w:themeColor="text1"/>
                <w:sz w:val="16"/>
                <w:szCs w:val="16"/>
                <w:lang w:bidi="ar"/>
              </w:rPr>
              <w:t xml:space="preserve">    </w:t>
            </w:r>
            <w:r>
              <w:rPr>
                <w:rFonts w:ascii="Times New Roman" w:eastAsia="Times New Roman Bold" w:hAnsi="Times New Roman"/>
                <w:bCs/>
                <w:color w:val="000000" w:themeColor="text1"/>
                <w:sz w:val="16"/>
                <w:szCs w:val="16"/>
                <w:lang w:bidi="ar"/>
              </w:rPr>
              <w:t>β-blocker</w:t>
            </w:r>
          </w:p>
        </w:tc>
        <w:tc>
          <w:tcPr>
            <w:tcW w:w="1526" w:type="dxa"/>
            <w:tcBorders>
              <w:top w:val="nil"/>
              <w:left w:val="nil"/>
              <w:bottom w:val="nil"/>
              <w:right w:val="nil"/>
            </w:tcBorders>
            <w:noWrap/>
            <w:vAlign w:val="center"/>
          </w:tcPr>
          <w:p w14:paraId="016A184D"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143 (10.5)</w:t>
            </w:r>
          </w:p>
        </w:tc>
        <w:tc>
          <w:tcPr>
            <w:tcW w:w="1562" w:type="dxa"/>
            <w:tcBorders>
              <w:top w:val="nil"/>
              <w:left w:val="nil"/>
              <w:bottom w:val="nil"/>
              <w:right w:val="nil"/>
            </w:tcBorders>
            <w:noWrap/>
            <w:vAlign w:val="center"/>
          </w:tcPr>
          <w:p w14:paraId="5E32ED94"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20 (5.9)</w:t>
            </w:r>
          </w:p>
        </w:tc>
        <w:tc>
          <w:tcPr>
            <w:tcW w:w="1562" w:type="dxa"/>
            <w:tcBorders>
              <w:top w:val="nil"/>
              <w:left w:val="nil"/>
              <w:bottom w:val="nil"/>
              <w:right w:val="nil"/>
            </w:tcBorders>
            <w:noWrap/>
            <w:vAlign w:val="center"/>
          </w:tcPr>
          <w:p w14:paraId="62D13C07"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32 (9.4)</w:t>
            </w:r>
          </w:p>
        </w:tc>
        <w:tc>
          <w:tcPr>
            <w:tcW w:w="1562" w:type="dxa"/>
            <w:tcBorders>
              <w:top w:val="nil"/>
              <w:left w:val="nil"/>
              <w:bottom w:val="nil"/>
              <w:right w:val="nil"/>
            </w:tcBorders>
            <w:noWrap/>
            <w:vAlign w:val="center"/>
          </w:tcPr>
          <w:p w14:paraId="0FF8C81D"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47 (13.8)</w:t>
            </w:r>
          </w:p>
        </w:tc>
        <w:tc>
          <w:tcPr>
            <w:tcW w:w="1564" w:type="dxa"/>
            <w:tcBorders>
              <w:top w:val="nil"/>
              <w:left w:val="nil"/>
              <w:bottom w:val="nil"/>
              <w:right w:val="nil"/>
            </w:tcBorders>
            <w:noWrap/>
            <w:vAlign w:val="center"/>
          </w:tcPr>
          <w:p w14:paraId="5621C5C5"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44 (12.9)</w:t>
            </w:r>
          </w:p>
        </w:tc>
        <w:tc>
          <w:tcPr>
            <w:tcW w:w="856" w:type="dxa"/>
            <w:tcBorders>
              <w:top w:val="nil"/>
              <w:left w:val="nil"/>
              <w:bottom w:val="nil"/>
              <w:right w:val="nil"/>
            </w:tcBorders>
            <w:noWrap/>
            <w:vAlign w:val="center"/>
          </w:tcPr>
          <w:p w14:paraId="68ACEA1C"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eastAsia="Times New Roman Bold" w:hAnsi="Times New Roman Regular" w:cs="Times New Roman Regular"/>
                <w:bCs/>
                <w:color w:val="000000" w:themeColor="text1"/>
                <w:sz w:val="16"/>
                <w:szCs w:val="16"/>
                <w:lang w:bidi="ar"/>
              </w:rPr>
              <w:t>0.003</w:t>
            </w:r>
          </w:p>
        </w:tc>
      </w:tr>
      <w:tr w:rsidR="00CC3835" w14:paraId="0993872C" w14:textId="77777777">
        <w:trPr>
          <w:trHeight w:val="113"/>
          <w:jc w:val="center"/>
        </w:trPr>
        <w:tc>
          <w:tcPr>
            <w:tcW w:w="2163" w:type="dxa"/>
            <w:tcBorders>
              <w:top w:val="nil"/>
              <w:left w:val="nil"/>
              <w:bottom w:val="nil"/>
              <w:right w:val="nil"/>
            </w:tcBorders>
            <w:noWrap/>
            <w:vAlign w:val="center"/>
          </w:tcPr>
          <w:p w14:paraId="699757B6" w14:textId="77777777" w:rsidR="00CC3835" w:rsidRDefault="00256BAA">
            <w:pPr>
              <w:jc w:val="center"/>
              <w:textAlignment w:val="center"/>
              <w:rPr>
                <w:rFonts w:ascii="Times New Roman" w:hAnsi="Times New Roman"/>
                <w:bCs/>
                <w:color w:val="000000" w:themeColor="text1"/>
                <w:sz w:val="16"/>
                <w:szCs w:val="16"/>
                <w:lang w:bidi="ar"/>
              </w:rPr>
            </w:pPr>
            <w:r>
              <w:rPr>
                <w:rFonts w:ascii="Times New Roman" w:hAnsi="Times New Roman" w:hint="eastAsia"/>
                <w:bCs/>
                <w:color w:val="000000" w:themeColor="text1"/>
                <w:sz w:val="16"/>
                <w:szCs w:val="16"/>
                <w:lang w:bidi="ar"/>
              </w:rPr>
              <w:t xml:space="preserve">  Antidiabetic agents</w:t>
            </w:r>
          </w:p>
        </w:tc>
        <w:tc>
          <w:tcPr>
            <w:tcW w:w="1526" w:type="dxa"/>
            <w:tcBorders>
              <w:top w:val="nil"/>
              <w:left w:val="nil"/>
              <w:bottom w:val="nil"/>
              <w:right w:val="nil"/>
            </w:tcBorders>
            <w:noWrap/>
            <w:vAlign w:val="center"/>
          </w:tcPr>
          <w:p w14:paraId="6E0CDC99"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94 (6.9)</w:t>
            </w:r>
          </w:p>
        </w:tc>
        <w:tc>
          <w:tcPr>
            <w:tcW w:w="1562" w:type="dxa"/>
            <w:tcBorders>
              <w:top w:val="nil"/>
              <w:left w:val="nil"/>
              <w:bottom w:val="nil"/>
              <w:right w:val="nil"/>
            </w:tcBorders>
            <w:noWrap/>
            <w:vAlign w:val="center"/>
          </w:tcPr>
          <w:p w14:paraId="7E77C09B"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26 (7.6)</w:t>
            </w:r>
          </w:p>
        </w:tc>
        <w:tc>
          <w:tcPr>
            <w:tcW w:w="1562" w:type="dxa"/>
            <w:tcBorders>
              <w:top w:val="nil"/>
              <w:left w:val="nil"/>
              <w:bottom w:val="nil"/>
              <w:right w:val="nil"/>
            </w:tcBorders>
            <w:noWrap/>
            <w:vAlign w:val="center"/>
          </w:tcPr>
          <w:p w14:paraId="5324F138"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25 (7.3)</w:t>
            </w:r>
          </w:p>
        </w:tc>
        <w:tc>
          <w:tcPr>
            <w:tcW w:w="1562" w:type="dxa"/>
            <w:tcBorders>
              <w:top w:val="nil"/>
              <w:left w:val="nil"/>
              <w:bottom w:val="nil"/>
              <w:right w:val="nil"/>
            </w:tcBorders>
            <w:noWrap/>
            <w:vAlign w:val="center"/>
          </w:tcPr>
          <w:p w14:paraId="4B46D55F"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29 (8.5)</w:t>
            </w:r>
          </w:p>
        </w:tc>
        <w:tc>
          <w:tcPr>
            <w:tcW w:w="1564" w:type="dxa"/>
            <w:tcBorders>
              <w:top w:val="nil"/>
              <w:left w:val="nil"/>
              <w:bottom w:val="nil"/>
              <w:right w:val="nil"/>
            </w:tcBorders>
            <w:noWrap/>
            <w:vAlign w:val="center"/>
          </w:tcPr>
          <w:p w14:paraId="77748A28"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14 (4.1)</w:t>
            </w:r>
          </w:p>
        </w:tc>
        <w:tc>
          <w:tcPr>
            <w:tcW w:w="856" w:type="dxa"/>
            <w:tcBorders>
              <w:top w:val="nil"/>
              <w:left w:val="nil"/>
              <w:bottom w:val="nil"/>
              <w:right w:val="nil"/>
            </w:tcBorders>
            <w:noWrap/>
            <w:vAlign w:val="center"/>
          </w:tcPr>
          <w:p w14:paraId="4CE508E8"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0.117</w:t>
            </w:r>
          </w:p>
        </w:tc>
      </w:tr>
      <w:tr w:rsidR="00CC3835" w14:paraId="762B4191" w14:textId="77777777">
        <w:trPr>
          <w:trHeight w:val="113"/>
          <w:jc w:val="center"/>
        </w:trPr>
        <w:tc>
          <w:tcPr>
            <w:tcW w:w="2163" w:type="dxa"/>
            <w:tcBorders>
              <w:top w:val="nil"/>
              <w:left w:val="nil"/>
              <w:bottom w:val="single" w:sz="4" w:space="0" w:color="000000"/>
              <w:right w:val="nil"/>
            </w:tcBorders>
            <w:noWrap/>
            <w:vAlign w:val="center"/>
          </w:tcPr>
          <w:p w14:paraId="7BB5631F" w14:textId="77777777" w:rsidR="00CC3835" w:rsidRDefault="00256BAA">
            <w:pPr>
              <w:jc w:val="center"/>
              <w:textAlignment w:val="center"/>
              <w:rPr>
                <w:rFonts w:ascii="Times New Roman" w:eastAsia="Times New Roman Bold" w:hAnsi="Times New Roman"/>
                <w:bCs/>
                <w:color w:val="000000" w:themeColor="text1"/>
                <w:sz w:val="16"/>
                <w:szCs w:val="16"/>
                <w:lang w:bidi="ar"/>
              </w:rPr>
            </w:pPr>
            <w:r>
              <w:rPr>
                <w:rFonts w:ascii="Times New Roman" w:hAnsi="Times New Roman" w:hint="eastAsia"/>
                <w:bCs/>
                <w:color w:val="000000" w:themeColor="text1"/>
                <w:sz w:val="16"/>
                <w:szCs w:val="16"/>
                <w:lang w:bidi="ar"/>
              </w:rPr>
              <w:t xml:space="preserve">  </w:t>
            </w:r>
            <w:r>
              <w:rPr>
                <w:rFonts w:ascii="Times New Roman" w:eastAsia="Times New Roman Bold" w:hAnsi="Times New Roman" w:hint="eastAsia"/>
                <w:bCs/>
                <w:color w:val="000000" w:themeColor="text1"/>
                <w:sz w:val="16"/>
                <w:szCs w:val="16"/>
                <w:lang w:bidi="ar"/>
              </w:rPr>
              <w:t>Lipid-lowering agents</w:t>
            </w:r>
          </w:p>
        </w:tc>
        <w:tc>
          <w:tcPr>
            <w:tcW w:w="1526" w:type="dxa"/>
            <w:tcBorders>
              <w:top w:val="nil"/>
              <w:left w:val="nil"/>
              <w:bottom w:val="single" w:sz="4" w:space="0" w:color="000000"/>
              <w:right w:val="nil"/>
            </w:tcBorders>
            <w:noWrap/>
            <w:vAlign w:val="center"/>
          </w:tcPr>
          <w:p w14:paraId="78A888AE"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196 (14.4)</w:t>
            </w:r>
          </w:p>
        </w:tc>
        <w:tc>
          <w:tcPr>
            <w:tcW w:w="1562" w:type="dxa"/>
            <w:tcBorders>
              <w:top w:val="nil"/>
              <w:left w:val="nil"/>
              <w:bottom w:val="single" w:sz="4" w:space="0" w:color="000000"/>
              <w:right w:val="nil"/>
            </w:tcBorders>
            <w:noWrap/>
            <w:vAlign w:val="center"/>
          </w:tcPr>
          <w:p w14:paraId="7490751E"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52 (15.2)</w:t>
            </w:r>
          </w:p>
        </w:tc>
        <w:tc>
          <w:tcPr>
            <w:tcW w:w="1562" w:type="dxa"/>
            <w:tcBorders>
              <w:top w:val="nil"/>
              <w:left w:val="nil"/>
              <w:bottom w:val="single" w:sz="4" w:space="0" w:color="000000"/>
              <w:right w:val="nil"/>
            </w:tcBorders>
            <w:noWrap/>
            <w:vAlign w:val="center"/>
          </w:tcPr>
          <w:p w14:paraId="64E9EE1E"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41 (12.0)</w:t>
            </w:r>
          </w:p>
        </w:tc>
        <w:tc>
          <w:tcPr>
            <w:tcW w:w="1562" w:type="dxa"/>
            <w:tcBorders>
              <w:top w:val="nil"/>
              <w:left w:val="nil"/>
              <w:bottom w:val="single" w:sz="4" w:space="0" w:color="000000"/>
              <w:right w:val="nil"/>
            </w:tcBorders>
            <w:noWrap/>
            <w:vAlign w:val="center"/>
          </w:tcPr>
          <w:p w14:paraId="7D60D63A"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48 (14.1)</w:t>
            </w:r>
          </w:p>
        </w:tc>
        <w:tc>
          <w:tcPr>
            <w:tcW w:w="1564" w:type="dxa"/>
            <w:tcBorders>
              <w:top w:val="nil"/>
              <w:left w:val="nil"/>
              <w:bottom w:val="single" w:sz="4" w:space="0" w:color="000000"/>
              <w:right w:val="nil"/>
            </w:tcBorders>
            <w:noWrap/>
            <w:vAlign w:val="center"/>
          </w:tcPr>
          <w:p w14:paraId="07076D67"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55 (16.1)</w:t>
            </w:r>
          </w:p>
        </w:tc>
        <w:tc>
          <w:tcPr>
            <w:tcW w:w="856" w:type="dxa"/>
            <w:tcBorders>
              <w:top w:val="nil"/>
              <w:left w:val="nil"/>
              <w:bottom w:val="single" w:sz="4" w:space="0" w:color="000000"/>
              <w:right w:val="nil"/>
            </w:tcBorders>
            <w:noWrap/>
            <w:vAlign w:val="center"/>
          </w:tcPr>
          <w:p w14:paraId="42FCC556" w14:textId="77777777" w:rsidR="00CC3835" w:rsidRDefault="00256BAA">
            <w:pPr>
              <w:jc w:val="center"/>
              <w:textAlignment w:val="center"/>
              <w:rPr>
                <w:rFonts w:ascii="Times New Roman Regular" w:eastAsia="Times New Roman Bold" w:hAnsi="Times New Roman Regular" w:cs="Times New Roman Regular"/>
                <w:bCs/>
                <w:color w:val="000000" w:themeColor="text1"/>
                <w:sz w:val="16"/>
                <w:szCs w:val="16"/>
                <w:lang w:bidi="ar"/>
              </w:rPr>
            </w:pPr>
            <w:r>
              <w:rPr>
                <w:rFonts w:ascii="Times New Roman Regular" w:hAnsi="Times New Roman Regular" w:cs="Times New Roman Regular"/>
                <w:color w:val="000000" w:themeColor="text1"/>
                <w:sz w:val="16"/>
                <w:szCs w:val="16"/>
                <w:lang w:bidi="ar"/>
              </w:rPr>
              <w:t>0.454</w:t>
            </w:r>
          </w:p>
        </w:tc>
      </w:tr>
    </w:tbl>
    <w:p w14:paraId="747F42E5" w14:textId="77777777" w:rsidR="00CC3835" w:rsidRDefault="00256BAA">
      <w:pPr>
        <w:pStyle w:val="Tablefooter"/>
        <w:rPr>
          <w:rFonts w:eastAsia="Times New Roman Regular"/>
          <w:color w:val="000000" w:themeColor="text1"/>
        </w:rPr>
      </w:pPr>
      <w:r>
        <w:rPr>
          <w:rFonts w:eastAsia="Times New Roman Regular"/>
          <w:color w:val="000000" w:themeColor="text1"/>
        </w:rPr>
        <w:t xml:space="preserve">Note: Non-normal continuous data were expressed as median (interquartile range) and categorical variables were described as n (%).  </w:t>
      </w:r>
    </w:p>
    <w:p w14:paraId="513648B2" w14:textId="77777777" w:rsidR="00CC3835" w:rsidRDefault="00256BAA">
      <w:pPr>
        <w:pStyle w:val="Tablefooter"/>
        <w:rPr>
          <w:bCs/>
          <w:color w:val="000000" w:themeColor="text1"/>
        </w:rPr>
      </w:pPr>
      <w:r>
        <w:rPr>
          <w:rFonts w:eastAsia="Times New Roman Regular"/>
          <w:color w:val="000000" w:themeColor="text1"/>
        </w:rPr>
        <w:t>Abbreviations: GCS, Glasgow Coma Scale; HR, heart rate; ICH, intracerebral hemorrhage; mRS, modified Rankin Scale; RPP, rat</w:t>
      </w:r>
      <w:r>
        <w:rPr>
          <w:rFonts w:eastAsia="Times New Roman Regular"/>
          <w:color w:val="000000" w:themeColor="text1"/>
        </w:rPr>
        <w:t>e-pressure product; SBP, systolic blood pressure.</w:t>
      </w:r>
    </w:p>
    <w:p w14:paraId="2A8FB818" w14:textId="77777777" w:rsidR="00CC3835" w:rsidRDefault="00CC3835">
      <w:pPr>
        <w:spacing w:line="360" w:lineRule="auto"/>
        <w:rPr>
          <w:rFonts w:ascii="Times New Roman" w:hAnsi="Times New Roman"/>
          <w:b/>
          <w:color w:val="000000" w:themeColor="text1"/>
          <w:sz w:val="22"/>
          <w:szCs w:val="22"/>
        </w:rPr>
      </w:pPr>
    </w:p>
    <w:p w14:paraId="66964BFB" w14:textId="77777777" w:rsidR="00CC3835" w:rsidRDefault="00256BAA">
      <w:pPr>
        <w:pStyle w:val="2"/>
        <w:rPr>
          <w:color w:val="000000" w:themeColor="text1"/>
        </w:rPr>
      </w:pPr>
      <w:r>
        <w:rPr>
          <w:rFonts w:hint="eastAsia"/>
          <w:color w:val="000000" w:themeColor="text1"/>
        </w:rPr>
        <w:t>3.2 Association between RPP and Primary Outcomes</w:t>
      </w:r>
    </w:p>
    <w:p w14:paraId="2EEDBF2A" w14:textId="77777777" w:rsidR="00CC3835" w:rsidRDefault="00256BAA">
      <w:pPr>
        <w:pStyle w:val="Text"/>
        <w:ind w:firstLine="420"/>
        <w:rPr>
          <w:color w:val="000000" w:themeColor="text1"/>
        </w:rPr>
      </w:pPr>
      <w:r>
        <w:rPr>
          <w:color w:val="000000" w:themeColor="text1"/>
        </w:rPr>
        <w:t xml:space="preserve">At the 90-day follow-up, unfavorable functional outcome was observed in 560 patients (41.1%), and 281 patients (20.6%) had died. By </w:t>
      </w:r>
      <w:r>
        <w:rPr>
          <w:rFonts w:eastAsia="宋体" w:hint="eastAsia"/>
          <w:color w:val="000000" w:themeColor="text1"/>
          <w:lang w:eastAsia="zh-CN"/>
        </w:rPr>
        <w:t>one</w:t>
      </w:r>
      <w:r>
        <w:rPr>
          <w:color w:val="000000" w:themeColor="text1"/>
        </w:rPr>
        <w:t xml:space="preserve"> year, 466 patients (34.2%) </w:t>
      </w:r>
      <w:r>
        <w:rPr>
          <w:rFonts w:hint="eastAsia"/>
          <w:color w:val="000000" w:themeColor="text1"/>
        </w:rPr>
        <w:t>experienced an</w:t>
      </w:r>
      <w:r>
        <w:rPr>
          <w:color w:val="000000" w:themeColor="text1"/>
        </w:rPr>
        <w:t xml:space="preserve"> unfavorable functional outcome</w:t>
      </w:r>
      <w:r>
        <w:rPr>
          <w:rFonts w:hint="eastAsia"/>
          <w:color w:val="000000" w:themeColor="text1"/>
        </w:rPr>
        <w:t>, while 334 patients (24.5%) had succumbed to their condition.</w:t>
      </w:r>
      <w:r>
        <w:rPr>
          <w:color w:val="000000" w:themeColor="text1"/>
        </w:rPr>
        <w:t xml:space="preserve"> </w:t>
      </w:r>
    </w:p>
    <w:p w14:paraId="71CB8612" w14:textId="77777777" w:rsidR="00CC3835" w:rsidRDefault="00CC3835">
      <w:pPr>
        <w:pStyle w:val="Text"/>
        <w:ind w:firstLine="420"/>
        <w:rPr>
          <w:color w:val="000000" w:themeColor="text1"/>
        </w:rPr>
      </w:pPr>
    </w:p>
    <w:p w14:paraId="27E35C3F" w14:textId="77777777" w:rsidR="00CC3835" w:rsidRDefault="00256BAA">
      <w:pPr>
        <w:pStyle w:val="Text"/>
        <w:ind w:firstLine="420"/>
        <w:rPr>
          <w:rFonts w:eastAsia="宋体"/>
          <w:color w:val="000000" w:themeColor="text1"/>
          <w:kern w:val="2"/>
        </w:rPr>
      </w:pPr>
      <w:bookmarkStart w:id="43" w:name="OLE_LINK35"/>
      <w:r>
        <w:rPr>
          <w:color w:val="000000" w:themeColor="text1"/>
        </w:rPr>
        <w:t xml:space="preserve">When RPP was analyzed as a continuous variable, each 1-unit increase was independently associated with </w:t>
      </w:r>
      <w:r>
        <w:rPr>
          <w:rFonts w:hint="eastAsia"/>
          <w:color w:val="000000" w:themeColor="text1"/>
        </w:rPr>
        <w:t xml:space="preserve">higher odds of </w:t>
      </w:r>
      <w:r>
        <w:rPr>
          <w:rFonts w:hint="eastAsia"/>
          <w:color w:val="000000" w:themeColor="text1"/>
        </w:rPr>
        <w:t>primary outcomes</w:t>
      </w:r>
      <w:r>
        <w:rPr>
          <w:color w:val="000000" w:themeColor="text1"/>
        </w:rPr>
        <w:t xml:space="preserve"> across all models </w:t>
      </w:r>
      <w:r>
        <w:rPr>
          <w:b/>
          <w:color w:val="000000" w:themeColor="text1"/>
        </w:rPr>
        <w:t>(Table 2)</w:t>
      </w:r>
      <w:r>
        <w:rPr>
          <w:color w:val="000000" w:themeColor="text1"/>
        </w:rPr>
        <w:t xml:space="preserve">. In the fully adjusted </w:t>
      </w:r>
      <w:r>
        <w:rPr>
          <w:rFonts w:eastAsia="宋体" w:hint="eastAsia"/>
          <w:color w:val="FF0000"/>
          <w:lang w:eastAsia="zh-CN"/>
        </w:rPr>
        <w:t>M</w:t>
      </w:r>
      <w:r>
        <w:rPr>
          <w:color w:val="000000" w:themeColor="text1"/>
        </w:rPr>
        <w:t xml:space="preserve">odel </w:t>
      </w:r>
      <w:r>
        <w:rPr>
          <w:rFonts w:eastAsia="宋体" w:hint="eastAsia"/>
          <w:color w:val="000000" w:themeColor="text1"/>
          <w:lang w:eastAsia="zh-CN"/>
        </w:rPr>
        <w:t>4</w:t>
      </w:r>
      <w:r>
        <w:rPr>
          <w:color w:val="000000" w:themeColor="text1"/>
        </w:rPr>
        <w:t>, the odds ratio (OR) was 1.08</w:t>
      </w:r>
      <w:r>
        <w:rPr>
          <w:rFonts w:eastAsia="宋体" w:hint="eastAsia"/>
          <w:color w:val="000000" w:themeColor="text1"/>
          <w:lang w:eastAsia="zh-CN"/>
        </w:rPr>
        <w:t>4</w:t>
      </w:r>
      <w:r>
        <w:rPr>
          <w:color w:val="000000" w:themeColor="text1"/>
        </w:rPr>
        <w:t xml:space="preserve"> (95% confidence interval [CI]</w:t>
      </w:r>
      <w:r>
        <w:rPr>
          <w:rFonts w:eastAsia="宋体" w:hint="eastAsia"/>
          <w:color w:val="000000" w:themeColor="text1"/>
          <w:lang w:eastAsia="zh-CN"/>
        </w:rPr>
        <w:t>:</w:t>
      </w:r>
      <w:r>
        <w:rPr>
          <w:color w:val="000000" w:themeColor="text1"/>
        </w:rPr>
        <w:t xml:space="preserve"> </w:t>
      </w:r>
      <w:r>
        <w:rPr>
          <w:rFonts w:hint="eastAsia"/>
          <w:color w:val="000000" w:themeColor="text1"/>
        </w:rPr>
        <w:t>1.036</w:t>
      </w:r>
      <w:r>
        <w:rPr>
          <w:rFonts w:ascii="Times New Roman Regular" w:hAnsi="Times New Roman Regular" w:cs="Times New Roman Regular"/>
          <w:color w:val="000000" w:themeColor="text1"/>
        </w:rPr>
        <w:t>–</w:t>
      </w:r>
      <w:r>
        <w:rPr>
          <w:rFonts w:hint="eastAsia"/>
          <w:color w:val="000000" w:themeColor="text1"/>
        </w:rPr>
        <w:t>1.133</w:t>
      </w:r>
      <w:r>
        <w:rPr>
          <w:color w:val="000000" w:themeColor="text1"/>
        </w:rPr>
        <w:t xml:space="preserve">) for 90-day unfavorable functional outcome, </w:t>
      </w:r>
      <w:r>
        <w:rPr>
          <w:rFonts w:hint="eastAsia"/>
          <w:color w:val="000000" w:themeColor="text1"/>
        </w:rPr>
        <w:t>1.082 (</w:t>
      </w:r>
      <w:r>
        <w:rPr>
          <w:color w:val="000000" w:themeColor="text1"/>
        </w:rPr>
        <w:t>95% CI</w:t>
      </w:r>
      <w:r>
        <w:rPr>
          <w:rFonts w:eastAsia="宋体" w:hint="eastAsia"/>
          <w:color w:val="000000" w:themeColor="text1"/>
          <w:lang w:eastAsia="zh-CN"/>
        </w:rPr>
        <w:t>:</w:t>
      </w:r>
      <w:r>
        <w:rPr>
          <w:color w:val="000000" w:themeColor="text1"/>
        </w:rPr>
        <w:t xml:space="preserve"> </w:t>
      </w:r>
      <w:r>
        <w:rPr>
          <w:rFonts w:hint="eastAsia"/>
          <w:color w:val="000000" w:themeColor="text1"/>
        </w:rPr>
        <w:t>1.035–1.132)</w:t>
      </w:r>
      <w:r>
        <w:rPr>
          <w:color w:val="000000" w:themeColor="text1"/>
        </w:rPr>
        <w:t xml:space="preserve"> for 1-year unfavorable functional </w:t>
      </w:r>
      <w:r>
        <w:rPr>
          <w:color w:val="000000" w:themeColor="text1"/>
        </w:rPr>
        <w:t>outcome</w:t>
      </w:r>
      <w:r>
        <w:rPr>
          <w:rFonts w:eastAsia="宋体" w:hint="eastAsia"/>
          <w:color w:val="000000" w:themeColor="text1"/>
          <w:lang w:eastAsia="zh-CN"/>
        </w:rPr>
        <w:t>; the hazard ratio (HR) was 1.046 (</w:t>
      </w:r>
      <w:r>
        <w:rPr>
          <w:color w:val="000000" w:themeColor="text1"/>
        </w:rPr>
        <w:t>95% CI</w:t>
      </w:r>
      <w:r>
        <w:rPr>
          <w:rFonts w:eastAsia="宋体" w:hint="eastAsia"/>
          <w:color w:val="000000" w:themeColor="text1"/>
          <w:lang w:eastAsia="zh-CN"/>
        </w:rPr>
        <w:t>: 1.019</w:t>
      </w:r>
      <w:r>
        <w:rPr>
          <w:rFonts w:ascii="Times New Roman Regular" w:hAnsi="Times New Roman Regular" w:cs="Times New Roman Regular"/>
          <w:color w:val="000000" w:themeColor="text1"/>
        </w:rPr>
        <w:t>–</w:t>
      </w:r>
      <w:r>
        <w:rPr>
          <w:rFonts w:eastAsia="宋体" w:hint="eastAsia"/>
          <w:color w:val="000000" w:themeColor="text1"/>
          <w:lang w:eastAsia="zh-CN"/>
        </w:rPr>
        <w:t xml:space="preserve">1.074) for 90-day all-cause mortality </w:t>
      </w:r>
      <w:r>
        <w:rPr>
          <w:color w:val="000000" w:themeColor="text1"/>
        </w:rPr>
        <w:t xml:space="preserve">and </w:t>
      </w:r>
      <w:r>
        <w:rPr>
          <w:rFonts w:hint="eastAsia"/>
          <w:color w:val="000000" w:themeColor="text1"/>
        </w:rPr>
        <w:t>1.050 (</w:t>
      </w:r>
      <w:r>
        <w:rPr>
          <w:color w:val="000000" w:themeColor="text1"/>
        </w:rPr>
        <w:t>95% CI</w:t>
      </w:r>
      <w:r>
        <w:rPr>
          <w:rFonts w:eastAsia="宋体" w:hint="eastAsia"/>
          <w:color w:val="000000" w:themeColor="text1"/>
          <w:lang w:eastAsia="zh-CN"/>
        </w:rPr>
        <w:t xml:space="preserve">: </w:t>
      </w:r>
      <w:r>
        <w:rPr>
          <w:rFonts w:hint="eastAsia"/>
          <w:color w:val="000000" w:themeColor="text1"/>
        </w:rPr>
        <w:t>1.024</w:t>
      </w:r>
      <w:r>
        <w:rPr>
          <w:rFonts w:ascii="Times New Roman Regular" w:hAnsi="Times New Roman Regular" w:cs="Times New Roman Regular"/>
          <w:color w:val="000000" w:themeColor="text1"/>
        </w:rPr>
        <w:t>–</w:t>
      </w:r>
      <w:r>
        <w:rPr>
          <w:rFonts w:hint="eastAsia"/>
          <w:color w:val="000000" w:themeColor="text1"/>
        </w:rPr>
        <w:t>1.076)</w:t>
      </w:r>
      <w:r>
        <w:rPr>
          <w:color w:val="000000" w:themeColor="text1"/>
        </w:rPr>
        <w:t xml:space="preserve"> for 1-year all-cause mortality. Furthermore, the RCS curves illustrated a </w:t>
      </w:r>
      <w:r>
        <w:rPr>
          <w:rFonts w:eastAsia="宋体" w:hint="eastAsia"/>
          <w:color w:val="000000" w:themeColor="text1"/>
          <w:lang w:eastAsia="zh-CN"/>
        </w:rPr>
        <w:t xml:space="preserve">general </w:t>
      </w:r>
      <w:r>
        <w:rPr>
          <w:color w:val="000000" w:themeColor="text1"/>
        </w:rPr>
        <w:t>monotonic increase in the risk of all outcomes w</w:t>
      </w:r>
      <w:r>
        <w:rPr>
          <w:color w:val="000000" w:themeColor="text1"/>
        </w:rPr>
        <w:t>ith rising RPP levels (</w:t>
      </w:r>
      <w:r>
        <w:rPr>
          <w:rFonts w:eastAsia="宋体" w:hint="eastAsia"/>
          <w:i/>
          <w:color w:val="000000" w:themeColor="text1"/>
        </w:rPr>
        <w:t>p</w:t>
      </w:r>
      <w:r>
        <w:rPr>
          <w:color w:val="000000" w:themeColor="text1"/>
        </w:rPr>
        <w:t xml:space="preserve"> for overall &lt; 0.05 and </w:t>
      </w:r>
      <w:r>
        <w:rPr>
          <w:rFonts w:eastAsia="宋体" w:hint="eastAsia"/>
          <w:i/>
          <w:color w:val="000000" w:themeColor="text1"/>
        </w:rPr>
        <w:t>p</w:t>
      </w:r>
      <w:r>
        <w:rPr>
          <w:color w:val="000000" w:themeColor="text1"/>
        </w:rPr>
        <w:t xml:space="preserve"> for nonlinear &gt; 0.05 for all outcomes; </w:t>
      </w:r>
      <w:r>
        <w:rPr>
          <w:rFonts w:eastAsia="宋体"/>
          <w:b/>
          <w:color w:val="000000" w:themeColor="text1"/>
        </w:rPr>
        <w:t>Fig.</w:t>
      </w:r>
      <w:r>
        <w:rPr>
          <w:b/>
          <w:color w:val="000000" w:themeColor="text1"/>
        </w:rPr>
        <w:t xml:space="preserve"> 1</w:t>
      </w:r>
      <w:r>
        <w:rPr>
          <w:color w:val="000000" w:themeColor="text1"/>
        </w:rPr>
        <w:t xml:space="preserve">).  </w:t>
      </w:r>
    </w:p>
    <w:bookmarkEnd w:id="43"/>
    <w:p w14:paraId="5856B287" w14:textId="77777777" w:rsidR="00CC3835" w:rsidRDefault="00256BAA">
      <w:pPr>
        <w:pStyle w:val="Figure"/>
        <w:rPr>
          <w:rFonts w:eastAsia="宋体"/>
          <w:color w:val="000000" w:themeColor="text1"/>
          <w:lang w:eastAsia="zh-CN"/>
        </w:rPr>
      </w:pPr>
      <w:r>
        <w:rPr>
          <w:rFonts w:eastAsia="宋体" w:hint="eastAsia"/>
          <w:noProof/>
          <w:color w:val="000000" w:themeColor="text1"/>
          <w:lang w:eastAsia="zh-CN"/>
        </w:rPr>
        <w:lastRenderedPageBreak/>
        <w:drawing>
          <wp:inline distT="0" distB="0" distL="114300" distR="114300" wp14:anchorId="769A297F" wp14:editId="1336E16E">
            <wp:extent cx="5449570" cy="4568825"/>
            <wp:effectExtent l="0" t="0" r="11430" b="3175"/>
            <wp:docPr id="3" name="图片 3" descr="Figure 1-修稿+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 1-修稿+HR"/>
                    <pic:cNvPicPr>
                      <a:picLocks noChangeAspect="1"/>
                    </pic:cNvPicPr>
                  </pic:nvPicPr>
                  <pic:blipFill>
                    <a:blip r:embed="rId11"/>
                    <a:stretch>
                      <a:fillRect/>
                    </a:stretch>
                  </pic:blipFill>
                  <pic:spPr>
                    <a:xfrm>
                      <a:off x="0" y="0"/>
                      <a:ext cx="5449570" cy="4568825"/>
                    </a:xfrm>
                    <a:prstGeom prst="rect">
                      <a:avLst/>
                    </a:prstGeom>
                  </pic:spPr>
                </pic:pic>
              </a:graphicData>
            </a:graphic>
          </wp:inline>
        </w:drawing>
      </w:r>
    </w:p>
    <w:p w14:paraId="110BD67D" w14:textId="77777777" w:rsidR="00CC3835" w:rsidRDefault="00256BAA">
      <w:pPr>
        <w:pStyle w:val="Figurecaption"/>
        <w:rPr>
          <w:rFonts w:eastAsia="Times New Roman Regular"/>
          <w:color w:val="000000" w:themeColor="text1"/>
        </w:rPr>
      </w:pPr>
      <w:r>
        <w:rPr>
          <w:b/>
          <w:bCs/>
          <w:color w:val="000000" w:themeColor="text1"/>
        </w:rPr>
        <w:t>Fig.</w:t>
      </w:r>
      <w:r>
        <w:rPr>
          <w:rFonts w:eastAsia="Times New Roman Regular"/>
          <w:b/>
          <w:bCs/>
          <w:color w:val="000000" w:themeColor="text1"/>
        </w:rPr>
        <w:t xml:space="preserve"> 1. Restricted cubic spline curves of the association between </w:t>
      </w:r>
      <w:r>
        <w:rPr>
          <w:rFonts w:eastAsia="Times New Roman Regular" w:hint="eastAsia"/>
          <w:b/>
          <w:bCs/>
          <w:color w:val="000000" w:themeColor="text1"/>
        </w:rPr>
        <w:t>rate-pressure product (RPP)</w:t>
      </w:r>
      <w:r>
        <w:rPr>
          <w:rFonts w:eastAsia="Times New Roman Regular"/>
          <w:b/>
          <w:bCs/>
          <w:color w:val="000000" w:themeColor="text1"/>
        </w:rPr>
        <w:t xml:space="preserve"> and primary outcomes. </w:t>
      </w:r>
      <w:r>
        <w:rPr>
          <w:rFonts w:eastAsia="Times New Roman Regular"/>
          <w:color w:val="000000" w:themeColor="text1"/>
        </w:rPr>
        <w:t>The red solid lines represent the odds</w:t>
      </w:r>
      <w:r>
        <w:rPr>
          <w:rFonts w:eastAsia="Times New Roman Regular"/>
          <w:color w:val="000000" w:themeColor="text1"/>
        </w:rPr>
        <w:t xml:space="preserve"> ratios (ORs) for (a) 90-day unfavorable functional outcome</w:t>
      </w:r>
      <w:r>
        <w:rPr>
          <w:rFonts w:eastAsia="宋体" w:hint="eastAsia"/>
          <w:color w:val="000000" w:themeColor="text1"/>
          <w:lang w:eastAsia="zh-CN"/>
        </w:rPr>
        <w:t xml:space="preserve"> and</w:t>
      </w:r>
      <w:r>
        <w:rPr>
          <w:rFonts w:eastAsia="Times New Roman Regular"/>
          <w:color w:val="000000" w:themeColor="text1"/>
        </w:rPr>
        <w:t xml:space="preserve"> (b) 1-year unfavorable functional outcome</w:t>
      </w:r>
      <w:r>
        <w:rPr>
          <w:rFonts w:eastAsia="宋体" w:hint="eastAsia"/>
          <w:color w:val="000000" w:themeColor="text1"/>
          <w:lang w:eastAsia="zh-CN"/>
        </w:rPr>
        <w:t>, and the hazard ratios (HRs)</w:t>
      </w:r>
      <w:r>
        <w:rPr>
          <w:rFonts w:eastAsia="Times New Roman Regular"/>
          <w:color w:val="000000" w:themeColor="text1"/>
        </w:rPr>
        <w:t xml:space="preserve"> </w:t>
      </w:r>
      <w:r>
        <w:rPr>
          <w:rFonts w:eastAsia="宋体" w:hint="eastAsia"/>
          <w:color w:val="000000" w:themeColor="text1"/>
          <w:lang w:eastAsia="zh-CN"/>
        </w:rPr>
        <w:t xml:space="preserve">for </w:t>
      </w:r>
      <w:r>
        <w:rPr>
          <w:rFonts w:eastAsia="Times New Roman Regular"/>
          <w:color w:val="000000" w:themeColor="text1"/>
        </w:rPr>
        <w:t xml:space="preserve">(c) 90-day all-cause mortality and (d) 1-year all-cause mortality. The blue dashed lines indicate the 95% confidence </w:t>
      </w:r>
      <w:r>
        <w:rPr>
          <w:rFonts w:eastAsia="Times New Roman Regular"/>
          <w:color w:val="000000" w:themeColor="text1"/>
        </w:rPr>
        <w:t>intervals (CIs), and the gr</w:t>
      </w:r>
      <w:r>
        <w:rPr>
          <w:rFonts w:eastAsia="宋体" w:hint="eastAsia"/>
          <w:color w:val="000000" w:themeColor="text1"/>
          <w:lang w:eastAsia="zh-CN"/>
        </w:rPr>
        <w:t>a</w:t>
      </w:r>
      <w:r>
        <w:rPr>
          <w:rFonts w:eastAsia="Times New Roman Regular"/>
          <w:color w:val="000000" w:themeColor="text1"/>
        </w:rPr>
        <w:t>y bars represent histograms of RPP distribution. Models were adjusted for age, sex, smoking, alcohol intake, medical history (hypertension, diabetes mellitus, dyslipidemia, ischemic stroke, myocardial infarction), modified Ranki</w:t>
      </w:r>
      <w:r>
        <w:rPr>
          <w:rFonts w:eastAsia="Times New Roman Regular"/>
          <w:color w:val="000000" w:themeColor="text1"/>
        </w:rPr>
        <w:t>n Scale score before onset, admission Glasgow Coma Scale, location of hematoma, hematoma volume, intraventricular extension</w:t>
      </w:r>
      <w:r>
        <w:rPr>
          <w:rFonts w:eastAsia="宋体" w:hint="eastAsia"/>
          <w:color w:val="000000" w:themeColor="text1"/>
          <w:lang w:eastAsia="zh-CN"/>
        </w:rPr>
        <w:t xml:space="preserve"> and </w:t>
      </w:r>
      <w:r>
        <w:rPr>
          <w:rFonts w:eastAsia="Times New Roman Regular" w:hint="eastAsia"/>
          <w:color w:val="000000" w:themeColor="text1"/>
        </w:rPr>
        <w:t>in-hospital medications (antihypertensive, antidiabetic, and lipid-lowering agents)</w:t>
      </w:r>
      <w:r>
        <w:rPr>
          <w:rFonts w:eastAsia="Times New Roman Regular"/>
          <w:color w:val="000000" w:themeColor="text1"/>
        </w:rPr>
        <w:t xml:space="preserve">. </w:t>
      </w:r>
    </w:p>
    <w:p w14:paraId="0E302D0A" w14:textId="77777777" w:rsidR="00CC3835" w:rsidRDefault="00CC3835">
      <w:pPr>
        <w:pStyle w:val="Figure"/>
        <w:rPr>
          <w:color w:val="000000" w:themeColor="text1"/>
        </w:rPr>
      </w:pPr>
    </w:p>
    <w:p w14:paraId="693C91E0" w14:textId="77777777" w:rsidR="00CC3835" w:rsidRDefault="00256BAA">
      <w:pPr>
        <w:pStyle w:val="Text"/>
        <w:ind w:firstLine="420"/>
        <w:rPr>
          <w:color w:val="000000" w:themeColor="text1"/>
        </w:rPr>
      </w:pPr>
      <w:r>
        <w:rPr>
          <w:color w:val="000000" w:themeColor="text1"/>
        </w:rPr>
        <w:t xml:space="preserve">When RPP was categorized into quartiles, </w:t>
      </w:r>
      <w:r>
        <w:rPr>
          <w:color w:val="000000" w:themeColor="text1"/>
        </w:rPr>
        <w:t xml:space="preserve">patients in the highest quartile (Q4) </w:t>
      </w:r>
      <w:r>
        <w:rPr>
          <w:rFonts w:hint="eastAsia"/>
          <w:color w:val="000000" w:themeColor="text1"/>
        </w:rPr>
        <w:t>exhibite</w:t>
      </w:r>
      <w:r>
        <w:rPr>
          <w:color w:val="000000" w:themeColor="text1"/>
        </w:rPr>
        <w:t xml:space="preserve">d a significantly higher risk of primary outcomes compared to those in the lowest quartile (Q1) </w:t>
      </w:r>
      <w:r>
        <w:rPr>
          <w:b/>
          <w:color w:val="000000" w:themeColor="text1"/>
        </w:rPr>
        <w:t>(Table 2)</w:t>
      </w:r>
      <w:r>
        <w:rPr>
          <w:color w:val="000000" w:themeColor="text1"/>
        </w:rPr>
        <w:t xml:space="preserve">. </w:t>
      </w:r>
      <w:r>
        <w:rPr>
          <w:rFonts w:hint="eastAsia"/>
          <w:color w:val="000000" w:themeColor="text1"/>
        </w:rPr>
        <w:t xml:space="preserve">In </w:t>
      </w:r>
      <w:r>
        <w:rPr>
          <w:rFonts w:eastAsia="宋体" w:hint="eastAsia"/>
          <w:color w:val="FF0000"/>
          <w:lang w:eastAsia="zh-CN"/>
        </w:rPr>
        <w:t>M</w:t>
      </w:r>
      <w:r>
        <w:rPr>
          <w:rFonts w:hint="eastAsia"/>
          <w:color w:val="000000" w:themeColor="text1"/>
        </w:rPr>
        <w:t xml:space="preserve">odel 4, </w:t>
      </w:r>
      <w:r>
        <w:rPr>
          <w:rFonts w:eastAsia="宋体" w:hint="eastAsia"/>
          <w:color w:val="000000" w:themeColor="text1"/>
          <w:lang w:eastAsia="zh-CN"/>
        </w:rPr>
        <w:t>t</w:t>
      </w:r>
      <w:r>
        <w:rPr>
          <w:color w:val="000000" w:themeColor="text1"/>
        </w:rPr>
        <w:t xml:space="preserve">he </w:t>
      </w:r>
      <w:r>
        <w:rPr>
          <w:rFonts w:eastAsia="宋体"/>
          <w:color w:val="000000" w:themeColor="text1"/>
        </w:rPr>
        <w:t>multivariable</w:t>
      </w:r>
      <w:r>
        <w:rPr>
          <w:color w:val="000000" w:themeColor="text1"/>
        </w:rPr>
        <w:t xml:space="preserve">-adjusted OR for Q4 </w:t>
      </w:r>
      <w:r>
        <w:rPr>
          <w:rFonts w:eastAsia="宋体"/>
          <w:color w:val="000000" w:themeColor="text1"/>
        </w:rPr>
        <w:t>versus</w:t>
      </w:r>
      <w:r>
        <w:rPr>
          <w:color w:val="000000" w:themeColor="text1"/>
        </w:rPr>
        <w:t xml:space="preserve"> Q1 was </w:t>
      </w:r>
      <w:r>
        <w:rPr>
          <w:rFonts w:hint="eastAsia"/>
          <w:color w:val="000000" w:themeColor="text1"/>
        </w:rPr>
        <w:t>1.851 (95% CI:</w:t>
      </w:r>
      <w:r>
        <w:rPr>
          <w:rFonts w:eastAsia="宋体" w:hint="eastAsia"/>
          <w:color w:val="000000" w:themeColor="text1"/>
          <w:lang w:eastAsia="zh-CN"/>
        </w:rPr>
        <w:t xml:space="preserve"> </w:t>
      </w:r>
      <w:r>
        <w:rPr>
          <w:rFonts w:hint="eastAsia"/>
          <w:color w:val="000000" w:themeColor="text1"/>
        </w:rPr>
        <w:t>1.173</w:t>
      </w:r>
      <w:r>
        <w:rPr>
          <w:rFonts w:ascii="Times New Roman Regular" w:hAnsi="Times New Roman Regular" w:cs="Times New Roman Regular"/>
          <w:color w:val="000000" w:themeColor="text1"/>
        </w:rPr>
        <w:t>–</w:t>
      </w:r>
      <w:r>
        <w:rPr>
          <w:rFonts w:hint="eastAsia"/>
          <w:color w:val="000000" w:themeColor="text1"/>
        </w:rPr>
        <w:t>2.927)</w:t>
      </w:r>
      <w:r>
        <w:rPr>
          <w:color w:val="000000" w:themeColor="text1"/>
        </w:rPr>
        <w:t xml:space="preserve"> for </w:t>
      </w:r>
      <w:bookmarkStart w:id="44" w:name="OLE_LINK53"/>
      <w:r>
        <w:rPr>
          <w:color w:val="000000" w:themeColor="text1"/>
        </w:rPr>
        <w:t>90-day u</w:t>
      </w:r>
      <w:r>
        <w:rPr>
          <w:color w:val="000000" w:themeColor="text1"/>
        </w:rPr>
        <w:t>nfavorable functional outcome</w:t>
      </w:r>
      <w:bookmarkEnd w:id="44"/>
      <w:r>
        <w:rPr>
          <w:rFonts w:eastAsia="宋体" w:hint="eastAsia"/>
          <w:color w:val="000000" w:themeColor="text1"/>
          <w:lang w:eastAsia="zh-CN"/>
        </w:rPr>
        <w:t xml:space="preserve"> and</w:t>
      </w:r>
      <w:r>
        <w:rPr>
          <w:color w:val="000000" w:themeColor="text1"/>
        </w:rPr>
        <w:t xml:space="preserve"> </w:t>
      </w:r>
      <w:r>
        <w:rPr>
          <w:rFonts w:hint="eastAsia"/>
          <w:color w:val="000000" w:themeColor="text1"/>
        </w:rPr>
        <w:t>1.709 (95% CI:</w:t>
      </w:r>
      <w:r>
        <w:rPr>
          <w:rFonts w:eastAsia="宋体" w:hint="eastAsia"/>
          <w:color w:val="000000" w:themeColor="text1"/>
          <w:lang w:eastAsia="zh-CN"/>
        </w:rPr>
        <w:t xml:space="preserve"> </w:t>
      </w:r>
      <w:r>
        <w:rPr>
          <w:rFonts w:hint="eastAsia"/>
          <w:color w:val="000000" w:themeColor="text1"/>
        </w:rPr>
        <w:t>1.065</w:t>
      </w:r>
      <w:r>
        <w:rPr>
          <w:rFonts w:ascii="Times New Roman Regular" w:hAnsi="Times New Roman Regular" w:cs="Times New Roman Regular"/>
          <w:color w:val="000000" w:themeColor="text1"/>
        </w:rPr>
        <w:t>–</w:t>
      </w:r>
      <w:r>
        <w:rPr>
          <w:rFonts w:hint="eastAsia"/>
          <w:color w:val="000000" w:themeColor="text1"/>
        </w:rPr>
        <w:t>2.750)</w:t>
      </w:r>
      <w:r>
        <w:rPr>
          <w:color w:val="000000" w:themeColor="text1"/>
        </w:rPr>
        <w:t xml:space="preserve"> for 1-year unfavorable functional outcome</w:t>
      </w:r>
      <w:r>
        <w:rPr>
          <w:rFonts w:eastAsia="宋体" w:hint="eastAsia"/>
          <w:color w:val="000000" w:themeColor="text1"/>
          <w:lang w:eastAsia="zh-CN"/>
        </w:rPr>
        <w:t>; adjusted HR was 1.526 (</w:t>
      </w:r>
      <w:r>
        <w:rPr>
          <w:rFonts w:hint="eastAsia"/>
          <w:color w:val="000000" w:themeColor="text1"/>
        </w:rPr>
        <w:t>95% CI:</w:t>
      </w:r>
      <w:r>
        <w:rPr>
          <w:rFonts w:eastAsia="宋体" w:hint="eastAsia"/>
          <w:color w:val="000000" w:themeColor="text1"/>
          <w:lang w:eastAsia="zh-CN"/>
        </w:rPr>
        <w:t xml:space="preserve"> 1.040</w:t>
      </w:r>
      <w:r>
        <w:rPr>
          <w:rFonts w:ascii="Times New Roman Regular" w:hAnsi="Times New Roman Regular" w:cs="Times New Roman Regular"/>
          <w:color w:val="000000" w:themeColor="text1"/>
        </w:rPr>
        <w:t>–</w:t>
      </w:r>
      <w:r>
        <w:rPr>
          <w:rFonts w:eastAsia="宋体" w:hint="eastAsia"/>
          <w:color w:val="000000" w:themeColor="text1"/>
          <w:lang w:eastAsia="zh-CN"/>
        </w:rPr>
        <w:t>2.240) for 90-day all-cause mortality</w:t>
      </w:r>
      <w:r>
        <w:rPr>
          <w:color w:val="000000" w:themeColor="text1"/>
        </w:rPr>
        <w:t xml:space="preserve"> and </w:t>
      </w:r>
      <w:r>
        <w:rPr>
          <w:rFonts w:hint="eastAsia"/>
          <w:color w:val="000000" w:themeColor="text1"/>
        </w:rPr>
        <w:t>1.539 (95% CI:</w:t>
      </w:r>
      <w:r>
        <w:rPr>
          <w:rFonts w:eastAsia="宋体" w:hint="eastAsia"/>
          <w:color w:val="000000" w:themeColor="text1"/>
          <w:lang w:eastAsia="zh-CN"/>
        </w:rPr>
        <w:t xml:space="preserve"> </w:t>
      </w:r>
      <w:r>
        <w:rPr>
          <w:rFonts w:hint="eastAsia"/>
          <w:color w:val="000000" w:themeColor="text1"/>
        </w:rPr>
        <w:t>1.093</w:t>
      </w:r>
      <w:r>
        <w:rPr>
          <w:rFonts w:ascii="Times New Roman Regular" w:hAnsi="Times New Roman Regular" w:cs="Times New Roman Regular"/>
          <w:color w:val="000000" w:themeColor="text1"/>
        </w:rPr>
        <w:t>–</w:t>
      </w:r>
      <w:r>
        <w:rPr>
          <w:rFonts w:hint="eastAsia"/>
          <w:color w:val="000000" w:themeColor="text1"/>
        </w:rPr>
        <w:t>2.168)</w:t>
      </w:r>
      <w:r>
        <w:rPr>
          <w:color w:val="000000" w:themeColor="text1"/>
        </w:rPr>
        <w:t xml:space="preserve"> for 1-year all-cause mortality</w:t>
      </w:r>
      <w:r>
        <w:rPr>
          <w:rFonts w:eastAsia="宋体"/>
          <w:color w:val="000000" w:themeColor="text1"/>
        </w:rPr>
        <w:t>.</w:t>
      </w:r>
      <w:r>
        <w:rPr>
          <w:color w:val="000000" w:themeColor="text1"/>
        </w:rPr>
        <w:t xml:space="preserve"> Trend analyses revealed a statistically significant association between increasing RPP quartiles and primary outcomes (</w:t>
      </w:r>
      <w:r>
        <w:rPr>
          <w:b/>
          <w:color w:val="000000" w:themeColor="text1"/>
        </w:rPr>
        <w:t>Table 2</w:t>
      </w:r>
      <w:r>
        <w:rPr>
          <w:color w:val="000000" w:themeColor="text1"/>
        </w:rPr>
        <w:t xml:space="preserve">; </w:t>
      </w:r>
      <w:r>
        <w:rPr>
          <w:rFonts w:eastAsia="宋体" w:hint="eastAsia"/>
          <w:i/>
          <w:color w:val="000000" w:themeColor="text1"/>
        </w:rPr>
        <w:t>p</w:t>
      </w:r>
      <w:r>
        <w:rPr>
          <w:color w:val="000000" w:themeColor="text1"/>
        </w:rPr>
        <w:t xml:space="preserve"> for trend &lt; 0.05 for all). </w:t>
      </w:r>
      <w:r>
        <w:rPr>
          <w:rFonts w:hint="eastAsia"/>
          <w:color w:val="000000" w:themeColor="text1"/>
        </w:rPr>
        <w:t xml:space="preserve">Furthermore, </w:t>
      </w:r>
      <w:r>
        <w:rPr>
          <w:color w:val="000000" w:themeColor="text1"/>
        </w:rPr>
        <w:t xml:space="preserve">shift analysis showed that </w:t>
      </w:r>
      <w:r>
        <w:rPr>
          <w:rFonts w:hint="eastAsia"/>
          <w:color w:val="000000" w:themeColor="text1"/>
        </w:rPr>
        <w:t>as RPP quartiles increased</w:t>
      </w:r>
      <w:r>
        <w:rPr>
          <w:color w:val="000000" w:themeColor="text1"/>
        </w:rPr>
        <w:t>, the distribution of mRS scores</w:t>
      </w:r>
      <w:r>
        <w:rPr>
          <w:color w:val="000000" w:themeColor="text1"/>
        </w:rPr>
        <w:t xml:space="preserve"> exhibited a significant shift toward worse functional outcome at both 90 days and 1 year (</w:t>
      </w:r>
      <w:r>
        <w:rPr>
          <w:rFonts w:hint="eastAsia"/>
          <w:color w:val="000000" w:themeColor="text1"/>
        </w:rPr>
        <w:t>ordinal logistic regression overall LR χ²</w:t>
      </w:r>
      <w:r>
        <w:rPr>
          <w:rFonts w:eastAsia="宋体" w:hint="eastAsia"/>
          <w:color w:val="000000" w:themeColor="text1"/>
          <w:lang w:eastAsia="zh-CN"/>
        </w:rPr>
        <w:t xml:space="preserve"> </w:t>
      </w:r>
      <w:r>
        <w:rPr>
          <w:rFonts w:hint="eastAsia"/>
          <w:color w:val="000000" w:themeColor="text1"/>
        </w:rPr>
        <w:t>=</w:t>
      </w:r>
      <w:r>
        <w:rPr>
          <w:rFonts w:eastAsia="宋体" w:hint="eastAsia"/>
          <w:color w:val="000000" w:themeColor="text1"/>
          <w:lang w:eastAsia="zh-CN"/>
        </w:rPr>
        <w:t xml:space="preserve"> </w:t>
      </w:r>
      <w:r>
        <w:rPr>
          <w:rFonts w:hint="eastAsia"/>
          <w:color w:val="000000" w:themeColor="text1"/>
        </w:rPr>
        <w:t>99.851</w:t>
      </w:r>
      <w:r>
        <w:rPr>
          <w:rFonts w:eastAsia="宋体" w:hint="eastAsia"/>
          <w:color w:val="000000" w:themeColor="text1"/>
          <w:lang w:eastAsia="zh-CN"/>
        </w:rPr>
        <w:t xml:space="preserve"> and </w:t>
      </w:r>
      <w:r>
        <w:rPr>
          <w:rFonts w:hint="eastAsia"/>
          <w:color w:val="000000" w:themeColor="text1"/>
        </w:rPr>
        <w:t>88.063,</w:t>
      </w:r>
      <w:r>
        <w:rPr>
          <w:rFonts w:eastAsia="宋体" w:hint="eastAsia"/>
          <w:color w:val="000000" w:themeColor="text1"/>
          <w:lang w:eastAsia="zh-CN"/>
        </w:rPr>
        <w:t xml:space="preserve"> respectively; </w:t>
      </w:r>
      <w:r>
        <w:rPr>
          <w:rFonts w:hint="eastAsia"/>
          <w:color w:val="000000" w:themeColor="text1"/>
        </w:rPr>
        <w:t>Kruskal–Wallis H</w:t>
      </w:r>
      <w:r>
        <w:rPr>
          <w:rFonts w:eastAsia="宋体" w:hint="eastAsia"/>
          <w:color w:val="000000" w:themeColor="text1"/>
          <w:lang w:eastAsia="zh-CN"/>
        </w:rPr>
        <w:t xml:space="preserve"> </w:t>
      </w:r>
      <w:r>
        <w:rPr>
          <w:rFonts w:hint="eastAsia"/>
          <w:color w:val="000000" w:themeColor="text1"/>
        </w:rPr>
        <w:t>=</w:t>
      </w:r>
      <w:r>
        <w:rPr>
          <w:rFonts w:eastAsia="宋体" w:hint="eastAsia"/>
          <w:color w:val="000000" w:themeColor="text1"/>
          <w:lang w:eastAsia="zh-CN"/>
        </w:rPr>
        <w:t xml:space="preserve"> </w:t>
      </w:r>
      <w:r>
        <w:rPr>
          <w:rFonts w:hint="eastAsia"/>
          <w:color w:val="000000" w:themeColor="text1"/>
        </w:rPr>
        <w:t>96.135</w:t>
      </w:r>
      <w:r>
        <w:rPr>
          <w:rFonts w:eastAsia="宋体" w:hint="eastAsia"/>
          <w:color w:val="000000" w:themeColor="text1"/>
          <w:lang w:eastAsia="zh-CN"/>
        </w:rPr>
        <w:t xml:space="preserve"> and </w:t>
      </w:r>
      <w:r>
        <w:rPr>
          <w:rFonts w:hint="eastAsia"/>
          <w:color w:val="000000" w:themeColor="text1"/>
        </w:rPr>
        <w:t>86.369,</w:t>
      </w:r>
      <w:r>
        <w:rPr>
          <w:rFonts w:eastAsia="宋体" w:hint="eastAsia"/>
          <w:color w:val="000000" w:themeColor="text1"/>
          <w:lang w:eastAsia="zh-CN"/>
        </w:rPr>
        <w:t xml:space="preserve"> respectively;</w:t>
      </w:r>
      <w:r>
        <w:rPr>
          <w:rFonts w:hint="eastAsia"/>
          <w:color w:val="000000" w:themeColor="text1"/>
        </w:rPr>
        <w:t xml:space="preserve"> </w:t>
      </w:r>
      <w:r>
        <w:rPr>
          <w:rFonts w:eastAsia="宋体" w:hint="eastAsia"/>
          <w:color w:val="000000" w:themeColor="text1"/>
          <w:lang w:eastAsia="zh-CN"/>
        </w:rPr>
        <w:t xml:space="preserve">all </w:t>
      </w:r>
      <w:r>
        <w:rPr>
          <w:rFonts w:ascii="Times New Roman Italic" w:eastAsia="宋体" w:hAnsi="Times New Roman Italic" w:cs="Times New Roman Italic"/>
          <w:i/>
          <w:iCs/>
          <w:color w:val="000000" w:themeColor="text1"/>
          <w:lang w:eastAsia="zh-CN"/>
        </w:rPr>
        <w:t>p</w:t>
      </w:r>
      <w:r>
        <w:rPr>
          <w:rFonts w:eastAsia="宋体" w:hint="eastAsia"/>
          <w:color w:val="000000" w:themeColor="text1"/>
          <w:lang w:eastAsia="zh-CN"/>
        </w:rPr>
        <w:t xml:space="preserve"> &lt; 0.001</w:t>
      </w:r>
      <w:r>
        <w:rPr>
          <w:rFonts w:hint="eastAsia"/>
          <w:color w:val="000000" w:themeColor="text1"/>
        </w:rPr>
        <w:t>;</w:t>
      </w:r>
      <w:r>
        <w:rPr>
          <w:color w:val="000000" w:themeColor="text1"/>
        </w:rPr>
        <w:t xml:space="preserve"> </w:t>
      </w:r>
      <w:r>
        <w:rPr>
          <w:rFonts w:eastAsia="宋体"/>
          <w:b/>
          <w:color w:val="000000" w:themeColor="text1"/>
        </w:rPr>
        <w:t>Fig.</w:t>
      </w:r>
      <w:r>
        <w:rPr>
          <w:b/>
          <w:color w:val="000000" w:themeColor="text1"/>
        </w:rPr>
        <w:t xml:space="preserve"> 2</w:t>
      </w:r>
      <w:r>
        <w:rPr>
          <w:color w:val="000000" w:themeColor="text1"/>
        </w:rPr>
        <w:t xml:space="preserve">). </w:t>
      </w:r>
      <w:r>
        <w:rPr>
          <w:rFonts w:hint="eastAsia"/>
          <w:color w:val="000000" w:themeColor="text1"/>
        </w:rPr>
        <w:t>Kaplan</w:t>
      </w:r>
      <w:r>
        <w:rPr>
          <w:rFonts w:eastAsia="宋体" w:hint="eastAsia"/>
          <w:color w:val="000000" w:themeColor="text1"/>
          <w:lang w:eastAsia="zh-CN"/>
        </w:rPr>
        <w:t>-</w:t>
      </w:r>
      <w:r>
        <w:rPr>
          <w:rFonts w:hint="eastAsia"/>
          <w:color w:val="000000" w:themeColor="text1"/>
        </w:rPr>
        <w:t>Meier</w:t>
      </w:r>
      <w:r>
        <w:rPr>
          <w:rFonts w:hint="eastAsia"/>
          <w:color w:val="000000" w:themeColor="text1"/>
        </w:rPr>
        <w:t xml:space="preserve"> survival curves</w:t>
      </w:r>
      <w:r>
        <w:rPr>
          <w:color w:val="000000" w:themeColor="text1"/>
        </w:rPr>
        <w:t xml:space="preserve"> demonstrated </w:t>
      </w:r>
      <w:r>
        <w:rPr>
          <w:rFonts w:eastAsia="宋体" w:hint="eastAsia"/>
          <w:color w:val="000000" w:themeColor="text1"/>
          <w:lang w:eastAsia="zh-CN"/>
        </w:rPr>
        <w:t xml:space="preserve">a </w:t>
      </w:r>
      <w:r>
        <w:rPr>
          <w:color w:val="000000" w:themeColor="text1"/>
        </w:rPr>
        <w:t xml:space="preserve">significant difference </w:t>
      </w:r>
      <w:r>
        <w:rPr>
          <w:rFonts w:hint="eastAsia"/>
          <w:color w:val="000000" w:themeColor="text1"/>
        </w:rPr>
        <w:t>in one-year survival rates</w:t>
      </w:r>
      <w:r>
        <w:rPr>
          <w:rFonts w:eastAsia="宋体" w:hint="eastAsia"/>
          <w:color w:val="000000" w:themeColor="text1"/>
          <w:lang w:eastAsia="zh-CN"/>
        </w:rPr>
        <w:t xml:space="preserve"> </w:t>
      </w:r>
      <w:r>
        <w:rPr>
          <w:color w:val="000000" w:themeColor="text1"/>
        </w:rPr>
        <w:t xml:space="preserve">across </w:t>
      </w:r>
      <w:r>
        <w:rPr>
          <w:rFonts w:eastAsia="宋体"/>
          <w:color w:val="000000" w:themeColor="text1"/>
        </w:rPr>
        <w:t>RPP</w:t>
      </w:r>
      <w:r>
        <w:rPr>
          <w:color w:val="000000" w:themeColor="text1"/>
        </w:rPr>
        <w:t xml:space="preserve"> qua</w:t>
      </w:r>
      <w:r>
        <w:rPr>
          <w:rFonts w:eastAsia="宋体"/>
          <w:color w:val="000000" w:themeColor="text1"/>
        </w:rPr>
        <w:t>r</w:t>
      </w:r>
      <w:r>
        <w:rPr>
          <w:color w:val="000000" w:themeColor="text1"/>
        </w:rPr>
        <w:t>tiles (log-rank</w:t>
      </w:r>
      <w:r>
        <w:rPr>
          <w:rFonts w:eastAsia="宋体" w:hint="eastAsia"/>
          <w:color w:val="000000" w:themeColor="text1"/>
          <w:lang w:eastAsia="zh-CN"/>
        </w:rPr>
        <w:t xml:space="preserve"> </w:t>
      </w:r>
      <w:r>
        <w:rPr>
          <w:rFonts w:eastAsia="宋体"/>
          <w:color w:val="000000" w:themeColor="text1"/>
          <w:lang w:eastAsia="zh-CN"/>
        </w:rPr>
        <w:t>χ</w:t>
      </w:r>
      <w:r>
        <w:rPr>
          <w:rFonts w:eastAsia="宋体" w:hint="eastAsia"/>
          <w:color w:val="000000" w:themeColor="text1"/>
          <w:vertAlign w:val="superscript"/>
          <w:lang w:eastAsia="zh-CN"/>
        </w:rPr>
        <w:t xml:space="preserve">2 </w:t>
      </w:r>
      <w:r>
        <w:rPr>
          <w:rFonts w:eastAsia="宋体" w:hint="eastAsia"/>
          <w:color w:val="000000" w:themeColor="text1"/>
          <w:lang w:eastAsia="zh-CN"/>
        </w:rPr>
        <w:t xml:space="preserve">= 86.32, df = 3, </w:t>
      </w:r>
      <w:r>
        <w:rPr>
          <w:rFonts w:eastAsia="宋体" w:hint="eastAsia"/>
          <w:i/>
          <w:color w:val="000000" w:themeColor="text1"/>
        </w:rPr>
        <w:t>p</w:t>
      </w:r>
      <w:r>
        <w:rPr>
          <w:color w:val="000000" w:themeColor="text1"/>
        </w:rPr>
        <w:t xml:space="preserve"> &lt; 0.001). </w:t>
      </w:r>
      <w:r>
        <w:rPr>
          <w:rFonts w:hint="eastAsia"/>
          <w:color w:val="000000" w:themeColor="text1"/>
        </w:rPr>
        <w:t>Specifically, the lowest cumulative survival probability was observed</w:t>
      </w:r>
      <w:r>
        <w:rPr>
          <w:color w:val="000000" w:themeColor="text1"/>
        </w:rPr>
        <w:t xml:space="preserve"> in the Q4 group </w:t>
      </w:r>
      <w:r>
        <w:rPr>
          <w:b/>
          <w:color w:val="000000" w:themeColor="text1"/>
        </w:rPr>
        <w:t>(</w:t>
      </w:r>
      <w:r>
        <w:rPr>
          <w:rFonts w:eastAsia="宋体"/>
          <w:b/>
          <w:color w:val="000000" w:themeColor="text1"/>
        </w:rPr>
        <w:t>Fig.</w:t>
      </w:r>
      <w:r>
        <w:rPr>
          <w:b/>
          <w:color w:val="000000" w:themeColor="text1"/>
        </w:rPr>
        <w:t xml:space="preserve"> 3)</w:t>
      </w:r>
      <w:r>
        <w:rPr>
          <w:color w:val="000000" w:themeColor="text1"/>
        </w:rPr>
        <w:t xml:space="preserve">. </w:t>
      </w:r>
    </w:p>
    <w:p w14:paraId="53B535E2" w14:textId="77777777" w:rsidR="00CC3835" w:rsidRDefault="00256BAA">
      <w:pPr>
        <w:pStyle w:val="Tablecaption"/>
        <w:spacing w:before="312" w:after="312"/>
        <w:rPr>
          <w:rFonts w:eastAsia="Times New Roman Regular"/>
          <w:color w:val="000000" w:themeColor="text1"/>
          <w:lang w:bidi="ar"/>
        </w:rPr>
      </w:pPr>
      <w:r>
        <w:rPr>
          <w:color w:val="000000" w:themeColor="text1"/>
        </w:rPr>
        <w:t xml:space="preserve">Table 2. </w:t>
      </w:r>
      <w:r>
        <w:rPr>
          <w:color w:val="000000" w:themeColor="text1"/>
        </w:rPr>
        <w:t>Association between rate-pressure product (RPP) and primary outcomes</w:t>
      </w:r>
    </w:p>
    <w:tbl>
      <w:tblPr>
        <w:tblW w:w="9737" w:type="dxa"/>
        <w:jc w:val="center"/>
        <w:tblLayout w:type="fixed"/>
        <w:tblLook w:val="04A0" w:firstRow="1" w:lastRow="0" w:firstColumn="1" w:lastColumn="0" w:noHBand="0" w:noVBand="1"/>
      </w:tblPr>
      <w:tblGrid>
        <w:gridCol w:w="1185"/>
        <w:gridCol w:w="1585"/>
        <w:gridCol w:w="934"/>
        <w:gridCol w:w="1733"/>
        <w:gridCol w:w="1733"/>
        <w:gridCol w:w="1735"/>
        <w:gridCol w:w="832"/>
      </w:tblGrid>
      <w:tr w:rsidR="00CC3835" w14:paraId="5F185AB9" w14:textId="77777777">
        <w:trPr>
          <w:trHeight w:val="336"/>
          <w:jc w:val="center"/>
        </w:trPr>
        <w:tc>
          <w:tcPr>
            <w:tcW w:w="1185" w:type="dxa"/>
            <w:vMerge w:val="restart"/>
            <w:tcBorders>
              <w:top w:val="single" w:sz="4" w:space="0" w:color="000000"/>
              <w:left w:val="nil"/>
              <w:bottom w:val="single" w:sz="4" w:space="0" w:color="000000"/>
              <w:right w:val="nil"/>
            </w:tcBorders>
            <w:vAlign w:val="center"/>
          </w:tcPr>
          <w:p w14:paraId="69E11470"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lastRenderedPageBreak/>
              <w:t>Outcomes</w:t>
            </w:r>
          </w:p>
        </w:tc>
        <w:tc>
          <w:tcPr>
            <w:tcW w:w="1585" w:type="dxa"/>
            <w:vMerge w:val="restart"/>
            <w:tcBorders>
              <w:top w:val="single" w:sz="4" w:space="0" w:color="000000"/>
              <w:left w:val="nil"/>
              <w:bottom w:val="single" w:sz="4" w:space="0" w:color="000000"/>
              <w:right w:val="nil"/>
            </w:tcBorders>
            <w:vAlign w:val="center"/>
          </w:tcPr>
          <w:p w14:paraId="7AD9F7C2"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RPP as a continuous variable</w:t>
            </w:r>
          </w:p>
        </w:tc>
        <w:tc>
          <w:tcPr>
            <w:tcW w:w="6967" w:type="dxa"/>
            <w:gridSpan w:val="5"/>
            <w:tcBorders>
              <w:top w:val="single" w:sz="4" w:space="0" w:color="000000"/>
              <w:left w:val="nil"/>
              <w:bottom w:val="nil"/>
              <w:right w:val="nil"/>
            </w:tcBorders>
            <w:vAlign w:val="center"/>
          </w:tcPr>
          <w:p w14:paraId="1702BCF9"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 xml:space="preserve">RPP as a categorical variable, </w:t>
            </w:r>
            <w:r>
              <w:rPr>
                <w:rFonts w:ascii="Times New Roman" w:eastAsia="Times New Roman Bold" w:hAnsi="Times New Roman" w:hint="eastAsia"/>
                <w:b/>
                <w:bCs/>
                <w:color w:val="FF0000"/>
                <w:sz w:val="16"/>
                <w:szCs w:val="16"/>
                <w:lang w:bidi="ar"/>
              </w:rPr>
              <w:t>quartiles</w:t>
            </w:r>
          </w:p>
        </w:tc>
      </w:tr>
      <w:tr w:rsidR="00CC3835" w14:paraId="2F21D491" w14:textId="77777777">
        <w:trPr>
          <w:trHeight w:val="600"/>
          <w:jc w:val="center"/>
        </w:trPr>
        <w:tc>
          <w:tcPr>
            <w:tcW w:w="1185" w:type="dxa"/>
            <w:vMerge/>
            <w:tcBorders>
              <w:top w:val="single" w:sz="4" w:space="0" w:color="000000"/>
              <w:left w:val="nil"/>
              <w:bottom w:val="single" w:sz="4" w:space="0" w:color="000000"/>
              <w:right w:val="nil"/>
            </w:tcBorders>
            <w:vAlign w:val="center"/>
          </w:tcPr>
          <w:p w14:paraId="445D42E0" w14:textId="77777777" w:rsidR="00CC3835" w:rsidRDefault="00CC3835">
            <w:pPr>
              <w:jc w:val="center"/>
              <w:rPr>
                <w:rFonts w:ascii="Times New Roman" w:eastAsia="Times New Roman Bold" w:hAnsi="Times New Roman"/>
                <w:b/>
                <w:bCs/>
                <w:color w:val="000000" w:themeColor="text1"/>
                <w:sz w:val="16"/>
                <w:szCs w:val="16"/>
              </w:rPr>
            </w:pPr>
          </w:p>
        </w:tc>
        <w:tc>
          <w:tcPr>
            <w:tcW w:w="1585" w:type="dxa"/>
            <w:vMerge/>
            <w:tcBorders>
              <w:top w:val="single" w:sz="4" w:space="0" w:color="000000"/>
              <w:left w:val="nil"/>
              <w:bottom w:val="single" w:sz="4" w:space="0" w:color="000000"/>
              <w:right w:val="nil"/>
            </w:tcBorders>
            <w:vAlign w:val="center"/>
          </w:tcPr>
          <w:p w14:paraId="48DB52C8" w14:textId="77777777" w:rsidR="00CC3835" w:rsidRDefault="00CC3835">
            <w:pPr>
              <w:jc w:val="center"/>
              <w:rPr>
                <w:rFonts w:ascii="Times New Roman" w:eastAsia="Times New Roman Bold" w:hAnsi="Times New Roman"/>
                <w:b/>
                <w:bCs/>
                <w:color w:val="000000" w:themeColor="text1"/>
                <w:sz w:val="16"/>
                <w:szCs w:val="16"/>
              </w:rPr>
            </w:pPr>
          </w:p>
        </w:tc>
        <w:tc>
          <w:tcPr>
            <w:tcW w:w="934" w:type="dxa"/>
            <w:tcBorders>
              <w:top w:val="nil"/>
              <w:left w:val="nil"/>
              <w:bottom w:val="single" w:sz="4" w:space="0" w:color="000000"/>
              <w:right w:val="nil"/>
            </w:tcBorders>
            <w:vAlign w:val="center"/>
          </w:tcPr>
          <w:p w14:paraId="2103A078"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Q1</w:t>
            </w:r>
          </w:p>
        </w:tc>
        <w:tc>
          <w:tcPr>
            <w:tcW w:w="1733" w:type="dxa"/>
            <w:tcBorders>
              <w:top w:val="nil"/>
              <w:left w:val="nil"/>
              <w:bottom w:val="single" w:sz="4" w:space="0" w:color="000000"/>
              <w:right w:val="nil"/>
            </w:tcBorders>
            <w:vAlign w:val="center"/>
          </w:tcPr>
          <w:p w14:paraId="232FDEF5"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Q2</w:t>
            </w:r>
          </w:p>
        </w:tc>
        <w:tc>
          <w:tcPr>
            <w:tcW w:w="1733" w:type="dxa"/>
            <w:tcBorders>
              <w:top w:val="nil"/>
              <w:left w:val="nil"/>
              <w:bottom w:val="single" w:sz="4" w:space="0" w:color="000000"/>
              <w:right w:val="nil"/>
            </w:tcBorders>
            <w:vAlign w:val="center"/>
          </w:tcPr>
          <w:p w14:paraId="7E891BCA"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Q3</w:t>
            </w:r>
          </w:p>
        </w:tc>
        <w:tc>
          <w:tcPr>
            <w:tcW w:w="1735" w:type="dxa"/>
            <w:tcBorders>
              <w:top w:val="nil"/>
              <w:left w:val="nil"/>
              <w:bottom w:val="single" w:sz="4" w:space="0" w:color="000000"/>
              <w:right w:val="nil"/>
            </w:tcBorders>
            <w:vAlign w:val="center"/>
          </w:tcPr>
          <w:p w14:paraId="6CFC1CD3"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w:eastAsia="Times New Roman Bold" w:hAnsi="Times New Roman"/>
                <w:b/>
                <w:bCs/>
                <w:color w:val="000000" w:themeColor="text1"/>
                <w:sz w:val="16"/>
                <w:szCs w:val="16"/>
                <w:lang w:bidi="ar"/>
              </w:rPr>
              <w:t>Q4</w:t>
            </w:r>
          </w:p>
        </w:tc>
        <w:tc>
          <w:tcPr>
            <w:tcW w:w="832" w:type="dxa"/>
            <w:tcBorders>
              <w:top w:val="nil"/>
              <w:left w:val="nil"/>
              <w:bottom w:val="single" w:sz="4" w:space="0" w:color="000000"/>
              <w:right w:val="nil"/>
            </w:tcBorders>
            <w:vAlign w:val="center"/>
          </w:tcPr>
          <w:p w14:paraId="1EEAC204" w14:textId="77777777" w:rsidR="00CC3835" w:rsidRDefault="00256BAA">
            <w:pPr>
              <w:jc w:val="center"/>
              <w:textAlignment w:val="center"/>
              <w:rPr>
                <w:rFonts w:ascii="Times New Roman" w:eastAsia="Times New Roman Bold" w:hAnsi="Times New Roman"/>
                <w:b/>
                <w:bCs/>
                <w:color w:val="000000" w:themeColor="text1"/>
                <w:sz w:val="16"/>
                <w:szCs w:val="16"/>
              </w:rPr>
            </w:pPr>
            <w:r>
              <w:rPr>
                <w:rFonts w:ascii="Times New Roman Bold Italic" w:hAnsi="Times New Roman Bold Italic" w:cs="Times New Roman Bold Italic" w:hint="eastAsia"/>
                <w:b/>
                <w:bCs/>
                <w:i/>
                <w:iCs/>
                <w:color w:val="000000" w:themeColor="text1"/>
                <w:sz w:val="16"/>
                <w:szCs w:val="16"/>
                <w:lang w:bidi="ar"/>
              </w:rPr>
              <w:t>p</w:t>
            </w:r>
            <w:r>
              <w:rPr>
                <w:rFonts w:ascii="Times New Roman" w:eastAsia="Times New Roman Bold" w:hAnsi="Times New Roman"/>
                <w:b/>
                <w:bCs/>
                <w:color w:val="000000" w:themeColor="text1"/>
                <w:sz w:val="16"/>
                <w:szCs w:val="16"/>
                <w:lang w:bidi="ar"/>
              </w:rPr>
              <w:t xml:space="preserve"> for trend</w:t>
            </w:r>
          </w:p>
        </w:tc>
      </w:tr>
      <w:tr w:rsidR="00CC3835" w14:paraId="6A2F784F" w14:textId="77777777">
        <w:trPr>
          <w:trHeight w:val="352"/>
          <w:jc w:val="center"/>
        </w:trPr>
        <w:tc>
          <w:tcPr>
            <w:tcW w:w="5437" w:type="dxa"/>
            <w:gridSpan w:val="4"/>
            <w:tcBorders>
              <w:top w:val="nil"/>
              <w:left w:val="nil"/>
              <w:bottom w:val="nil"/>
              <w:right w:val="nil"/>
            </w:tcBorders>
            <w:vAlign w:val="center"/>
          </w:tcPr>
          <w:p w14:paraId="3FE49299" w14:textId="77777777" w:rsidR="00CC3835" w:rsidRDefault="00256BAA">
            <w:pPr>
              <w:jc w:val="left"/>
              <w:textAlignment w:val="center"/>
              <w:rPr>
                <w:rFonts w:ascii="Times New Roman" w:hAnsi="Times New Roman"/>
                <w:color w:val="000000" w:themeColor="text1"/>
                <w:sz w:val="16"/>
                <w:szCs w:val="16"/>
                <w:lang w:bidi="ar"/>
              </w:rPr>
            </w:pPr>
            <w:r>
              <w:rPr>
                <w:rFonts w:ascii="Times New Roman" w:eastAsia="Times New Roman Regular" w:hAnsi="Times New Roman"/>
                <w:b/>
                <w:bCs/>
                <w:color w:val="000000" w:themeColor="text1"/>
                <w:sz w:val="16"/>
                <w:szCs w:val="16"/>
                <w:lang w:bidi="ar"/>
              </w:rPr>
              <w:t>90-day unfavorable functional outcome</w:t>
            </w:r>
            <w:r>
              <w:rPr>
                <w:rFonts w:ascii="Times New Roman" w:hAnsi="Times New Roman" w:hint="eastAsia"/>
                <w:b/>
                <w:bCs/>
                <w:color w:val="000000" w:themeColor="text1"/>
                <w:sz w:val="16"/>
                <w:szCs w:val="16"/>
                <w:lang w:bidi="ar"/>
              </w:rPr>
              <w:t>, OR (95% CI)</w:t>
            </w:r>
          </w:p>
        </w:tc>
        <w:tc>
          <w:tcPr>
            <w:tcW w:w="1733" w:type="dxa"/>
            <w:tcBorders>
              <w:top w:val="nil"/>
              <w:left w:val="nil"/>
              <w:bottom w:val="nil"/>
              <w:right w:val="nil"/>
            </w:tcBorders>
            <w:vAlign w:val="center"/>
          </w:tcPr>
          <w:p w14:paraId="3ED8BBD8"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5" w:type="dxa"/>
            <w:tcBorders>
              <w:top w:val="nil"/>
              <w:left w:val="nil"/>
              <w:bottom w:val="nil"/>
              <w:right w:val="nil"/>
            </w:tcBorders>
            <w:vAlign w:val="center"/>
          </w:tcPr>
          <w:p w14:paraId="1BAB1328"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832" w:type="dxa"/>
            <w:tcBorders>
              <w:top w:val="nil"/>
              <w:left w:val="nil"/>
              <w:bottom w:val="nil"/>
              <w:right w:val="nil"/>
            </w:tcBorders>
            <w:vAlign w:val="center"/>
          </w:tcPr>
          <w:p w14:paraId="0D0A962A"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39604A7A" w14:textId="77777777">
        <w:trPr>
          <w:trHeight w:val="352"/>
          <w:jc w:val="center"/>
        </w:trPr>
        <w:tc>
          <w:tcPr>
            <w:tcW w:w="1185" w:type="dxa"/>
            <w:tcBorders>
              <w:top w:val="nil"/>
              <w:left w:val="nil"/>
              <w:bottom w:val="nil"/>
              <w:right w:val="nil"/>
            </w:tcBorders>
            <w:vAlign w:val="center"/>
          </w:tcPr>
          <w:p w14:paraId="3A27719A"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n (%)</w:t>
            </w:r>
          </w:p>
        </w:tc>
        <w:tc>
          <w:tcPr>
            <w:tcW w:w="1585" w:type="dxa"/>
            <w:tcBorders>
              <w:top w:val="nil"/>
              <w:left w:val="nil"/>
              <w:bottom w:val="nil"/>
              <w:right w:val="nil"/>
            </w:tcBorders>
            <w:vAlign w:val="center"/>
          </w:tcPr>
          <w:p w14:paraId="163DE0F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560 (41.1)</w:t>
            </w:r>
          </w:p>
        </w:tc>
        <w:tc>
          <w:tcPr>
            <w:tcW w:w="934" w:type="dxa"/>
            <w:tcBorders>
              <w:top w:val="nil"/>
              <w:left w:val="nil"/>
              <w:bottom w:val="nil"/>
              <w:right w:val="nil"/>
            </w:tcBorders>
            <w:vAlign w:val="center"/>
          </w:tcPr>
          <w:p w14:paraId="5EEB0F4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 xml:space="preserve">101 </w:t>
            </w:r>
            <w:r>
              <w:rPr>
                <w:rFonts w:ascii="Times New Roman" w:eastAsia="Times New Roman Regular" w:hAnsi="Times New Roman"/>
                <w:color w:val="000000" w:themeColor="text1"/>
                <w:sz w:val="16"/>
                <w:szCs w:val="16"/>
                <w:lang w:bidi="ar"/>
              </w:rPr>
              <w:t>(29.6)</w:t>
            </w:r>
          </w:p>
        </w:tc>
        <w:tc>
          <w:tcPr>
            <w:tcW w:w="1733" w:type="dxa"/>
            <w:tcBorders>
              <w:top w:val="nil"/>
              <w:left w:val="nil"/>
              <w:bottom w:val="nil"/>
              <w:right w:val="nil"/>
            </w:tcBorders>
            <w:vAlign w:val="center"/>
          </w:tcPr>
          <w:p w14:paraId="7AB7256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117 (34.3)</w:t>
            </w:r>
          </w:p>
        </w:tc>
        <w:tc>
          <w:tcPr>
            <w:tcW w:w="1733" w:type="dxa"/>
            <w:tcBorders>
              <w:top w:val="nil"/>
              <w:left w:val="nil"/>
              <w:bottom w:val="nil"/>
              <w:right w:val="nil"/>
            </w:tcBorders>
            <w:vAlign w:val="center"/>
          </w:tcPr>
          <w:p w14:paraId="5F23139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132 (38.7)</w:t>
            </w:r>
          </w:p>
        </w:tc>
        <w:tc>
          <w:tcPr>
            <w:tcW w:w="1735" w:type="dxa"/>
            <w:tcBorders>
              <w:top w:val="nil"/>
              <w:left w:val="nil"/>
              <w:bottom w:val="nil"/>
              <w:right w:val="nil"/>
            </w:tcBorders>
            <w:vAlign w:val="center"/>
          </w:tcPr>
          <w:p w14:paraId="5FB2AD9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210 (61.6)</w:t>
            </w:r>
          </w:p>
        </w:tc>
        <w:tc>
          <w:tcPr>
            <w:tcW w:w="832" w:type="dxa"/>
            <w:tcBorders>
              <w:top w:val="nil"/>
              <w:left w:val="nil"/>
              <w:bottom w:val="nil"/>
              <w:right w:val="nil"/>
            </w:tcBorders>
            <w:vAlign w:val="center"/>
          </w:tcPr>
          <w:p w14:paraId="64B9723C"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07BED049" w14:textId="77777777">
        <w:trPr>
          <w:trHeight w:val="352"/>
          <w:jc w:val="center"/>
        </w:trPr>
        <w:tc>
          <w:tcPr>
            <w:tcW w:w="1185" w:type="dxa"/>
            <w:tcBorders>
              <w:top w:val="nil"/>
              <w:left w:val="nil"/>
              <w:bottom w:val="nil"/>
              <w:right w:val="nil"/>
            </w:tcBorders>
            <w:vAlign w:val="center"/>
          </w:tcPr>
          <w:p w14:paraId="3E160CA0"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1</w:t>
            </w:r>
          </w:p>
        </w:tc>
        <w:tc>
          <w:tcPr>
            <w:tcW w:w="1585" w:type="dxa"/>
            <w:tcBorders>
              <w:top w:val="nil"/>
              <w:left w:val="nil"/>
              <w:bottom w:val="nil"/>
              <w:right w:val="nil"/>
            </w:tcBorders>
            <w:vAlign w:val="center"/>
          </w:tcPr>
          <w:p w14:paraId="6EEF3BF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1.170 (1.134–1.208)</w:t>
            </w:r>
          </w:p>
        </w:tc>
        <w:tc>
          <w:tcPr>
            <w:tcW w:w="934" w:type="dxa"/>
            <w:tcBorders>
              <w:top w:val="nil"/>
              <w:left w:val="nil"/>
              <w:bottom w:val="nil"/>
              <w:right w:val="nil"/>
            </w:tcBorders>
            <w:vAlign w:val="center"/>
          </w:tcPr>
          <w:p w14:paraId="6ADBD3B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0E55BF5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1.241 (0.899–1.715)</w:t>
            </w:r>
          </w:p>
        </w:tc>
        <w:tc>
          <w:tcPr>
            <w:tcW w:w="1733" w:type="dxa"/>
            <w:tcBorders>
              <w:top w:val="nil"/>
              <w:left w:val="nil"/>
              <w:bottom w:val="nil"/>
              <w:right w:val="nil"/>
            </w:tcBorders>
            <w:vAlign w:val="center"/>
          </w:tcPr>
          <w:p w14:paraId="0A9943F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1.501 (1.092–2.067)</w:t>
            </w:r>
          </w:p>
        </w:tc>
        <w:tc>
          <w:tcPr>
            <w:tcW w:w="1735" w:type="dxa"/>
            <w:tcBorders>
              <w:top w:val="nil"/>
              <w:left w:val="nil"/>
              <w:bottom w:val="nil"/>
              <w:right w:val="nil"/>
            </w:tcBorders>
            <w:vAlign w:val="center"/>
          </w:tcPr>
          <w:p w14:paraId="34D0534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3.809 (2.777–5.255)</w:t>
            </w:r>
          </w:p>
        </w:tc>
        <w:tc>
          <w:tcPr>
            <w:tcW w:w="832" w:type="dxa"/>
            <w:tcBorders>
              <w:top w:val="nil"/>
              <w:left w:val="nil"/>
              <w:bottom w:val="nil"/>
              <w:right w:val="nil"/>
            </w:tcBorders>
            <w:vAlign w:val="center"/>
          </w:tcPr>
          <w:p w14:paraId="3716FB9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&lt;0.001</w:t>
            </w:r>
          </w:p>
        </w:tc>
      </w:tr>
      <w:tr w:rsidR="00CC3835" w14:paraId="3BE5F754" w14:textId="77777777">
        <w:trPr>
          <w:trHeight w:val="352"/>
          <w:jc w:val="center"/>
        </w:trPr>
        <w:tc>
          <w:tcPr>
            <w:tcW w:w="1185" w:type="dxa"/>
            <w:tcBorders>
              <w:top w:val="nil"/>
              <w:left w:val="nil"/>
              <w:bottom w:val="nil"/>
              <w:right w:val="nil"/>
            </w:tcBorders>
            <w:vAlign w:val="center"/>
          </w:tcPr>
          <w:p w14:paraId="3E4940BC"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2</w:t>
            </w:r>
          </w:p>
        </w:tc>
        <w:tc>
          <w:tcPr>
            <w:tcW w:w="1585" w:type="dxa"/>
            <w:tcBorders>
              <w:top w:val="nil"/>
              <w:left w:val="nil"/>
              <w:bottom w:val="nil"/>
              <w:right w:val="nil"/>
            </w:tcBorders>
            <w:vAlign w:val="center"/>
          </w:tcPr>
          <w:p w14:paraId="1B45395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1.185 (1.147–1.225)</w:t>
            </w:r>
          </w:p>
        </w:tc>
        <w:tc>
          <w:tcPr>
            <w:tcW w:w="934" w:type="dxa"/>
            <w:tcBorders>
              <w:top w:val="nil"/>
              <w:left w:val="nil"/>
              <w:bottom w:val="nil"/>
              <w:right w:val="nil"/>
            </w:tcBorders>
            <w:vAlign w:val="center"/>
          </w:tcPr>
          <w:p w14:paraId="49B4F48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3E14BA0D"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1.198 (0.860–1.672)</w:t>
            </w:r>
          </w:p>
        </w:tc>
        <w:tc>
          <w:tcPr>
            <w:tcW w:w="1733" w:type="dxa"/>
            <w:tcBorders>
              <w:top w:val="nil"/>
              <w:left w:val="nil"/>
              <w:bottom w:val="nil"/>
              <w:right w:val="nil"/>
            </w:tcBorders>
            <w:vAlign w:val="center"/>
          </w:tcPr>
          <w:p w14:paraId="3C325F9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1.510 (1.088–2.101)</w:t>
            </w:r>
          </w:p>
        </w:tc>
        <w:tc>
          <w:tcPr>
            <w:tcW w:w="1735" w:type="dxa"/>
            <w:tcBorders>
              <w:top w:val="nil"/>
              <w:left w:val="nil"/>
              <w:bottom w:val="nil"/>
              <w:right w:val="nil"/>
            </w:tcBorders>
            <w:vAlign w:val="center"/>
          </w:tcPr>
          <w:p w14:paraId="738ACA2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4.182 (3.009–5.852)</w:t>
            </w:r>
          </w:p>
        </w:tc>
        <w:tc>
          <w:tcPr>
            <w:tcW w:w="832" w:type="dxa"/>
            <w:tcBorders>
              <w:top w:val="nil"/>
              <w:left w:val="nil"/>
              <w:bottom w:val="nil"/>
              <w:right w:val="nil"/>
            </w:tcBorders>
            <w:vAlign w:val="center"/>
          </w:tcPr>
          <w:p w14:paraId="2E7AE66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&lt;0.001</w:t>
            </w:r>
          </w:p>
        </w:tc>
      </w:tr>
      <w:tr w:rsidR="00CC3835" w14:paraId="0F1A8D41" w14:textId="77777777">
        <w:trPr>
          <w:trHeight w:val="352"/>
          <w:jc w:val="center"/>
        </w:trPr>
        <w:tc>
          <w:tcPr>
            <w:tcW w:w="1185" w:type="dxa"/>
            <w:tcBorders>
              <w:top w:val="nil"/>
              <w:left w:val="nil"/>
              <w:bottom w:val="nil"/>
              <w:right w:val="nil"/>
            </w:tcBorders>
            <w:vAlign w:val="center"/>
          </w:tcPr>
          <w:p w14:paraId="004E194D"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3</w:t>
            </w:r>
          </w:p>
        </w:tc>
        <w:tc>
          <w:tcPr>
            <w:tcW w:w="1585" w:type="dxa"/>
            <w:tcBorders>
              <w:top w:val="nil"/>
              <w:left w:val="nil"/>
              <w:bottom w:val="nil"/>
              <w:right w:val="nil"/>
            </w:tcBorders>
            <w:vAlign w:val="center"/>
          </w:tcPr>
          <w:p w14:paraId="4F2D52E6"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1.080 (1.034–1.128)</w:t>
            </w:r>
          </w:p>
        </w:tc>
        <w:tc>
          <w:tcPr>
            <w:tcW w:w="934" w:type="dxa"/>
            <w:tcBorders>
              <w:top w:val="nil"/>
              <w:left w:val="nil"/>
              <w:bottom w:val="nil"/>
              <w:right w:val="nil"/>
            </w:tcBorders>
            <w:vAlign w:val="center"/>
          </w:tcPr>
          <w:p w14:paraId="18D216AD"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4EBCB9E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1.149 (0.755–1.752)</w:t>
            </w:r>
          </w:p>
        </w:tc>
        <w:tc>
          <w:tcPr>
            <w:tcW w:w="1733" w:type="dxa"/>
            <w:tcBorders>
              <w:top w:val="nil"/>
              <w:left w:val="nil"/>
              <w:bottom w:val="nil"/>
              <w:right w:val="nil"/>
            </w:tcBorders>
            <w:vAlign w:val="center"/>
          </w:tcPr>
          <w:p w14:paraId="3934783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1.250 (0.817–1.916)</w:t>
            </w:r>
          </w:p>
        </w:tc>
        <w:tc>
          <w:tcPr>
            <w:tcW w:w="1735" w:type="dxa"/>
            <w:tcBorders>
              <w:top w:val="nil"/>
              <w:left w:val="nil"/>
              <w:bottom w:val="nil"/>
              <w:right w:val="nil"/>
            </w:tcBorders>
            <w:vAlign w:val="center"/>
          </w:tcPr>
          <w:p w14:paraId="2CF55AC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1.807 (1.160–2.821)</w:t>
            </w:r>
          </w:p>
        </w:tc>
        <w:tc>
          <w:tcPr>
            <w:tcW w:w="832" w:type="dxa"/>
            <w:tcBorders>
              <w:top w:val="nil"/>
              <w:left w:val="nil"/>
              <w:bottom w:val="nil"/>
              <w:right w:val="nil"/>
            </w:tcBorders>
            <w:vAlign w:val="center"/>
          </w:tcPr>
          <w:p w14:paraId="5BA975D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 xml:space="preserve">0.009 </w:t>
            </w:r>
          </w:p>
        </w:tc>
      </w:tr>
      <w:tr w:rsidR="00CC3835" w14:paraId="024B25FD" w14:textId="77777777">
        <w:trPr>
          <w:trHeight w:val="352"/>
          <w:jc w:val="center"/>
        </w:trPr>
        <w:tc>
          <w:tcPr>
            <w:tcW w:w="1185" w:type="dxa"/>
            <w:tcBorders>
              <w:top w:val="nil"/>
              <w:left w:val="nil"/>
              <w:bottom w:val="nil"/>
              <w:right w:val="nil"/>
            </w:tcBorders>
            <w:vAlign w:val="center"/>
          </w:tcPr>
          <w:p w14:paraId="08A9A96B" w14:textId="77777777" w:rsidR="00CC3835" w:rsidRDefault="00256BAA">
            <w:pPr>
              <w:jc w:val="left"/>
              <w:textAlignment w:val="center"/>
              <w:rPr>
                <w:rFonts w:ascii="Times New Roman" w:hAnsi="Times New Roman"/>
                <w:color w:val="000000" w:themeColor="text1"/>
                <w:sz w:val="16"/>
                <w:szCs w:val="16"/>
                <w:lang w:bidi="ar"/>
              </w:rPr>
            </w:pPr>
            <w:r>
              <w:rPr>
                <w:rFonts w:ascii="Times New Roman" w:hAnsi="Times New Roman" w:hint="eastAsia"/>
                <w:color w:val="000000" w:themeColor="text1"/>
                <w:sz w:val="16"/>
                <w:szCs w:val="16"/>
                <w:lang w:bidi="ar"/>
              </w:rPr>
              <w:t>Model 4</w:t>
            </w:r>
          </w:p>
        </w:tc>
        <w:tc>
          <w:tcPr>
            <w:tcW w:w="1585" w:type="dxa"/>
            <w:tcBorders>
              <w:top w:val="nil"/>
              <w:left w:val="nil"/>
              <w:bottom w:val="nil"/>
              <w:right w:val="nil"/>
            </w:tcBorders>
            <w:vAlign w:val="center"/>
          </w:tcPr>
          <w:p w14:paraId="6FD52730" w14:textId="77777777" w:rsidR="00CC3835" w:rsidRDefault="00256BAA">
            <w:pPr>
              <w:jc w:val="center"/>
              <w:textAlignment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1.084 (1.036</w:t>
            </w:r>
            <w:r>
              <w:rPr>
                <w:rFonts w:ascii="Times New Roman" w:eastAsia="Times New Roman Regular" w:hAnsi="Times New Roman"/>
                <w:color w:val="000000" w:themeColor="text1"/>
                <w:sz w:val="16"/>
                <w:szCs w:val="16"/>
                <w:lang w:bidi="ar"/>
              </w:rPr>
              <w:t>–</w:t>
            </w:r>
            <w:r>
              <w:rPr>
                <w:rFonts w:ascii="Times New Roman" w:hAnsi="Times New Roman"/>
                <w:color w:val="000000" w:themeColor="text1"/>
                <w:sz w:val="16"/>
                <w:szCs w:val="16"/>
                <w:lang w:bidi="ar"/>
              </w:rPr>
              <w:t>1.133)</w:t>
            </w:r>
          </w:p>
        </w:tc>
        <w:tc>
          <w:tcPr>
            <w:tcW w:w="934" w:type="dxa"/>
            <w:tcBorders>
              <w:top w:val="nil"/>
              <w:left w:val="nil"/>
              <w:bottom w:val="nil"/>
              <w:right w:val="nil"/>
            </w:tcBorders>
            <w:vAlign w:val="center"/>
          </w:tcPr>
          <w:p w14:paraId="5F4D5AEA"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35A5B43A"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1.190 (0.776–1.826)</w:t>
            </w:r>
          </w:p>
        </w:tc>
        <w:tc>
          <w:tcPr>
            <w:tcW w:w="1733" w:type="dxa"/>
            <w:tcBorders>
              <w:top w:val="nil"/>
              <w:left w:val="nil"/>
              <w:bottom w:val="nil"/>
              <w:right w:val="nil"/>
            </w:tcBorders>
            <w:vAlign w:val="center"/>
          </w:tcPr>
          <w:p w14:paraId="30FFDA28"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1.303 (0.840–2.026)</w:t>
            </w:r>
          </w:p>
        </w:tc>
        <w:tc>
          <w:tcPr>
            <w:tcW w:w="1735" w:type="dxa"/>
            <w:tcBorders>
              <w:top w:val="nil"/>
              <w:left w:val="nil"/>
              <w:bottom w:val="nil"/>
              <w:right w:val="nil"/>
            </w:tcBorders>
            <w:vAlign w:val="center"/>
          </w:tcPr>
          <w:p w14:paraId="6260F623"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1.851 (1.173–2.927)</w:t>
            </w:r>
          </w:p>
        </w:tc>
        <w:tc>
          <w:tcPr>
            <w:tcW w:w="832" w:type="dxa"/>
            <w:tcBorders>
              <w:top w:val="nil"/>
              <w:left w:val="nil"/>
              <w:bottom w:val="nil"/>
              <w:right w:val="nil"/>
            </w:tcBorders>
            <w:vAlign w:val="center"/>
          </w:tcPr>
          <w:p w14:paraId="3CCF931A" w14:textId="77777777" w:rsidR="00CC3835" w:rsidRDefault="00256BAA">
            <w:pPr>
              <w:jc w:val="center"/>
              <w:textAlignment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0.008</w:t>
            </w:r>
          </w:p>
        </w:tc>
      </w:tr>
      <w:tr w:rsidR="00CC3835" w14:paraId="5881F365" w14:textId="77777777">
        <w:trPr>
          <w:trHeight w:val="352"/>
          <w:jc w:val="center"/>
        </w:trPr>
        <w:tc>
          <w:tcPr>
            <w:tcW w:w="5437" w:type="dxa"/>
            <w:gridSpan w:val="4"/>
            <w:tcBorders>
              <w:top w:val="nil"/>
              <w:left w:val="nil"/>
              <w:bottom w:val="nil"/>
              <w:right w:val="nil"/>
            </w:tcBorders>
            <w:vAlign w:val="center"/>
          </w:tcPr>
          <w:p w14:paraId="17FD10B6"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b/>
                <w:bCs/>
                <w:color w:val="000000" w:themeColor="text1"/>
                <w:sz w:val="16"/>
                <w:szCs w:val="16"/>
                <w:lang w:bidi="ar"/>
              </w:rPr>
              <w:t>1-year unfavorable functional outcome</w:t>
            </w:r>
            <w:r>
              <w:rPr>
                <w:rFonts w:ascii="Times New Roman" w:hAnsi="Times New Roman" w:hint="eastAsia"/>
                <w:b/>
                <w:bCs/>
                <w:color w:val="000000" w:themeColor="text1"/>
                <w:sz w:val="16"/>
                <w:szCs w:val="16"/>
                <w:lang w:bidi="ar"/>
              </w:rPr>
              <w:t xml:space="preserve">, OR </w:t>
            </w:r>
            <w:r>
              <w:rPr>
                <w:rFonts w:ascii="Times New Roman" w:hAnsi="Times New Roman" w:hint="eastAsia"/>
                <w:b/>
                <w:bCs/>
                <w:color w:val="000000" w:themeColor="text1"/>
                <w:sz w:val="16"/>
                <w:szCs w:val="16"/>
                <w:lang w:bidi="ar"/>
              </w:rPr>
              <w:t>(95% CI)</w:t>
            </w:r>
          </w:p>
        </w:tc>
        <w:tc>
          <w:tcPr>
            <w:tcW w:w="1733" w:type="dxa"/>
            <w:tcBorders>
              <w:top w:val="nil"/>
              <w:left w:val="nil"/>
              <w:bottom w:val="nil"/>
              <w:right w:val="nil"/>
            </w:tcBorders>
            <w:vAlign w:val="center"/>
          </w:tcPr>
          <w:p w14:paraId="6276D9A1"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5" w:type="dxa"/>
            <w:tcBorders>
              <w:top w:val="nil"/>
              <w:left w:val="nil"/>
              <w:bottom w:val="nil"/>
              <w:right w:val="nil"/>
            </w:tcBorders>
            <w:vAlign w:val="center"/>
          </w:tcPr>
          <w:p w14:paraId="0487D939"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832" w:type="dxa"/>
            <w:tcBorders>
              <w:top w:val="nil"/>
              <w:left w:val="nil"/>
              <w:bottom w:val="nil"/>
              <w:right w:val="nil"/>
            </w:tcBorders>
            <w:vAlign w:val="center"/>
          </w:tcPr>
          <w:p w14:paraId="6AA50A1D"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7E80D4F8" w14:textId="77777777">
        <w:trPr>
          <w:trHeight w:val="352"/>
          <w:jc w:val="center"/>
        </w:trPr>
        <w:tc>
          <w:tcPr>
            <w:tcW w:w="1185" w:type="dxa"/>
            <w:tcBorders>
              <w:top w:val="nil"/>
              <w:left w:val="nil"/>
              <w:bottom w:val="nil"/>
              <w:right w:val="nil"/>
            </w:tcBorders>
            <w:vAlign w:val="center"/>
          </w:tcPr>
          <w:p w14:paraId="0C634302"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n (%)</w:t>
            </w:r>
          </w:p>
        </w:tc>
        <w:tc>
          <w:tcPr>
            <w:tcW w:w="1585" w:type="dxa"/>
            <w:tcBorders>
              <w:top w:val="nil"/>
              <w:left w:val="nil"/>
              <w:bottom w:val="nil"/>
              <w:right w:val="nil"/>
            </w:tcBorders>
            <w:vAlign w:val="center"/>
          </w:tcPr>
          <w:p w14:paraId="570E6AFB"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466 (34.2)</w:t>
            </w:r>
          </w:p>
        </w:tc>
        <w:tc>
          <w:tcPr>
            <w:tcW w:w="934" w:type="dxa"/>
            <w:tcBorders>
              <w:top w:val="nil"/>
              <w:left w:val="nil"/>
              <w:bottom w:val="nil"/>
              <w:right w:val="nil"/>
            </w:tcBorders>
            <w:vAlign w:val="center"/>
          </w:tcPr>
          <w:p w14:paraId="5F2B156B"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83 (24.3)</w:t>
            </w:r>
          </w:p>
        </w:tc>
        <w:tc>
          <w:tcPr>
            <w:tcW w:w="1733" w:type="dxa"/>
            <w:tcBorders>
              <w:top w:val="nil"/>
              <w:left w:val="nil"/>
              <w:bottom w:val="nil"/>
              <w:right w:val="nil"/>
            </w:tcBorders>
            <w:vAlign w:val="center"/>
          </w:tcPr>
          <w:p w14:paraId="12E19BD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95 (27.9)</w:t>
            </w:r>
          </w:p>
        </w:tc>
        <w:tc>
          <w:tcPr>
            <w:tcW w:w="1733" w:type="dxa"/>
            <w:tcBorders>
              <w:top w:val="nil"/>
              <w:left w:val="nil"/>
              <w:bottom w:val="nil"/>
              <w:right w:val="nil"/>
            </w:tcBorders>
            <w:vAlign w:val="center"/>
          </w:tcPr>
          <w:p w14:paraId="7424452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111 (32.6)</w:t>
            </w:r>
          </w:p>
        </w:tc>
        <w:tc>
          <w:tcPr>
            <w:tcW w:w="1735" w:type="dxa"/>
            <w:tcBorders>
              <w:top w:val="nil"/>
              <w:left w:val="nil"/>
              <w:bottom w:val="nil"/>
              <w:right w:val="nil"/>
            </w:tcBorders>
            <w:vAlign w:val="center"/>
          </w:tcPr>
          <w:p w14:paraId="2E7D859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177 (51.9)</w:t>
            </w:r>
          </w:p>
        </w:tc>
        <w:tc>
          <w:tcPr>
            <w:tcW w:w="832" w:type="dxa"/>
            <w:tcBorders>
              <w:top w:val="nil"/>
              <w:left w:val="nil"/>
              <w:bottom w:val="nil"/>
              <w:right w:val="nil"/>
            </w:tcBorders>
            <w:vAlign w:val="center"/>
          </w:tcPr>
          <w:p w14:paraId="2079DF86"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1746F075" w14:textId="77777777">
        <w:trPr>
          <w:trHeight w:val="352"/>
          <w:jc w:val="center"/>
        </w:trPr>
        <w:tc>
          <w:tcPr>
            <w:tcW w:w="1185" w:type="dxa"/>
            <w:tcBorders>
              <w:top w:val="nil"/>
              <w:left w:val="nil"/>
              <w:bottom w:val="nil"/>
              <w:right w:val="nil"/>
            </w:tcBorders>
            <w:vAlign w:val="center"/>
          </w:tcPr>
          <w:p w14:paraId="2F771E43"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1</w:t>
            </w:r>
          </w:p>
        </w:tc>
        <w:tc>
          <w:tcPr>
            <w:tcW w:w="1585" w:type="dxa"/>
            <w:tcBorders>
              <w:top w:val="nil"/>
              <w:left w:val="nil"/>
              <w:bottom w:val="nil"/>
              <w:right w:val="nil"/>
            </w:tcBorders>
            <w:vAlign w:val="center"/>
          </w:tcPr>
          <w:p w14:paraId="07D0C709"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1.159 (1.124–1.195)</w:t>
            </w:r>
          </w:p>
        </w:tc>
        <w:tc>
          <w:tcPr>
            <w:tcW w:w="934" w:type="dxa"/>
            <w:tcBorders>
              <w:top w:val="nil"/>
              <w:left w:val="nil"/>
              <w:bottom w:val="nil"/>
              <w:right w:val="nil"/>
            </w:tcBorders>
            <w:vAlign w:val="center"/>
          </w:tcPr>
          <w:p w14:paraId="6F705DD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44CBE19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1.200 (0.853–1.692)</w:t>
            </w:r>
          </w:p>
        </w:tc>
        <w:tc>
          <w:tcPr>
            <w:tcW w:w="1733" w:type="dxa"/>
            <w:tcBorders>
              <w:top w:val="nil"/>
              <w:left w:val="nil"/>
              <w:bottom w:val="nil"/>
              <w:right w:val="nil"/>
            </w:tcBorders>
            <w:vAlign w:val="center"/>
          </w:tcPr>
          <w:p w14:paraId="5C99F60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1.500 (1.074–2.102)</w:t>
            </w:r>
          </w:p>
        </w:tc>
        <w:tc>
          <w:tcPr>
            <w:tcW w:w="1735" w:type="dxa"/>
            <w:tcBorders>
              <w:top w:val="nil"/>
              <w:left w:val="nil"/>
              <w:bottom w:val="nil"/>
              <w:right w:val="nil"/>
            </w:tcBorders>
            <w:vAlign w:val="center"/>
          </w:tcPr>
          <w:p w14:paraId="19816AA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3.355 (2.428–4.664)</w:t>
            </w:r>
          </w:p>
        </w:tc>
        <w:tc>
          <w:tcPr>
            <w:tcW w:w="832" w:type="dxa"/>
            <w:tcBorders>
              <w:top w:val="nil"/>
              <w:left w:val="nil"/>
              <w:bottom w:val="nil"/>
              <w:right w:val="nil"/>
            </w:tcBorders>
            <w:vAlign w:val="center"/>
          </w:tcPr>
          <w:p w14:paraId="14E4596A"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&lt;0.001</w:t>
            </w:r>
          </w:p>
        </w:tc>
      </w:tr>
      <w:tr w:rsidR="00CC3835" w14:paraId="1002B427" w14:textId="77777777">
        <w:trPr>
          <w:trHeight w:val="352"/>
          <w:jc w:val="center"/>
        </w:trPr>
        <w:tc>
          <w:tcPr>
            <w:tcW w:w="1185" w:type="dxa"/>
            <w:tcBorders>
              <w:top w:val="nil"/>
              <w:left w:val="nil"/>
              <w:bottom w:val="nil"/>
              <w:right w:val="nil"/>
            </w:tcBorders>
            <w:vAlign w:val="center"/>
          </w:tcPr>
          <w:p w14:paraId="17836DC8"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2</w:t>
            </w:r>
          </w:p>
        </w:tc>
        <w:tc>
          <w:tcPr>
            <w:tcW w:w="1585" w:type="dxa"/>
            <w:tcBorders>
              <w:top w:val="nil"/>
              <w:left w:val="nil"/>
              <w:bottom w:val="nil"/>
              <w:right w:val="nil"/>
            </w:tcBorders>
            <w:vAlign w:val="center"/>
          </w:tcPr>
          <w:p w14:paraId="28174AC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1.181 (1.143–1.221)</w:t>
            </w:r>
          </w:p>
        </w:tc>
        <w:tc>
          <w:tcPr>
            <w:tcW w:w="934" w:type="dxa"/>
            <w:tcBorders>
              <w:top w:val="nil"/>
              <w:left w:val="nil"/>
              <w:bottom w:val="nil"/>
              <w:right w:val="nil"/>
            </w:tcBorders>
            <w:vAlign w:val="center"/>
          </w:tcPr>
          <w:p w14:paraId="209B915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0B22F45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1.163 (0.816–1.661)</w:t>
            </w:r>
          </w:p>
        </w:tc>
        <w:tc>
          <w:tcPr>
            <w:tcW w:w="1733" w:type="dxa"/>
            <w:tcBorders>
              <w:top w:val="nil"/>
              <w:left w:val="nil"/>
              <w:bottom w:val="nil"/>
              <w:right w:val="nil"/>
            </w:tcBorders>
            <w:vAlign w:val="center"/>
          </w:tcPr>
          <w:p w14:paraId="5705A47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 xml:space="preserve">1.536 </w:t>
            </w:r>
            <w:r>
              <w:rPr>
                <w:rFonts w:ascii="Times New Roman" w:eastAsia="Times New Roman Regular" w:hAnsi="Times New Roman"/>
                <w:color w:val="000000" w:themeColor="text1"/>
                <w:sz w:val="16"/>
                <w:szCs w:val="16"/>
                <w:lang w:bidi="ar"/>
              </w:rPr>
              <w:t>(1.085–2.181)</w:t>
            </w:r>
          </w:p>
        </w:tc>
        <w:tc>
          <w:tcPr>
            <w:tcW w:w="1735" w:type="dxa"/>
            <w:tcBorders>
              <w:top w:val="nil"/>
              <w:left w:val="nil"/>
              <w:bottom w:val="nil"/>
              <w:right w:val="nil"/>
            </w:tcBorders>
            <w:vAlign w:val="center"/>
          </w:tcPr>
          <w:p w14:paraId="0E83862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3.790 (2.696–5.368)</w:t>
            </w:r>
          </w:p>
        </w:tc>
        <w:tc>
          <w:tcPr>
            <w:tcW w:w="832" w:type="dxa"/>
            <w:tcBorders>
              <w:top w:val="nil"/>
              <w:left w:val="nil"/>
              <w:bottom w:val="nil"/>
              <w:right w:val="nil"/>
            </w:tcBorders>
            <w:vAlign w:val="center"/>
          </w:tcPr>
          <w:p w14:paraId="66BD8776"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&lt;0.001</w:t>
            </w:r>
          </w:p>
        </w:tc>
      </w:tr>
      <w:tr w:rsidR="00CC3835" w14:paraId="26580FCB" w14:textId="77777777">
        <w:trPr>
          <w:trHeight w:val="352"/>
          <w:jc w:val="center"/>
        </w:trPr>
        <w:tc>
          <w:tcPr>
            <w:tcW w:w="1185" w:type="dxa"/>
            <w:tcBorders>
              <w:top w:val="nil"/>
              <w:left w:val="nil"/>
              <w:bottom w:val="nil"/>
              <w:right w:val="nil"/>
            </w:tcBorders>
            <w:vAlign w:val="center"/>
          </w:tcPr>
          <w:p w14:paraId="52C6006D"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3</w:t>
            </w:r>
          </w:p>
        </w:tc>
        <w:tc>
          <w:tcPr>
            <w:tcW w:w="1585" w:type="dxa"/>
            <w:tcBorders>
              <w:top w:val="nil"/>
              <w:left w:val="nil"/>
              <w:bottom w:val="nil"/>
              <w:right w:val="nil"/>
            </w:tcBorders>
            <w:vAlign w:val="center"/>
          </w:tcPr>
          <w:p w14:paraId="110B41A6"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1.074 (1.029–1.122)</w:t>
            </w:r>
          </w:p>
        </w:tc>
        <w:tc>
          <w:tcPr>
            <w:tcW w:w="934" w:type="dxa"/>
            <w:tcBorders>
              <w:top w:val="nil"/>
              <w:left w:val="nil"/>
              <w:bottom w:val="nil"/>
              <w:right w:val="nil"/>
            </w:tcBorders>
            <w:vAlign w:val="center"/>
          </w:tcPr>
          <w:p w14:paraId="77E22DE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3B08FF3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1.142 (0.732–1.786)</w:t>
            </w:r>
          </w:p>
        </w:tc>
        <w:tc>
          <w:tcPr>
            <w:tcW w:w="1733" w:type="dxa"/>
            <w:tcBorders>
              <w:top w:val="nil"/>
              <w:left w:val="nil"/>
              <w:bottom w:val="nil"/>
              <w:right w:val="nil"/>
            </w:tcBorders>
            <w:vAlign w:val="center"/>
          </w:tcPr>
          <w:p w14:paraId="6334CA0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1.380 (0.881–2.167)</w:t>
            </w:r>
          </w:p>
        </w:tc>
        <w:tc>
          <w:tcPr>
            <w:tcW w:w="1735" w:type="dxa"/>
            <w:tcBorders>
              <w:top w:val="nil"/>
              <w:left w:val="nil"/>
              <w:bottom w:val="nil"/>
              <w:right w:val="nil"/>
            </w:tcBorders>
            <w:vAlign w:val="center"/>
          </w:tcPr>
          <w:p w14:paraId="7B3887C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1.591 (1.003–2.529)</w:t>
            </w:r>
          </w:p>
        </w:tc>
        <w:tc>
          <w:tcPr>
            <w:tcW w:w="832" w:type="dxa"/>
            <w:tcBorders>
              <w:top w:val="nil"/>
              <w:left w:val="nil"/>
              <w:bottom w:val="nil"/>
              <w:right w:val="nil"/>
            </w:tcBorders>
            <w:vAlign w:val="center"/>
          </w:tcPr>
          <w:p w14:paraId="42BEA1F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 xml:space="preserve">0.033 </w:t>
            </w:r>
          </w:p>
        </w:tc>
      </w:tr>
      <w:tr w:rsidR="00CC3835" w14:paraId="48A11003" w14:textId="77777777">
        <w:trPr>
          <w:trHeight w:val="352"/>
          <w:jc w:val="center"/>
        </w:trPr>
        <w:tc>
          <w:tcPr>
            <w:tcW w:w="1185" w:type="dxa"/>
            <w:tcBorders>
              <w:top w:val="nil"/>
              <w:left w:val="nil"/>
              <w:bottom w:val="nil"/>
              <w:right w:val="nil"/>
            </w:tcBorders>
            <w:vAlign w:val="center"/>
          </w:tcPr>
          <w:p w14:paraId="1B62A5C8"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hAnsi="Times New Roman" w:hint="eastAsia"/>
                <w:color w:val="000000" w:themeColor="text1"/>
                <w:sz w:val="16"/>
                <w:szCs w:val="16"/>
                <w:lang w:bidi="ar"/>
              </w:rPr>
              <w:t>Model 4</w:t>
            </w:r>
          </w:p>
        </w:tc>
        <w:tc>
          <w:tcPr>
            <w:tcW w:w="1585" w:type="dxa"/>
            <w:tcBorders>
              <w:top w:val="nil"/>
              <w:left w:val="nil"/>
              <w:bottom w:val="nil"/>
              <w:right w:val="nil"/>
            </w:tcBorders>
            <w:vAlign w:val="center"/>
          </w:tcPr>
          <w:p w14:paraId="327EA4A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1.082 (1.035</w:t>
            </w:r>
            <w:r>
              <w:rPr>
                <w:rFonts w:ascii="Times New Roman Regular" w:eastAsia="Times New Roman Regular" w:hAnsi="Times New Roman Regular" w:cs="Times New Roman Regular"/>
                <w:color w:val="000000" w:themeColor="text1"/>
                <w:sz w:val="16"/>
                <w:szCs w:val="16"/>
                <w:lang w:bidi="ar"/>
              </w:rPr>
              <w:t>–</w:t>
            </w:r>
            <w:r>
              <w:rPr>
                <w:rFonts w:ascii="Times New Roman" w:eastAsia="Times New Roman Regular" w:hAnsi="Times New Roman"/>
                <w:color w:val="000000" w:themeColor="text1"/>
                <w:sz w:val="16"/>
                <w:szCs w:val="16"/>
                <w:lang w:bidi="ar"/>
              </w:rPr>
              <w:t>1.132)</w:t>
            </w:r>
          </w:p>
        </w:tc>
        <w:tc>
          <w:tcPr>
            <w:tcW w:w="934" w:type="dxa"/>
            <w:tcBorders>
              <w:top w:val="nil"/>
              <w:left w:val="nil"/>
              <w:bottom w:val="nil"/>
              <w:right w:val="nil"/>
            </w:tcBorders>
            <w:vAlign w:val="center"/>
          </w:tcPr>
          <w:p w14:paraId="3F7E661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Reference</w:t>
            </w:r>
          </w:p>
        </w:tc>
        <w:tc>
          <w:tcPr>
            <w:tcW w:w="1733" w:type="dxa"/>
            <w:tcBorders>
              <w:top w:val="nil"/>
              <w:left w:val="nil"/>
              <w:bottom w:val="nil"/>
              <w:right w:val="nil"/>
            </w:tcBorders>
            <w:vAlign w:val="center"/>
          </w:tcPr>
          <w:p w14:paraId="6F1F63A2"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1.224 (0.779–1.928)</w:t>
            </w:r>
          </w:p>
        </w:tc>
        <w:tc>
          <w:tcPr>
            <w:tcW w:w="1733" w:type="dxa"/>
            <w:tcBorders>
              <w:top w:val="nil"/>
              <w:left w:val="nil"/>
              <w:bottom w:val="nil"/>
              <w:right w:val="nil"/>
            </w:tcBorders>
            <w:vAlign w:val="center"/>
          </w:tcPr>
          <w:p w14:paraId="223E318B"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1.531 (0.964–2.441)</w:t>
            </w:r>
          </w:p>
        </w:tc>
        <w:tc>
          <w:tcPr>
            <w:tcW w:w="1735" w:type="dxa"/>
            <w:tcBorders>
              <w:top w:val="nil"/>
              <w:left w:val="nil"/>
              <w:bottom w:val="nil"/>
              <w:right w:val="nil"/>
            </w:tcBorders>
            <w:vAlign w:val="center"/>
          </w:tcPr>
          <w:p w14:paraId="46FF665B"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1.709 (1.065–2.750)</w:t>
            </w:r>
          </w:p>
        </w:tc>
        <w:tc>
          <w:tcPr>
            <w:tcW w:w="832" w:type="dxa"/>
            <w:tcBorders>
              <w:top w:val="nil"/>
              <w:left w:val="nil"/>
              <w:bottom w:val="nil"/>
              <w:right w:val="nil"/>
            </w:tcBorders>
            <w:vAlign w:val="center"/>
          </w:tcPr>
          <w:p w14:paraId="4F068820" w14:textId="77777777" w:rsidR="00CC3835" w:rsidRDefault="00256BAA">
            <w:pPr>
              <w:jc w:val="center"/>
              <w:textAlignment w:val="center"/>
              <w:rPr>
                <w:rFonts w:ascii="Times New Roman" w:hAnsi="Times New Roman"/>
                <w:color w:val="000000" w:themeColor="text1"/>
                <w:sz w:val="16"/>
                <w:szCs w:val="16"/>
                <w:lang w:bidi="ar"/>
              </w:rPr>
            </w:pPr>
            <w:r>
              <w:rPr>
                <w:rFonts w:ascii="Times New Roman" w:hAnsi="Times New Roman"/>
                <w:color w:val="000000" w:themeColor="text1"/>
                <w:sz w:val="16"/>
                <w:szCs w:val="16"/>
                <w:lang w:bidi="ar"/>
              </w:rPr>
              <w:t>0.017</w:t>
            </w:r>
          </w:p>
        </w:tc>
      </w:tr>
      <w:tr w:rsidR="00CC3835" w14:paraId="4A128E1E" w14:textId="77777777">
        <w:trPr>
          <w:trHeight w:val="352"/>
          <w:jc w:val="center"/>
        </w:trPr>
        <w:tc>
          <w:tcPr>
            <w:tcW w:w="3704" w:type="dxa"/>
            <w:gridSpan w:val="3"/>
            <w:tcBorders>
              <w:top w:val="nil"/>
              <w:left w:val="nil"/>
              <w:bottom w:val="nil"/>
              <w:right w:val="nil"/>
            </w:tcBorders>
            <w:vAlign w:val="center"/>
          </w:tcPr>
          <w:p w14:paraId="65F01B81"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b/>
                <w:bCs/>
                <w:color w:val="000000" w:themeColor="text1"/>
                <w:sz w:val="16"/>
                <w:szCs w:val="16"/>
                <w:lang w:bidi="ar"/>
              </w:rPr>
              <w:t xml:space="preserve">90-day </w:t>
            </w:r>
            <w:r>
              <w:rPr>
                <w:rFonts w:ascii="Times New Roman" w:hAnsi="Times New Roman" w:hint="eastAsia"/>
                <w:b/>
                <w:bCs/>
                <w:color w:val="000000" w:themeColor="text1"/>
                <w:sz w:val="16"/>
                <w:szCs w:val="16"/>
                <w:lang w:bidi="ar"/>
              </w:rPr>
              <w:t xml:space="preserve">all-cause </w:t>
            </w:r>
            <w:r>
              <w:rPr>
                <w:rFonts w:ascii="Times New Roman" w:eastAsia="Times New Roman Regular" w:hAnsi="Times New Roman"/>
                <w:b/>
                <w:bCs/>
                <w:color w:val="000000" w:themeColor="text1"/>
                <w:sz w:val="16"/>
                <w:szCs w:val="16"/>
                <w:lang w:bidi="ar"/>
              </w:rPr>
              <w:t>mortality</w:t>
            </w:r>
            <w:r>
              <w:rPr>
                <w:rFonts w:ascii="Times New Roman" w:hAnsi="Times New Roman" w:hint="eastAsia"/>
                <w:b/>
                <w:bCs/>
                <w:color w:val="000000" w:themeColor="text1"/>
                <w:sz w:val="16"/>
                <w:szCs w:val="16"/>
                <w:lang w:bidi="ar"/>
              </w:rPr>
              <w:t>, HR (95% CI)</w:t>
            </w:r>
          </w:p>
        </w:tc>
        <w:tc>
          <w:tcPr>
            <w:tcW w:w="1733" w:type="dxa"/>
            <w:tcBorders>
              <w:top w:val="nil"/>
              <w:left w:val="nil"/>
              <w:bottom w:val="nil"/>
              <w:right w:val="nil"/>
            </w:tcBorders>
            <w:vAlign w:val="center"/>
          </w:tcPr>
          <w:p w14:paraId="475C0A97"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3" w:type="dxa"/>
            <w:tcBorders>
              <w:top w:val="nil"/>
              <w:left w:val="nil"/>
              <w:bottom w:val="nil"/>
              <w:right w:val="nil"/>
            </w:tcBorders>
            <w:vAlign w:val="center"/>
          </w:tcPr>
          <w:p w14:paraId="310F1DD2"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5" w:type="dxa"/>
            <w:tcBorders>
              <w:top w:val="nil"/>
              <w:left w:val="nil"/>
              <w:bottom w:val="nil"/>
              <w:right w:val="nil"/>
            </w:tcBorders>
            <w:vAlign w:val="center"/>
          </w:tcPr>
          <w:p w14:paraId="2BF7C866"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832" w:type="dxa"/>
            <w:tcBorders>
              <w:top w:val="nil"/>
              <w:left w:val="nil"/>
              <w:bottom w:val="nil"/>
              <w:right w:val="nil"/>
            </w:tcBorders>
            <w:vAlign w:val="center"/>
          </w:tcPr>
          <w:p w14:paraId="5BCFB2FD"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14C272B6" w14:textId="77777777">
        <w:trPr>
          <w:trHeight w:val="352"/>
          <w:jc w:val="center"/>
        </w:trPr>
        <w:tc>
          <w:tcPr>
            <w:tcW w:w="1185" w:type="dxa"/>
            <w:tcBorders>
              <w:top w:val="nil"/>
              <w:left w:val="nil"/>
              <w:bottom w:val="nil"/>
              <w:right w:val="nil"/>
            </w:tcBorders>
            <w:vAlign w:val="center"/>
          </w:tcPr>
          <w:p w14:paraId="44E2F88E"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n (%)</w:t>
            </w:r>
          </w:p>
        </w:tc>
        <w:tc>
          <w:tcPr>
            <w:tcW w:w="1585" w:type="dxa"/>
            <w:tcBorders>
              <w:top w:val="nil"/>
              <w:left w:val="nil"/>
              <w:bottom w:val="nil"/>
              <w:right w:val="nil"/>
            </w:tcBorders>
            <w:vAlign w:val="center"/>
          </w:tcPr>
          <w:p w14:paraId="5266296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281 (20.6)</w:t>
            </w:r>
          </w:p>
        </w:tc>
        <w:tc>
          <w:tcPr>
            <w:tcW w:w="934" w:type="dxa"/>
            <w:tcBorders>
              <w:top w:val="nil"/>
              <w:left w:val="nil"/>
              <w:bottom w:val="nil"/>
              <w:right w:val="nil"/>
            </w:tcBorders>
            <w:vAlign w:val="center"/>
          </w:tcPr>
          <w:p w14:paraId="344EB7F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43 (12.6)</w:t>
            </w:r>
          </w:p>
        </w:tc>
        <w:tc>
          <w:tcPr>
            <w:tcW w:w="1733" w:type="dxa"/>
            <w:tcBorders>
              <w:top w:val="nil"/>
              <w:left w:val="nil"/>
              <w:bottom w:val="nil"/>
              <w:right w:val="nil"/>
            </w:tcBorders>
            <w:vAlign w:val="center"/>
          </w:tcPr>
          <w:p w14:paraId="4AF397DB"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51 (15.0)</w:t>
            </w:r>
          </w:p>
        </w:tc>
        <w:tc>
          <w:tcPr>
            <w:tcW w:w="1733" w:type="dxa"/>
            <w:tcBorders>
              <w:top w:val="nil"/>
              <w:left w:val="nil"/>
              <w:bottom w:val="nil"/>
              <w:right w:val="nil"/>
            </w:tcBorders>
            <w:vAlign w:val="center"/>
          </w:tcPr>
          <w:p w14:paraId="7E15775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60 (17.6)</w:t>
            </w:r>
          </w:p>
        </w:tc>
        <w:tc>
          <w:tcPr>
            <w:tcW w:w="1735" w:type="dxa"/>
            <w:tcBorders>
              <w:top w:val="nil"/>
              <w:left w:val="nil"/>
              <w:bottom w:val="nil"/>
              <w:right w:val="nil"/>
            </w:tcBorders>
            <w:vAlign w:val="center"/>
          </w:tcPr>
          <w:p w14:paraId="189002B9"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127 (37.2)</w:t>
            </w:r>
          </w:p>
        </w:tc>
        <w:tc>
          <w:tcPr>
            <w:tcW w:w="832" w:type="dxa"/>
            <w:tcBorders>
              <w:top w:val="nil"/>
              <w:left w:val="nil"/>
              <w:bottom w:val="nil"/>
              <w:right w:val="nil"/>
            </w:tcBorders>
            <w:vAlign w:val="center"/>
          </w:tcPr>
          <w:p w14:paraId="67C53D02"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4029BC48" w14:textId="77777777">
        <w:trPr>
          <w:trHeight w:val="352"/>
          <w:jc w:val="center"/>
        </w:trPr>
        <w:tc>
          <w:tcPr>
            <w:tcW w:w="1185" w:type="dxa"/>
            <w:tcBorders>
              <w:top w:val="nil"/>
              <w:left w:val="nil"/>
              <w:bottom w:val="nil"/>
              <w:right w:val="nil"/>
            </w:tcBorders>
            <w:vAlign w:val="center"/>
          </w:tcPr>
          <w:p w14:paraId="02B762B3"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1</w:t>
            </w:r>
          </w:p>
        </w:tc>
        <w:tc>
          <w:tcPr>
            <w:tcW w:w="1585" w:type="dxa"/>
            <w:tcBorders>
              <w:top w:val="nil"/>
              <w:left w:val="nil"/>
              <w:bottom w:val="nil"/>
              <w:right w:val="nil"/>
            </w:tcBorders>
            <w:vAlign w:val="center"/>
          </w:tcPr>
          <w:p w14:paraId="5052117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1.155 (1.128–1.182)</w:t>
            </w:r>
          </w:p>
        </w:tc>
        <w:tc>
          <w:tcPr>
            <w:tcW w:w="934" w:type="dxa"/>
            <w:tcBorders>
              <w:top w:val="nil"/>
              <w:left w:val="nil"/>
              <w:bottom w:val="nil"/>
              <w:right w:val="nil"/>
            </w:tcBorders>
            <w:vAlign w:val="center"/>
          </w:tcPr>
          <w:p w14:paraId="7774008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3845422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1.177 (0.783–1.769)</w:t>
            </w:r>
          </w:p>
        </w:tc>
        <w:tc>
          <w:tcPr>
            <w:tcW w:w="1733" w:type="dxa"/>
            <w:tcBorders>
              <w:top w:val="nil"/>
              <w:left w:val="nil"/>
              <w:bottom w:val="nil"/>
              <w:right w:val="nil"/>
            </w:tcBorders>
            <w:vAlign w:val="center"/>
          </w:tcPr>
          <w:p w14:paraId="540725B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1.440 (0.973–2.130)</w:t>
            </w:r>
          </w:p>
        </w:tc>
        <w:tc>
          <w:tcPr>
            <w:tcW w:w="1735" w:type="dxa"/>
            <w:tcBorders>
              <w:top w:val="nil"/>
              <w:left w:val="nil"/>
              <w:bottom w:val="nil"/>
              <w:right w:val="nil"/>
            </w:tcBorders>
            <w:vAlign w:val="center"/>
          </w:tcPr>
          <w:p w14:paraId="313F822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3.506 (2.480–4.957)</w:t>
            </w:r>
          </w:p>
        </w:tc>
        <w:tc>
          <w:tcPr>
            <w:tcW w:w="832" w:type="dxa"/>
            <w:tcBorders>
              <w:top w:val="nil"/>
              <w:left w:val="nil"/>
              <w:bottom w:val="nil"/>
              <w:right w:val="nil"/>
            </w:tcBorders>
            <w:vAlign w:val="center"/>
          </w:tcPr>
          <w:p w14:paraId="6C70D86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35988E9E" w14:textId="77777777">
        <w:trPr>
          <w:trHeight w:val="352"/>
          <w:jc w:val="center"/>
        </w:trPr>
        <w:tc>
          <w:tcPr>
            <w:tcW w:w="1185" w:type="dxa"/>
            <w:tcBorders>
              <w:top w:val="nil"/>
              <w:left w:val="nil"/>
              <w:bottom w:val="nil"/>
              <w:right w:val="nil"/>
            </w:tcBorders>
            <w:vAlign w:val="center"/>
          </w:tcPr>
          <w:p w14:paraId="1C28F518"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2</w:t>
            </w:r>
          </w:p>
        </w:tc>
        <w:tc>
          <w:tcPr>
            <w:tcW w:w="1585" w:type="dxa"/>
            <w:tcBorders>
              <w:top w:val="nil"/>
              <w:left w:val="nil"/>
              <w:bottom w:val="nil"/>
              <w:right w:val="nil"/>
            </w:tcBorders>
            <w:vAlign w:val="center"/>
          </w:tcPr>
          <w:p w14:paraId="6A4F528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1.160 (1.133–1.188)</w:t>
            </w:r>
          </w:p>
        </w:tc>
        <w:tc>
          <w:tcPr>
            <w:tcW w:w="934" w:type="dxa"/>
            <w:tcBorders>
              <w:top w:val="nil"/>
              <w:left w:val="nil"/>
              <w:bottom w:val="nil"/>
              <w:right w:val="nil"/>
            </w:tcBorders>
            <w:vAlign w:val="center"/>
          </w:tcPr>
          <w:p w14:paraId="001D5FA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01EB715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 xml:space="preserve">1.159 </w:t>
            </w:r>
            <w:r>
              <w:rPr>
                <w:rFonts w:ascii="Times New Roman Regular" w:eastAsia="Times New Roman Regular" w:hAnsi="Times New Roman Regular" w:cs="Times New Roman Regular"/>
                <w:color w:val="000000" w:themeColor="text1"/>
                <w:sz w:val="16"/>
                <w:szCs w:val="16"/>
                <w:lang w:bidi="ar"/>
              </w:rPr>
              <w:t>(0.770–1.742)</w:t>
            </w:r>
          </w:p>
        </w:tc>
        <w:tc>
          <w:tcPr>
            <w:tcW w:w="1733" w:type="dxa"/>
            <w:tcBorders>
              <w:top w:val="nil"/>
              <w:left w:val="nil"/>
              <w:bottom w:val="nil"/>
              <w:right w:val="nil"/>
            </w:tcBorders>
            <w:vAlign w:val="center"/>
          </w:tcPr>
          <w:p w14:paraId="40690BFA"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1.439 (0.973–2.130)</w:t>
            </w:r>
          </w:p>
        </w:tc>
        <w:tc>
          <w:tcPr>
            <w:tcW w:w="1735" w:type="dxa"/>
            <w:tcBorders>
              <w:top w:val="nil"/>
              <w:left w:val="nil"/>
              <w:bottom w:val="nil"/>
              <w:right w:val="nil"/>
            </w:tcBorders>
            <w:vAlign w:val="center"/>
          </w:tcPr>
          <w:p w14:paraId="18FD3C1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3.538 (2.502–5.003)</w:t>
            </w:r>
          </w:p>
        </w:tc>
        <w:tc>
          <w:tcPr>
            <w:tcW w:w="832" w:type="dxa"/>
            <w:tcBorders>
              <w:top w:val="nil"/>
              <w:left w:val="nil"/>
              <w:bottom w:val="nil"/>
              <w:right w:val="nil"/>
            </w:tcBorders>
            <w:vAlign w:val="center"/>
          </w:tcPr>
          <w:p w14:paraId="45F726C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303875AB" w14:textId="77777777">
        <w:trPr>
          <w:trHeight w:val="352"/>
          <w:jc w:val="center"/>
        </w:trPr>
        <w:tc>
          <w:tcPr>
            <w:tcW w:w="1185" w:type="dxa"/>
            <w:tcBorders>
              <w:top w:val="nil"/>
              <w:left w:val="nil"/>
              <w:bottom w:val="nil"/>
              <w:right w:val="nil"/>
            </w:tcBorders>
            <w:vAlign w:val="center"/>
          </w:tcPr>
          <w:p w14:paraId="38A41ED0"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3</w:t>
            </w:r>
          </w:p>
        </w:tc>
        <w:tc>
          <w:tcPr>
            <w:tcW w:w="1585" w:type="dxa"/>
            <w:tcBorders>
              <w:top w:val="nil"/>
              <w:left w:val="nil"/>
              <w:bottom w:val="nil"/>
              <w:right w:val="nil"/>
            </w:tcBorders>
            <w:vAlign w:val="center"/>
          </w:tcPr>
          <w:p w14:paraId="0B3EDC1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1.041 (1.014–1.068)</w:t>
            </w:r>
          </w:p>
        </w:tc>
        <w:tc>
          <w:tcPr>
            <w:tcW w:w="934" w:type="dxa"/>
            <w:tcBorders>
              <w:top w:val="nil"/>
              <w:left w:val="nil"/>
              <w:bottom w:val="nil"/>
              <w:right w:val="nil"/>
            </w:tcBorders>
            <w:vAlign w:val="center"/>
          </w:tcPr>
          <w:p w14:paraId="058F3A7A"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62C30A0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1.059 (0.696–1.612)</w:t>
            </w:r>
          </w:p>
        </w:tc>
        <w:tc>
          <w:tcPr>
            <w:tcW w:w="1733" w:type="dxa"/>
            <w:tcBorders>
              <w:top w:val="nil"/>
              <w:left w:val="nil"/>
              <w:bottom w:val="nil"/>
              <w:right w:val="nil"/>
            </w:tcBorders>
            <w:vAlign w:val="center"/>
          </w:tcPr>
          <w:p w14:paraId="6F65633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1.104 (0.732–1.665)</w:t>
            </w:r>
          </w:p>
        </w:tc>
        <w:tc>
          <w:tcPr>
            <w:tcW w:w="1735" w:type="dxa"/>
            <w:tcBorders>
              <w:top w:val="nil"/>
              <w:left w:val="nil"/>
              <w:bottom w:val="nil"/>
              <w:right w:val="nil"/>
            </w:tcBorders>
            <w:vAlign w:val="center"/>
          </w:tcPr>
          <w:p w14:paraId="1F9D4F8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1.384 (0.947–2.022)</w:t>
            </w:r>
          </w:p>
        </w:tc>
        <w:tc>
          <w:tcPr>
            <w:tcW w:w="832" w:type="dxa"/>
            <w:tcBorders>
              <w:top w:val="nil"/>
              <w:left w:val="nil"/>
              <w:bottom w:val="nil"/>
              <w:right w:val="nil"/>
            </w:tcBorders>
            <w:vAlign w:val="center"/>
          </w:tcPr>
          <w:p w14:paraId="7100368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2AA1986E" w14:textId="77777777">
        <w:trPr>
          <w:trHeight w:val="352"/>
          <w:jc w:val="center"/>
        </w:trPr>
        <w:tc>
          <w:tcPr>
            <w:tcW w:w="1185" w:type="dxa"/>
            <w:tcBorders>
              <w:top w:val="nil"/>
              <w:left w:val="nil"/>
              <w:bottom w:val="nil"/>
              <w:right w:val="nil"/>
            </w:tcBorders>
            <w:vAlign w:val="center"/>
          </w:tcPr>
          <w:p w14:paraId="0106E370"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hAnsi="Times New Roman" w:hint="eastAsia"/>
                <w:color w:val="000000" w:themeColor="text1"/>
                <w:sz w:val="16"/>
                <w:szCs w:val="16"/>
                <w:lang w:bidi="ar"/>
              </w:rPr>
              <w:t>Model 4</w:t>
            </w:r>
          </w:p>
        </w:tc>
        <w:tc>
          <w:tcPr>
            <w:tcW w:w="1585" w:type="dxa"/>
            <w:tcBorders>
              <w:top w:val="nil"/>
              <w:left w:val="nil"/>
              <w:bottom w:val="nil"/>
              <w:right w:val="nil"/>
            </w:tcBorders>
            <w:vAlign w:val="center"/>
          </w:tcPr>
          <w:p w14:paraId="004FE9A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1.046 (1.019–1.074)</w:t>
            </w:r>
          </w:p>
        </w:tc>
        <w:tc>
          <w:tcPr>
            <w:tcW w:w="934" w:type="dxa"/>
            <w:tcBorders>
              <w:top w:val="nil"/>
              <w:left w:val="nil"/>
              <w:bottom w:val="nil"/>
              <w:right w:val="nil"/>
            </w:tcBorders>
            <w:vAlign w:val="center"/>
          </w:tcPr>
          <w:p w14:paraId="14C3545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2487FE3D"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1.075 (0.705–1.639)</w:t>
            </w:r>
          </w:p>
        </w:tc>
        <w:tc>
          <w:tcPr>
            <w:tcW w:w="1733" w:type="dxa"/>
            <w:tcBorders>
              <w:top w:val="nil"/>
              <w:left w:val="nil"/>
              <w:bottom w:val="nil"/>
              <w:right w:val="nil"/>
            </w:tcBorders>
            <w:vAlign w:val="center"/>
          </w:tcPr>
          <w:p w14:paraId="103129B4"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1.212 (0.798–1.840)</w:t>
            </w:r>
          </w:p>
        </w:tc>
        <w:tc>
          <w:tcPr>
            <w:tcW w:w="1735" w:type="dxa"/>
            <w:tcBorders>
              <w:top w:val="nil"/>
              <w:left w:val="nil"/>
              <w:bottom w:val="nil"/>
              <w:right w:val="nil"/>
            </w:tcBorders>
            <w:vAlign w:val="center"/>
          </w:tcPr>
          <w:p w14:paraId="49199311"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 xml:space="preserve">1.526 </w:t>
            </w:r>
            <w:r>
              <w:rPr>
                <w:rFonts w:ascii="Times New Roman Regular" w:eastAsia="Times New Roman Regular" w:hAnsi="Times New Roman Regular" w:cs="Times New Roman Regular"/>
                <w:color w:val="000000" w:themeColor="text1"/>
                <w:sz w:val="16"/>
                <w:szCs w:val="16"/>
                <w:lang w:bidi="ar"/>
              </w:rPr>
              <w:t>(1.040–2.240)</w:t>
            </w:r>
          </w:p>
        </w:tc>
        <w:tc>
          <w:tcPr>
            <w:tcW w:w="832" w:type="dxa"/>
            <w:tcBorders>
              <w:top w:val="nil"/>
              <w:left w:val="nil"/>
              <w:bottom w:val="nil"/>
              <w:right w:val="nil"/>
            </w:tcBorders>
            <w:vAlign w:val="center"/>
          </w:tcPr>
          <w:p w14:paraId="752BC140" w14:textId="77777777" w:rsidR="00CC3835" w:rsidRDefault="00256BAA">
            <w:pPr>
              <w:jc w:val="center"/>
              <w:textAlignment w:val="center"/>
              <w:rPr>
                <w:rFonts w:ascii="Times New Roman"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4EDBDA9A" w14:textId="77777777">
        <w:trPr>
          <w:trHeight w:val="352"/>
          <w:jc w:val="center"/>
        </w:trPr>
        <w:tc>
          <w:tcPr>
            <w:tcW w:w="3704" w:type="dxa"/>
            <w:gridSpan w:val="3"/>
            <w:tcBorders>
              <w:top w:val="nil"/>
              <w:left w:val="nil"/>
              <w:bottom w:val="nil"/>
              <w:right w:val="nil"/>
            </w:tcBorders>
            <w:vAlign w:val="center"/>
          </w:tcPr>
          <w:p w14:paraId="14618842"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b/>
                <w:bCs/>
                <w:color w:val="000000" w:themeColor="text1"/>
                <w:sz w:val="16"/>
                <w:szCs w:val="16"/>
                <w:lang w:bidi="ar"/>
              </w:rPr>
              <w:t xml:space="preserve">1-year </w:t>
            </w:r>
            <w:r>
              <w:rPr>
                <w:rFonts w:ascii="Times New Roman" w:hAnsi="Times New Roman" w:hint="eastAsia"/>
                <w:b/>
                <w:bCs/>
                <w:color w:val="000000" w:themeColor="text1"/>
                <w:sz w:val="16"/>
                <w:szCs w:val="16"/>
                <w:lang w:bidi="ar"/>
              </w:rPr>
              <w:t>all-cause mortality, HR (95% CI)</w:t>
            </w:r>
          </w:p>
        </w:tc>
        <w:tc>
          <w:tcPr>
            <w:tcW w:w="1733" w:type="dxa"/>
            <w:tcBorders>
              <w:top w:val="nil"/>
              <w:left w:val="nil"/>
              <w:bottom w:val="nil"/>
              <w:right w:val="nil"/>
            </w:tcBorders>
            <w:vAlign w:val="center"/>
          </w:tcPr>
          <w:p w14:paraId="7CB50CB6"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3" w:type="dxa"/>
            <w:tcBorders>
              <w:top w:val="nil"/>
              <w:left w:val="nil"/>
              <w:bottom w:val="nil"/>
              <w:right w:val="nil"/>
            </w:tcBorders>
            <w:vAlign w:val="center"/>
          </w:tcPr>
          <w:p w14:paraId="48B59FEC"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1735" w:type="dxa"/>
            <w:tcBorders>
              <w:top w:val="nil"/>
              <w:left w:val="nil"/>
              <w:bottom w:val="nil"/>
              <w:right w:val="nil"/>
            </w:tcBorders>
            <w:vAlign w:val="center"/>
          </w:tcPr>
          <w:p w14:paraId="7AC4F9AC"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c>
          <w:tcPr>
            <w:tcW w:w="832" w:type="dxa"/>
            <w:tcBorders>
              <w:top w:val="nil"/>
              <w:left w:val="nil"/>
              <w:bottom w:val="nil"/>
              <w:right w:val="nil"/>
            </w:tcBorders>
            <w:vAlign w:val="center"/>
          </w:tcPr>
          <w:p w14:paraId="71AB2CA0"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02371AFC" w14:textId="77777777">
        <w:trPr>
          <w:trHeight w:val="352"/>
          <w:jc w:val="center"/>
        </w:trPr>
        <w:tc>
          <w:tcPr>
            <w:tcW w:w="1185" w:type="dxa"/>
            <w:tcBorders>
              <w:top w:val="nil"/>
              <w:left w:val="nil"/>
              <w:bottom w:val="nil"/>
              <w:right w:val="nil"/>
            </w:tcBorders>
            <w:vAlign w:val="center"/>
          </w:tcPr>
          <w:p w14:paraId="635E361C"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n (%)</w:t>
            </w:r>
          </w:p>
        </w:tc>
        <w:tc>
          <w:tcPr>
            <w:tcW w:w="1585" w:type="dxa"/>
            <w:tcBorders>
              <w:top w:val="nil"/>
              <w:left w:val="nil"/>
              <w:bottom w:val="nil"/>
              <w:right w:val="nil"/>
            </w:tcBorders>
            <w:vAlign w:val="center"/>
          </w:tcPr>
          <w:p w14:paraId="304ECD27"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334 (24.5)</w:t>
            </w:r>
          </w:p>
        </w:tc>
        <w:tc>
          <w:tcPr>
            <w:tcW w:w="934" w:type="dxa"/>
            <w:tcBorders>
              <w:top w:val="nil"/>
              <w:left w:val="nil"/>
              <w:bottom w:val="nil"/>
              <w:right w:val="nil"/>
            </w:tcBorders>
            <w:vAlign w:val="center"/>
          </w:tcPr>
          <w:p w14:paraId="5A212A1B"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57 (16.7)</w:t>
            </w:r>
          </w:p>
        </w:tc>
        <w:tc>
          <w:tcPr>
            <w:tcW w:w="1733" w:type="dxa"/>
            <w:tcBorders>
              <w:top w:val="nil"/>
              <w:left w:val="nil"/>
              <w:bottom w:val="nil"/>
              <w:right w:val="nil"/>
            </w:tcBorders>
            <w:vAlign w:val="center"/>
          </w:tcPr>
          <w:p w14:paraId="45593EF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64 (18.8)</w:t>
            </w:r>
          </w:p>
        </w:tc>
        <w:tc>
          <w:tcPr>
            <w:tcW w:w="1733" w:type="dxa"/>
            <w:tcBorders>
              <w:top w:val="nil"/>
              <w:left w:val="nil"/>
              <w:bottom w:val="nil"/>
              <w:right w:val="nil"/>
            </w:tcBorders>
            <w:vAlign w:val="center"/>
          </w:tcPr>
          <w:p w14:paraId="0BD0D4C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71 (20.8)</w:t>
            </w:r>
          </w:p>
        </w:tc>
        <w:tc>
          <w:tcPr>
            <w:tcW w:w="1735" w:type="dxa"/>
            <w:tcBorders>
              <w:top w:val="nil"/>
              <w:left w:val="nil"/>
              <w:bottom w:val="nil"/>
              <w:right w:val="nil"/>
            </w:tcBorders>
            <w:vAlign w:val="center"/>
          </w:tcPr>
          <w:p w14:paraId="657EE03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142 (41.6)</w:t>
            </w:r>
          </w:p>
        </w:tc>
        <w:tc>
          <w:tcPr>
            <w:tcW w:w="832" w:type="dxa"/>
            <w:tcBorders>
              <w:top w:val="nil"/>
              <w:left w:val="nil"/>
              <w:bottom w:val="nil"/>
              <w:right w:val="nil"/>
            </w:tcBorders>
            <w:vAlign w:val="center"/>
          </w:tcPr>
          <w:p w14:paraId="4F6C20E7" w14:textId="77777777" w:rsidR="00CC3835" w:rsidRDefault="00CC3835">
            <w:pPr>
              <w:jc w:val="center"/>
              <w:textAlignment w:val="center"/>
              <w:rPr>
                <w:rFonts w:ascii="Times New Roman" w:eastAsia="Times New Roman Regular" w:hAnsi="Times New Roman"/>
                <w:color w:val="000000" w:themeColor="text1"/>
                <w:sz w:val="16"/>
                <w:szCs w:val="16"/>
                <w:lang w:bidi="ar"/>
              </w:rPr>
            </w:pPr>
          </w:p>
        </w:tc>
      </w:tr>
      <w:tr w:rsidR="00CC3835" w14:paraId="796B3B03" w14:textId="77777777">
        <w:trPr>
          <w:trHeight w:val="352"/>
          <w:jc w:val="center"/>
        </w:trPr>
        <w:tc>
          <w:tcPr>
            <w:tcW w:w="1185" w:type="dxa"/>
            <w:tcBorders>
              <w:top w:val="nil"/>
              <w:left w:val="nil"/>
              <w:bottom w:val="nil"/>
              <w:right w:val="nil"/>
            </w:tcBorders>
            <w:vAlign w:val="center"/>
          </w:tcPr>
          <w:p w14:paraId="1712D997"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1</w:t>
            </w:r>
          </w:p>
        </w:tc>
        <w:tc>
          <w:tcPr>
            <w:tcW w:w="1585" w:type="dxa"/>
            <w:tcBorders>
              <w:top w:val="nil"/>
              <w:left w:val="nil"/>
              <w:bottom w:val="nil"/>
              <w:right w:val="nil"/>
            </w:tcBorders>
            <w:vAlign w:val="center"/>
          </w:tcPr>
          <w:p w14:paraId="4932377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1.144 (1.119–1.170)</w:t>
            </w:r>
          </w:p>
        </w:tc>
        <w:tc>
          <w:tcPr>
            <w:tcW w:w="934" w:type="dxa"/>
            <w:tcBorders>
              <w:top w:val="nil"/>
              <w:left w:val="nil"/>
              <w:bottom w:val="nil"/>
              <w:right w:val="nil"/>
            </w:tcBorders>
            <w:vAlign w:val="center"/>
          </w:tcPr>
          <w:p w14:paraId="2687D21D"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4394673F"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1.147 (0.803</w:t>
            </w:r>
            <w:bookmarkStart w:id="45" w:name="OLE_LINK115"/>
            <w:r>
              <w:rPr>
                <w:rFonts w:ascii="Times New Roman Regular" w:eastAsia="Times New Roman Regular" w:hAnsi="Times New Roman Regular" w:cs="Times New Roman Regular"/>
                <w:color w:val="000000" w:themeColor="text1"/>
                <w:sz w:val="16"/>
                <w:szCs w:val="16"/>
                <w:lang w:bidi="ar"/>
              </w:rPr>
              <w:t>–</w:t>
            </w:r>
            <w:bookmarkEnd w:id="45"/>
            <w:r>
              <w:rPr>
                <w:rFonts w:ascii="Times New Roman Regular" w:eastAsia="Times New Roman Regular" w:hAnsi="Times New Roman Regular" w:cs="Times New Roman Regular"/>
                <w:color w:val="000000" w:themeColor="text1"/>
                <w:sz w:val="16"/>
                <w:szCs w:val="16"/>
                <w:lang w:bidi="ar"/>
              </w:rPr>
              <w:t>1.639)</w:t>
            </w:r>
          </w:p>
        </w:tc>
        <w:tc>
          <w:tcPr>
            <w:tcW w:w="1733" w:type="dxa"/>
            <w:tcBorders>
              <w:top w:val="nil"/>
              <w:left w:val="nil"/>
              <w:bottom w:val="nil"/>
              <w:right w:val="nil"/>
            </w:tcBorders>
            <w:vAlign w:val="center"/>
          </w:tcPr>
          <w:p w14:paraId="2F49A50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1.296 (0.914–1.836)</w:t>
            </w:r>
          </w:p>
        </w:tc>
        <w:tc>
          <w:tcPr>
            <w:tcW w:w="1735" w:type="dxa"/>
            <w:tcBorders>
              <w:top w:val="nil"/>
              <w:left w:val="nil"/>
              <w:bottom w:val="nil"/>
              <w:right w:val="nil"/>
            </w:tcBorders>
            <w:vAlign w:val="center"/>
          </w:tcPr>
          <w:p w14:paraId="374C6F15"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3.064 (2.253–4.167)</w:t>
            </w:r>
          </w:p>
        </w:tc>
        <w:tc>
          <w:tcPr>
            <w:tcW w:w="832" w:type="dxa"/>
            <w:tcBorders>
              <w:top w:val="nil"/>
              <w:left w:val="nil"/>
              <w:bottom w:val="nil"/>
              <w:right w:val="nil"/>
            </w:tcBorders>
            <w:vAlign w:val="center"/>
          </w:tcPr>
          <w:p w14:paraId="0A4E504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4495AF7C" w14:textId="77777777">
        <w:trPr>
          <w:trHeight w:val="352"/>
          <w:jc w:val="center"/>
        </w:trPr>
        <w:tc>
          <w:tcPr>
            <w:tcW w:w="1185" w:type="dxa"/>
            <w:tcBorders>
              <w:top w:val="nil"/>
              <w:left w:val="nil"/>
              <w:bottom w:val="nil"/>
              <w:right w:val="nil"/>
            </w:tcBorders>
            <w:vAlign w:val="center"/>
          </w:tcPr>
          <w:p w14:paraId="21C3E644"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2</w:t>
            </w:r>
          </w:p>
        </w:tc>
        <w:tc>
          <w:tcPr>
            <w:tcW w:w="1585" w:type="dxa"/>
            <w:tcBorders>
              <w:top w:val="nil"/>
              <w:left w:val="nil"/>
              <w:bottom w:val="nil"/>
              <w:right w:val="nil"/>
            </w:tcBorders>
            <w:vAlign w:val="center"/>
          </w:tcPr>
          <w:p w14:paraId="7365821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 xml:space="preserve">1.153 </w:t>
            </w:r>
            <w:r>
              <w:rPr>
                <w:rFonts w:ascii="Times New Roman Regular" w:eastAsia="Times New Roman Regular" w:hAnsi="Times New Roman Regular" w:cs="Times New Roman Regular"/>
                <w:color w:val="000000" w:themeColor="text1"/>
                <w:sz w:val="16"/>
                <w:szCs w:val="16"/>
                <w:lang w:bidi="ar"/>
              </w:rPr>
              <w:t>(1.127–1.180)</w:t>
            </w:r>
          </w:p>
        </w:tc>
        <w:tc>
          <w:tcPr>
            <w:tcW w:w="934" w:type="dxa"/>
            <w:tcBorders>
              <w:top w:val="nil"/>
              <w:left w:val="nil"/>
              <w:bottom w:val="nil"/>
              <w:right w:val="nil"/>
            </w:tcBorders>
            <w:vAlign w:val="center"/>
          </w:tcPr>
          <w:p w14:paraId="183B84F8"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3E68D9D0"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1.126 (0.788–1.610)</w:t>
            </w:r>
          </w:p>
        </w:tc>
        <w:tc>
          <w:tcPr>
            <w:tcW w:w="1733" w:type="dxa"/>
            <w:tcBorders>
              <w:top w:val="nil"/>
              <w:left w:val="nil"/>
              <w:bottom w:val="nil"/>
              <w:right w:val="nil"/>
            </w:tcBorders>
            <w:vAlign w:val="center"/>
          </w:tcPr>
          <w:p w14:paraId="5778D17C"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1.305 (0.921–1.850)</w:t>
            </w:r>
          </w:p>
        </w:tc>
        <w:tc>
          <w:tcPr>
            <w:tcW w:w="1735" w:type="dxa"/>
            <w:tcBorders>
              <w:top w:val="nil"/>
              <w:left w:val="nil"/>
              <w:bottom w:val="nil"/>
              <w:right w:val="nil"/>
            </w:tcBorders>
            <w:vAlign w:val="center"/>
          </w:tcPr>
          <w:p w14:paraId="5109627B"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3.113 (2.288–4.237)</w:t>
            </w:r>
          </w:p>
        </w:tc>
        <w:tc>
          <w:tcPr>
            <w:tcW w:w="832" w:type="dxa"/>
            <w:tcBorders>
              <w:top w:val="nil"/>
              <w:left w:val="nil"/>
              <w:bottom w:val="nil"/>
              <w:right w:val="nil"/>
            </w:tcBorders>
            <w:vAlign w:val="center"/>
          </w:tcPr>
          <w:p w14:paraId="7013D9C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1430B969" w14:textId="77777777">
        <w:trPr>
          <w:trHeight w:val="352"/>
          <w:jc w:val="center"/>
        </w:trPr>
        <w:tc>
          <w:tcPr>
            <w:tcW w:w="1185" w:type="dxa"/>
            <w:tcBorders>
              <w:top w:val="nil"/>
              <w:left w:val="nil"/>
              <w:bottom w:val="nil"/>
              <w:right w:val="nil"/>
            </w:tcBorders>
            <w:vAlign w:val="center"/>
          </w:tcPr>
          <w:p w14:paraId="3D79F0F4"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eastAsia="Times New Roman Regular" w:hAnsi="Times New Roman"/>
                <w:color w:val="000000" w:themeColor="text1"/>
                <w:sz w:val="16"/>
                <w:szCs w:val="16"/>
                <w:lang w:bidi="ar"/>
              </w:rPr>
              <w:t>Model 3</w:t>
            </w:r>
          </w:p>
        </w:tc>
        <w:tc>
          <w:tcPr>
            <w:tcW w:w="1585" w:type="dxa"/>
            <w:tcBorders>
              <w:top w:val="nil"/>
              <w:left w:val="nil"/>
              <w:bottom w:val="nil"/>
              <w:right w:val="nil"/>
            </w:tcBorders>
            <w:vAlign w:val="center"/>
          </w:tcPr>
          <w:p w14:paraId="0A1D905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1.045 (1.019–1.071)</w:t>
            </w:r>
          </w:p>
        </w:tc>
        <w:tc>
          <w:tcPr>
            <w:tcW w:w="934" w:type="dxa"/>
            <w:tcBorders>
              <w:top w:val="nil"/>
              <w:left w:val="nil"/>
              <w:bottom w:val="nil"/>
              <w:right w:val="nil"/>
            </w:tcBorders>
            <w:vAlign w:val="center"/>
          </w:tcPr>
          <w:p w14:paraId="2B3823D1"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nil"/>
              <w:right w:val="nil"/>
            </w:tcBorders>
            <w:vAlign w:val="center"/>
          </w:tcPr>
          <w:p w14:paraId="23C2CF36"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1.059 (0.734–1.530)</w:t>
            </w:r>
          </w:p>
        </w:tc>
        <w:tc>
          <w:tcPr>
            <w:tcW w:w="1733" w:type="dxa"/>
            <w:tcBorders>
              <w:top w:val="nil"/>
              <w:left w:val="nil"/>
              <w:bottom w:val="nil"/>
              <w:right w:val="nil"/>
            </w:tcBorders>
            <w:vAlign w:val="center"/>
          </w:tcPr>
          <w:p w14:paraId="03940CA2"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1.086 (0.753–1.565)</w:t>
            </w:r>
          </w:p>
        </w:tc>
        <w:tc>
          <w:tcPr>
            <w:tcW w:w="1735" w:type="dxa"/>
            <w:tcBorders>
              <w:top w:val="nil"/>
              <w:left w:val="nil"/>
              <w:bottom w:val="nil"/>
              <w:right w:val="nil"/>
            </w:tcBorders>
            <w:vAlign w:val="center"/>
          </w:tcPr>
          <w:p w14:paraId="61B5574D"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1.391 (0.991–1.953)</w:t>
            </w:r>
          </w:p>
        </w:tc>
        <w:tc>
          <w:tcPr>
            <w:tcW w:w="832" w:type="dxa"/>
            <w:tcBorders>
              <w:top w:val="nil"/>
              <w:left w:val="nil"/>
              <w:bottom w:val="nil"/>
              <w:right w:val="nil"/>
            </w:tcBorders>
            <w:vAlign w:val="center"/>
          </w:tcPr>
          <w:p w14:paraId="04E30483"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r w:rsidR="00CC3835" w14:paraId="5C70F45E" w14:textId="77777777">
        <w:trPr>
          <w:trHeight w:val="352"/>
          <w:jc w:val="center"/>
        </w:trPr>
        <w:tc>
          <w:tcPr>
            <w:tcW w:w="1185" w:type="dxa"/>
            <w:tcBorders>
              <w:top w:val="nil"/>
              <w:left w:val="nil"/>
              <w:bottom w:val="single" w:sz="4" w:space="0" w:color="000000"/>
              <w:right w:val="nil"/>
            </w:tcBorders>
            <w:vAlign w:val="center"/>
          </w:tcPr>
          <w:p w14:paraId="2C459DE1" w14:textId="77777777" w:rsidR="00CC3835" w:rsidRDefault="00256BAA">
            <w:pPr>
              <w:jc w:val="left"/>
              <w:textAlignment w:val="center"/>
              <w:rPr>
                <w:rFonts w:ascii="Times New Roman" w:eastAsia="Times New Roman Regular" w:hAnsi="Times New Roman"/>
                <w:color w:val="000000" w:themeColor="text1"/>
                <w:sz w:val="16"/>
                <w:szCs w:val="16"/>
                <w:lang w:bidi="ar"/>
              </w:rPr>
            </w:pPr>
            <w:r>
              <w:rPr>
                <w:rFonts w:ascii="Times New Roman" w:hAnsi="Times New Roman" w:hint="eastAsia"/>
                <w:color w:val="000000" w:themeColor="text1"/>
                <w:sz w:val="16"/>
                <w:szCs w:val="16"/>
                <w:lang w:bidi="ar"/>
              </w:rPr>
              <w:t>Model 4</w:t>
            </w:r>
          </w:p>
        </w:tc>
        <w:tc>
          <w:tcPr>
            <w:tcW w:w="1585" w:type="dxa"/>
            <w:tcBorders>
              <w:top w:val="nil"/>
              <w:left w:val="nil"/>
              <w:bottom w:val="single" w:sz="4" w:space="0" w:color="000000"/>
              <w:right w:val="nil"/>
            </w:tcBorders>
            <w:vAlign w:val="center"/>
          </w:tcPr>
          <w:p w14:paraId="05C68514"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1.050 (1.024–1.076)</w:t>
            </w:r>
          </w:p>
        </w:tc>
        <w:tc>
          <w:tcPr>
            <w:tcW w:w="934" w:type="dxa"/>
            <w:tcBorders>
              <w:top w:val="nil"/>
              <w:left w:val="nil"/>
              <w:bottom w:val="single" w:sz="4" w:space="0" w:color="000000"/>
              <w:right w:val="nil"/>
            </w:tcBorders>
            <w:vAlign w:val="center"/>
          </w:tcPr>
          <w:p w14:paraId="2BEBF68E" w14:textId="77777777" w:rsidR="00CC3835" w:rsidRDefault="00256BAA">
            <w:pPr>
              <w:jc w:val="center"/>
              <w:textAlignment w:val="center"/>
              <w:rPr>
                <w:rFonts w:ascii="Times New Roman" w:eastAsia="Times New Roman Regular"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Reference</w:t>
            </w:r>
          </w:p>
        </w:tc>
        <w:tc>
          <w:tcPr>
            <w:tcW w:w="1733" w:type="dxa"/>
            <w:tcBorders>
              <w:top w:val="nil"/>
              <w:left w:val="nil"/>
              <w:bottom w:val="single" w:sz="4" w:space="0" w:color="000000"/>
              <w:right w:val="nil"/>
            </w:tcBorders>
            <w:vAlign w:val="center"/>
          </w:tcPr>
          <w:p w14:paraId="165E7876"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1.092 (0.756–1.577)</w:t>
            </w:r>
          </w:p>
        </w:tc>
        <w:tc>
          <w:tcPr>
            <w:tcW w:w="1733" w:type="dxa"/>
            <w:tcBorders>
              <w:top w:val="nil"/>
              <w:left w:val="nil"/>
              <w:bottom w:val="single" w:sz="4" w:space="0" w:color="000000"/>
              <w:right w:val="nil"/>
            </w:tcBorders>
            <w:vAlign w:val="center"/>
          </w:tcPr>
          <w:p w14:paraId="413FF64C"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1.209 (0.834–1.753)</w:t>
            </w:r>
          </w:p>
        </w:tc>
        <w:tc>
          <w:tcPr>
            <w:tcW w:w="1735" w:type="dxa"/>
            <w:tcBorders>
              <w:top w:val="nil"/>
              <w:left w:val="nil"/>
              <w:bottom w:val="single" w:sz="4" w:space="0" w:color="000000"/>
              <w:right w:val="nil"/>
            </w:tcBorders>
            <w:vAlign w:val="center"/>
          </w:tcPr>
          <w:p w14:paraId="4DD89AA0" w14:textId="77777777" w:rsidR="00CC3835" w:rsidRDefault="00256BAA">
            <w:pPr>
              <w:jc w:val="center"/>
              <w:textAlignment w:val="center"/>
              <w:rPr>
                <w:rFonts w:ascii="Times New Roman Regular" w:eastAsia="Times New Roman Regular" w:hAnsi="Times New Roman Regular" w:cs="Times New Roman Regular"/>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1.539 (1.093–2.168)</w:t>
            </w:r>
          </w:p>
        </w:tc>
        <w:tc>
          <w:tcPr>
            <w:tcW w:w="832" w:type="dxa"/>
            <w:tcBorders>
              <w:top w:val="nil"/>
              <w:left w:val="nil"/>
              <w:bottom w:val="single" w:sz="4" w:space="0" w:color="000000"/>
              <w:right w:val="nil"/>
            </w:tcBorders>
            <w:vAlign w:val="center"/>
          </w:tcPr>
          <w:p w14:paraId="09B0BDE0" w14:textId="77777777" w:rsidR="00CC3835" w:rsidRDefault="00256BAA">
            <w:pPr>
              <w:jc w:val="center"/>
              <w:textAlignment w:val="center"/>
              <w:rPr>
                <w:rFonts w:ascii="Times New Roman" w:hAnsi="Times New Roman"/>
                <w:color w:val="000000" w:themeColor="text1"/>
                <w:sz w:val="16"/>
                <w:szCs w:val="16"/>
                <w:lang w:bidi="ar"/>
              </w:rPr>
            </w:pPr>
            <w:r>
              <w:rPr>
                <w:rFonts w:ascii="Times New Roman Regular" w:eastAsia="Times New Roman Regular" w:hAnsi="Times New Roman Regular" w:cs="Times New Roman Regular"/>
                <w:color w:val="000000" w:themeColor="text1"/>
                <w:sz w:val="16"/>
                <w:szCs w:val="16"/>
                <w:lang w:bidi="ar"/>
              </w:rPr>
              <w:t>&lt;0.001</w:t>
            </w:r>
          </w:p>
        </w:tc>
      </w:tr>
    </w:tbl>
    <w:p w14:paraId="745BAA9D" w14:textId="77777777" w:rsidR="00CC3835" w:rsidRDefault="00256BAA">
      <w:pPr>
        <w:pStyle w:val="Tablefooter"/>
        <w:rPr>
          <w:color w:val="000000" w:themeColor="text1"/>
        </w:rPr>
      </w:pPr>
      <w:r>
        <w:rPr>
          <w:color w:val="000000" w:themeColor="text1"/>
        </w:rPr>
        <w:t>Model 1: Unadjusted;</w:t>
      </w:r>
    </w:p>
    <w:p w14:paraId="7BAD3B86" w14:textId="77777777" w:rsidR="00CC3835" w:rsidRDefault="00256BAA">
      <w:pPr>
        <w:pStyle w:val="Tablefooter"/>
        <w:rPr>
          <w:color w:val="000000" w:themeColor="text1"/>
        </w:rPr>
      </w:pPr>
      <w:r>
        <w:rPr>
          <w:color w:val="000000" w:themeColor="text1"/>
        </w:rPr>
        <w:t>Model 2: Adjusted for age and sex;</w:t>
      </w:r>
    </w:p>
    <w:p w14:paraId="3FD17280" w14:textId="77777777" w:rsidR="00CC3835" w:rsidRDefault="00256BAA">
      <w:pPr>
        <w:pStyle w:val="Tablefooter"/>
        <w:rPr>
          <w:color w:val="000000" w:themeColor="text1"/>
        </w:rPr>
      </w:pPr>
      <w:r>
        <w:rPr>
          <w:color w:val="000000" w:themeColor="text1"/>
        </w:rPr>
        <w:t xml:space="preserve">Model 3: Adjusted for </w:t>
      </w:r>
      <w:r>
        <w:rPr>
          <w:rFonts w:hint="eastAsia"/>
          <w:color w:val="000000" w:themeColor="text1"/>
        </w:rPr>
        <w:t xml:space="preserve">variables in </w:t>
      </w:r>
      <w:r>
        <w:rPr>
          <w:rFonts w:eastAsia="宋体" w:hint="eastAsia"/>
          <w:color w:val="FF0000"/>
          <w:lang w:eastAsia="zh-CN"/>
        </w:rPr>
        <w:t>M</w:t>
      </w:r>
      <w:r>
        <w:rPr>
          <w:rFonts w:hint="eastAsia"/>
          <w:color w:val="000000" w:themeColor="text1"/>
        </w:rPr>
        <w:t xml:space="preserve">odel </w:t>
      </w:r>
      <w:r>
        <w:rPr>
          <w:rFonts w:eastAsia="宋体" w:hint="eastAsia"/>
          <w:color w:val="000000" w:themeColor="text1"/>
          <w:lang w:eastAsia="zh-CN"/>
        </w:rPr>
        <w:t>2</w:t>
      </w:r>
      <w:r>
        <w:rPr>
          <w:rFonts w:hint="eastAsia"/>
          <w:color w:val="000000" w:themeColor="text1"/>
        </w:rPr>
        <w:t xml:space="preserve"> plus</w:t>
      </w:r>
      <w:r>
        <w:rPr>
          <w:color w:val="000000" w:themeColor="text1"/>
        </w:rPr>
        <w:t xml:space="preserve"> smoking, alcohol intake, medical history (hypertension, diabetes mellitus, dyslipidemia, ischemic stroke, myocardial infarction), modified Rankin Scale score before onset, admission Glasgow Coma Scale, location of hematoma, hematoma volume, i</w:t>
      </w:r>
      <w:r>
        <w:rPr>
          <w:color w:val="000000" w:themeColor="text1"/>
          <w:lang w:bidi="ar"/>
        </w:rPr>
        <w:t>ntraventricul</w:t>
      </w:r>
      <w:r>
        <w:rPr>
          <w:color w:val="000000" w:themeColor="text1"/>
          <w:lang w:bidi="ar"/>
        </w:rPr>
        <w:t>ar extension</w:t>
      </w:r>
      <w:r>
        <w:rPr>
          <w:color w:val="000000" w:themeColor="text1"/>
        </w:rPr>
        <w:t>.</w:t>
      </w:r>
    </w:p>
    <w:p w14:paraId="612264DA" w14:textId="77777777" w:rsidR="00CC3835" w:rsidRDefault="00256BAA">
      <w:pPr>
        <w:rPr>
          <w:rFonts w:ascii="Times New Roman" w:hAnsi="Times New Roman"/>
          <w:color w:val="000000" w:themeColor="text1"/>
          <w:sz w:val="21"/>
          <w:szCs w:val="21"/>
          <w:lang w:bidi="en-US"/>
        </w:rPr>
      </w:pPr>
      <w:r>
        <w:rPr>
          <w:rFonts w:ascii="Times New Roman" w:hAnsi="Times New Roman" w:hint="eastAsia"/>
          <w:color w:val="000000" w:themeColor="text1"/>
          <w:sz w:val="21"/>
          <w:szCs w:val="21"/>
          <w:lang w:bidi="en-US"/>
        </w:rPr>
        <w:t>M</w:t>
      </w:r>
      <w:r>
        <w:rPr>
          <w:rFonts w:ascii="Times New Roman" w:eastAsia="Times New Roman" w:hAnsi="Times New Roman"/>
          <w:color w:val="000000" w:themeColor="text1"/>
          <w:sz w:val="21"/>
          <w:szCs w:val="21"/>
          <w:lang w:eastAsia="de-DE" w:bidi="en-US"/>
        </w:rPr>
        <w:t xml:space="preserve">odel </w:t>
      </w:r>
      <w:r>
        <w:rPr>
          <w:rFonts w:ascii="Times New Roman" w:hAnsi="Times New Roman" w:hint="eastAsia"/>
          <w:color w:val="000000" w:themeColor="text1"/>
          <w:sz w:val="21"/>
          <w:szCs w:val="21"/>
          <w:lang w:bidi="en-US"/>
        </w:rPr>
        <w:t xml:space="preserve">4: Adjusted for variables in </w:t>
      </w:r>
      <w:r>
        <w:rPr>
          <w:rFonts w:ascii="Times New Roman" w:hAnsi="Times New Roman" w:hint="eastAsia"/>
          <w:color w:val="FF0000"/>
          <w:sz w:val="21"/>
          <w:szCs w:val="21"/>
          <w:lang w:bidi="en-US"/>
        </w:rPr>
        <w:t>M</w:t>
      </w:r>
      <w:r>
        <w:rPr>
          <w:rFonts w:ascii="Times New Roman" w:hAnsi="Times New Roman" w:hint="eastAsia"/>
          <w:color w:val="000000" w:themeColor="text1"/>
          <w:sz w:val="21"/>
          <w:szCs w:val="21"/>
          <w:lang w:bidi="en-US"/>
        </w:rPr>
        <w:t xml:space="preserve">odel 3 plus in-hospital medications (antihypertensive, antidiabetic, and lipid-lowering agents). </w:t>
      </w:r>
    </w:p>
    <w:p w14:paraId="7F83DC8D" w14:textId="77777777" w:rsidR="00CC3835" w:rsidRDefault="00256BAA">
      <w:pPr>
        <w:pStyle w:val="Tablefooter"/>
        <w:rPr>
          <w:color w:val="000000" w:themeColor="text1"/>
          <w:lang w:bidi="ar"/>
        </w:rPr>
      </w:pPr>
      <w:r>
        <w:rPr>
          <w:rFonts w:eastAsia="Times New Roman Regular"/>
          <w:color w:val="000000" w:themeColor="text1"/>
          <w:lang w:bidi="ar"/>
        </w:rPr>
        <w:t xml:space="preserve">Abbreviations: CI, confidence interval; </w:t>
      </w:r>
      <w:r>
        <w:rPr>
          <w:rFonts w:eastAsia="宋体" w:hint="eastAsia"/>
          <w:color w:val="000000" w:themeColor="text1"/>
          <w:lang w:eastAsia="zh-CN" w:bidi="ar"/>
        </w:rPr>
        <w:t xml:space="preserve">HR, hazard ratio; </w:t>
      </w:r>
      <w:r>
        <w:rPr>
          <w:rFonts w:eastAsia="Times New Roman Regular"/>
          <w:color w:val="000000" w:themeColor="text1"/>
          <w:lang w:bidi="ar"/>
        </w:rPr>
        <w:t>OR, odds ratio</w:t>
      </w:r>
      <w:r>
        <w:rPr>
          <w:color w:val="000000" w:themeColor="text1"/>
          <w:lang w:bidi="ar"/>
        </w:rPr>
        <w:t>.</w:t>
      </w:r>
    </w:p>
    <w:p w14:paraId="00B119DE" w14:textId="77777777" w:rsidR="00CC3835" w:rsidRDefault="00256BAA">
      <w:pPr>
        <w:pStyle w:val="Figure"/>
        <w:rPr>
          <w:color w:val="000000" w:themeColor="text1"/>
        </w:rPr>
      </w:pPr>
      <w:r>
        <w:rPr>
          <w:noProof/>
          <w:color w:val="000000" w:themeColor="text1"/>
        </w:rPr>
        <w:lastRenderedPageBreak/>
        <w:drawing>
          <wp:inline distT="0" distB="0" distL="0" distR="0" wp14:anchorId="3B72E8D7" wp14:editId="425B5C91">
            <wp:extent cx="3779520" cy="371221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9520" cy="3712464"/>
                    </a:xfrm>
                    <a:prstGeom prst="rect">
                      <a:avLst/>
                    </a:prstGeom>
                  </pic:spPr>
                </pic:pic>
              </a:graphicData>
            </a:graphic>
          </wp:inline>
        </w:drawing>
      </w:r>
    </w:p>
    <w:p w14:paraId="253A0AE1" w14:textId="77777777" w:rsidR="00CC3835" w:rsidRDefault="00256BAA">
      <w:pPr>
        <w:pStyle w:val="Figurecaption"/>
        <w:rPr>
          <w:rFonts w:eastAsia="Times New Roman Regular"/>
          <w:b/>
          <w:color w:val="000000" w:themeColor="text1"/>
        </w:rPr>
      </w:pPr>
      <w:r>
        <w:rPr>
          <w:b/>
          <w:color w:val="000000" w:themeColor="text1"/>
        </w:rPr>
        <w:t>Fig.</w:t>
      </w:r>
      <w:r>
        <w:rPr>
          <w:rFonts w:eastAsia="Times New Roman Regular"/>
          <w:b/>
          <w:color w:val="000000" w:themeColor="text1"/>
        </w:rPr>
        <w:t xml:space="preserve"> 2. Distribution of modified Rankin Scale (mRS) scores across quartiles of </w:t>
      </w:r>
      <w:r>
        <w:rPr>
          <w:rFonts w:eastAsia="Times New Roman Regular" w:hint="eastAsia"/>
          <w:b/>
          <w:color w:val="000000" w:themeColor="text1"/>
        </w:rPr>
        <w:t>rate-pressure product</w:t>
      </w:r>
      <w:r>
        <w:rPr>
          <w:rFonts w:eastAsia="Times New Roman Regular"/>
          <w:b/>
          <w:color w:val="000000" w:themeColor="text1"/>
        </w:rPr>
        <w:t>.</w:t>
      </w:r>
    </w:p>
    <w:p w14:paraId="3EC01A2E" w14:textId="77777777" w:rsidR="00CC3835" w:rsidRDefault="00CC3835">
      <w:pPr>
        <w:spacing w:line="360" w:lineRule="auto"/>
        <w:jc w:val="left"/>
        <w:rPr>
          <w:rFonts w:ascii="Times New Roman" w:hAnsi="Times New Roman"/>
          <w:color w:val="000000" w:themeColor="text1"/>
          <w:sz w:val="22"/>
          <w:szCs w:val="22"/>
        </w:rPr>
      </w:pPr>
    </w:p>
    <w:p w14:paraId="6AB91DC7" w14:textId="77777777" w:rsidR="00CC3835" w:rsidRDefault="00256BAA">
      <w:pPr>
        <w:pStyle w:val="Figure"/>
        <w:rPr>
          <w:color w:val="000000" w:themeColor="text1"/>
        </w:rPr>
      </w:pPr>
      <w:r>
        <w:rPr>
          <w:noProof/>
          <w:color w:val="000000" w:themeColor="text1"/>
        </w:rPr>
        <w:drawing>
          <wp:inline distT="0" distB="0" distL="114300" distR="114300" wp14:anchorId="45FB060F" wp14:editId="4A24500E">
            <wp:extent cx="4775200" cy="4565015"/>
            <wp:effectExtent l="0" t="0" r="0" b="6985"/>
            <wp:docPr id="12" name="图片 12" descr="KM_R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KM_RPP"/>
                    <pic:cNvPicPr>
                      <a:picLocks noChangeAspect="1"/>
                    </pic:cNvPicPr>
                  </pic:nvPicPr>
                  <pic:blipFill>
                    <a:blip r:embed="rId13"/>
                    <a:stretch>
                      <a:fillRect/>
                    </a:stretch>
                  </pic:blipFill>
                  <pic:spPr>
                    <a:xfrm>
                      <a:off x="0" y="0"/>
                      <a:ext cx="4775200" cy="4565015"/>
                    </a:xfrm>
                    <a:prstGeom prst="rect">
                      <a:avLst/>
                    </a:prstGeom>
                  </pic:spPr>
                </pic:pic>
              </a:graphicData>
            </a:graphic>
          </wp:inline>
        </w:drawing>
      </w:r>
    </w:p>
    <w:p w14:paraId="5AB85354" w14:textId="77777777" w:rsidR="00CC3835" w:rsidRDefault="00256BAA">
      <w:pPr>
        <w:pStyle w:val="Figurecaption"/>
        <w:rPr>
          <w:rFonts w:eastAsia="Times New Roman Regular"/>
          <w:b/>
          <w:color w:val="000000" w:themeColor="text1"/>
        </w:rPr>
      </w:pPr>
      <w:r>
        <w:rPr>
          <w:b/>
          <w:color w:val="000000" w:themeColor="text1"/>
        </w:rPr>
        <w:t>Fig.</w:t>
      </w:r>
      <w:r>
        <w:rPr>
          <w:rFonts w:eastAsia="Times New Roman Regular"/>
          <w:b/>
          <w:color w:val="000000" w:themeColor="text1"/>
        </w:rPr>
        <w:t xml:space="preserve"> 3. </w:t>
      </w:r>
      <w:r>
        <w:rPr>
          <w:rFonts w:eastAsia="宋体" w:hint="eastAsia"/>
          <w:b/>
          <w:color w:val="000000" w:themeColor="text1"/>
          <w:lang w:eastAsia="zh-CN"/>
        </w:rPr>
        <w:t xml:space="preserve">1-year </w:t>
      </w:r>
      <w:r>
        <w:rPr>
          <w:rFonts w:eastAsia="Times New Roman Regular" w:hint="eastAsia"/>
          <w:b/>
          <w:color w:val="000000" w:themeColor="text1"/>
        </w:rPr>
        <w:t>Kaplan-Meier survival curves</w:t>
      </w:r>
      <w:r>
        <w:rPr>
          <w:rFonts w:eastAsia="宋体" w:hint="eastAsia"/>
          <w:b/>
          <w:color w:val="000000" w:themeColor="text1"/>
          <w:lang w:eastAsia="zh-CN"/>
        </w:rPr>
        <w:t xml:space="preserve"> across </w:t>
      </w:r>
      <w:r>
        <w:rPr>
          <w:rFonts w:eastAsia="Times New Roman Regular" w:hint="eastAsia"/>
          <w:b/>
          <w:color w:val="000000" w:themeColor="text1"/>
        </w:rPr>
        <w:t>quartiles of rate-pressure product</w:t>
      </w:r>
      <w:r>
        <w:rPr>
          <w:rFonts w:eastAsia="Times New Roman Regular"/>
          <w:b/>
          <w:color w:val="000000" w:themeColor="text1"/>
        </w:rPr>
        <w:t>.</w:t>
      </w:r>
    </w:p>
    <w:p w14:paraId="6C6196E7" w14:textId="77777777" w:rsidR="00CC3835" w:rsidRDefault="00CC3835">
      <w:pPr>
        <w:pStyle w:val="Figure"/>
        <w:rPr>
          <w:color w:val="000000" w:themeColor="text1"/>
        </w:rPr>
      </w:pPr>
    </w:p>
    <w:p w14:paraId="76E71081" w14:textId="77777777" w:rsidR="00CC3835" w:rsidRDefault="00256BAA">
      <w:pPr>
        <w:pStyle w:val="2"/>
        <w:rPr>
          <w:rFonts w:eastAsia="宋体"/>
          <w:color w:val="000000" w:themeColor="text1"/>
        </w:rPr>
      </w:pPr>
      <w:r>
        <w:rPr>
          <w:rFonts w:eastAsia="宋体" w:hint="eastAsia"/>
          <w:color w:val="000000" w:themeColor="text1"/>
        </w:rPr>
        <w:lastRenderedPageBreak/>
        <w:t>3.3 Sensitivity Analysis</w:t>
      </w:r>
    </w:p>
    <w:p w14:paraId="197116FB" w14:textId="77777777" w:rsidR="00CC3835" w:rsidRDefault="00256BAA">
      <w:pPr>
        <w:ind w:firstLine="420"/>
        <w:rPr>
          <w:rFonts w:ascii="Times New Roman" w:hAnsi="Times New Roman"/>
          <w:snapToGrid w:val="0"/>
          <w:color w:val="000000" w:themeColor="text1"/>
          <w:sz w:val="21"/>
          <w:szCs w:val="28"/>
          <w:lang w:bidi="en-US"/>
        </w:rPr>
      </w:pPr>
      <w:r>
        <w:rPr>
          <w:rFonts w:ascii="Times New Roman" w:eastAsia="Times New Roman" w:hAnsi="Times New Roman"/>
          <w:snapToGrid w:val="0"/>
          <w:color w:val="000000" w:themeColor="text1"/>
          <w:sz w:val="21"/>
          <w:szCs w:val="28"/>
          <w:lang w:eastAsia="de-DE" w:bidi="en-US"/>
        </w:rPr>
        <w:t xml:space="preserve">The results of sensitivity analysis are shown in </w:t>
      </w:r>
      <w:r>
        <w:rPr>
          <w:rFonts w:ascii="Times New Roman Bold" w:hAnsi="Times New Roman Bold" w:cs="Times New Roman Bold"/>
          <w:b/>
          <w:bCs/>
          <w:snapToGrid w:val="0"/>
          <w:color w:val="000000" w:themeColor="text1"/>
          <w:sz w:val="21"/>
          <w:szCs w:val="28"/>
          <w:lang w:bidi="en-US"/>
        </w:rPr>
        <w:t>Table S1</w:t>
      </w:r>
      <w:r>
        <w:rPr>
          <w:rFonts w:ascii="Times New Roman" w:hAnsi="Times New Roman" w:hint="eastAsia"/>
          <w:snapToGrid w:val="0"/>
          <w:color w:val="000000" w:themeColor="text1"/>
          <w:sz w:val="21"/>
          <w:szCs w:val="28"/>
          <w:lang w:bidi="en-US"/>
        </w:rPr>
        <w:t xml:space="preserve">. The relationship between RPP and outcomes remained robust across different time windows: </w:t>
      </w:r>
      <w:r>
        <w:rPr>
          <w:rFonts w:ascii="Times New Roman Regular" w:hAnsi="Times New Roman Regular" w:cs="Times New Roman Regular"/>
          <w:snapToGrid w:val="0"/>
          <w:color w:val="000000" w:themeColor="text1"/>
          <w:sz w:val="21"/>
          <w:szCs w:val="28"/>
          <w:lang w:bidi="en-US"/>
        </w:rPr>
        <w:t xml:space="preserve">≤6 h </w:t>
      </w:r>
      <w:r>
        <w:rPr>
          <w:rFonts w:ascii="Times New Roman Regular" w:hAnsi="Times New Roman Regular" w:cs="Times New Roman Regular" w:hint="eastAsia"/>
          <w:snapToGrid w:val="0"/>
          <w:color w:val="000000" w:themeColor="text1"/>
          <w:sz w:val="21"/>
          <w:szCs w:val="28"/>
          <w:lang w:bidi="en-US"/>
        </w:rPr>
        <w:t>(</w:t>
      </w:r>
      <w:r>
        <w:rPr>
          <w:rFonts w:ascii="Times New Roman Regular" w:hAnsi="Times New Roman Regular" w:cs="Times New Roman Regular"/>
          <w:snapToGrid w:val="0"/>
          <w:color w:val="000000" w:themeColor="text1"/>
          <w:sz w:val="21"/>
          <w:szCs w:val="28"/>
          <w:lang w:bidi="en-US"/>
        </w:rPr>
        <w:t>n = 838</w:t>
      </w:r>
      <w:r>
        <w:rPr>
          <w:rFonts w:ascii="Times New Roman Regular" w:hAnsi="Times New Roman Regular" w:cs="Times New Roman Regular" w:hint="eastAsia"/>
          <w:snapToGrid w:val="0"/>
          <w:color w:val="000000" w:themeColor="text1"/>
          <w:sz w:val="21"/>
          <w:szCs w:val="28"/>
          <w:lang w:bidi="en-US"/>
        </w:rPr>
        <w:t>),</w:t>
      </w:r>
      <w:r>
        <w:rPr>
          <w:rFonts w:ascii="Times New Roman Regular" w:hAnsi="Times New Roman Regular" w:cs="Times New Roman Regular"/>
          <w:snapToGrid w:val="0"/>
          <w:color w:val="000000" w:themeColor="text1"/>
          <w:sz w:val="21"/>
          <w:szCs w:val="28"/>
          <w:lang w:bidi="en-US"/>
        </w:rPr>
        <w:t xml:space="preserve"> ≤12 h</w:t>
      </w:r>
      <w:r>
        <w:rPr>
          <w:rFonts w:ascii="Times New Roman Regular" w:hAnsi="Times New Roman Regular" w:cs="Times New Roman Regular" w:hint="eastAsia"/>
          <w:snapToGrid w:val="0"/>
          <w:color w:val="000000" w:themeColor="text1"/>
          <w:sz w:val="21"/>
          <w:szCs w:val="28"/>
          <w:lang w:bidi="en-US"/>
        </w:rPr>
        <w:t xml:space="preserve"> (</w:t>
      </w:r>
      <w:r>
        <w:rPr>
          <w:rFonts w:ascii="Times New Roman Regular" w:hAnsi="Times New Roman Regular" w:cs="Times New Roman Regular"/>
          <w:snapToGrid w:val="0"/>
          <w:color w:val="000000" w:themeColor="text1"/>
          <w:sz w:val="21"/>
          <w:szCs w:val="28"/>
          <w:lang w:bidi="en-US"/>
        </w:rPr>
        <w:t>n =</w:t>
      </w:r>
      <w:r>
        <w:rPr>
          <w:rFonts w:ascii="Times New Roman Regular" w:hAnsi="Times New Roman Regular" w:cs="Times New Roman Regular" w:hint="eastAsia"/>
          <w:snapToGrid w:val="0"/>
          <w:color w:val="000000" w:themeColor="text1"/>
          <w:sz w:val="21"/>
          <w:szCs w:val="28"/>
          <w:lang w:bidi="en-US"/>
        </w:rPr>
        <w:t xml:space="preserve"> </w:t>
      </w:r>
      <w:r>
        <w:rPr>
          <w:rFonts w:ascii="Times New Roman Regular" w:hAnsi="Times New Roman Regular" w:cs="Times New Roman Regular"/>
          <w:snapToGrid w:val="0"/>
          <w:color w:val="000000" w:themeColor="text1"/>
          <w:sz w:val="21"/>
          <w:szCs w:val="28"/>
          <w:lang w:bidi="en-US"/>
        </w:rPr>
        <w:t>1,058</w:t>
      </w:r>
      <w:r>
        <w:rPr>
          <w:rFonts w:ascii="Times New Roman Regular" w:hAnsi="Times New Roman Regular" w:cs="Times New Roman Regular" w:hint="eastAsia"/>
          <w:snapToGrid w:val="0"/>
          <w:color w:val="000000" w:themeColor="text1"/>
          <w:sz w:val="21"/>
          <w:szCs w:val="28"/>
          <w:lang w:bidi="en-US"/>
        </w:rPr>
        <w:t>),</w:t>
      </w:r>
      <w:r>
        <w:rPr>
          <w:rFonts w:ascii="Times New Roman Regular" w:hAnsi="Times New Roman Regular" w:cs="Times New Roman Regular"/>
          <w:snapToGrid w:val="0"/>
          <w:color w:val="000000" w:themeColor="text1"/>
          <w:sz w:val="21"/>
          <w:szCs w:val="28"/>
          <w:lang w:bidi="en-US"/>
        </w:rPr>
        <w:t xml:space="preserve"> and ≤24 h </w:t>
      </w:r>
      <w:r>
        <w:rPr>
          <w:rFonts w:ascii="Times New Roman Regular" w:hAnsi="Times New Roman Regular" w:cs="Times New Roman Regular" w:hint="eastAsia"/>
          <w:snapToGrid w:val="0"/>
          <w:color w:val="000000" w:themeColor="text1"/>
          <w:sz w:val="21"/>
          <w:szCs w:val="28"/>
          <w:lang w:bidi="en-US"/>
        </w:rPr>
        <w:t>(</w:t>
      </w:r>
      <w:r>
        <w:rPr>
          <w:rFonts w:ascii="Times New Roman Regular" w:hAnsi="Times New Roman Regular" w:cs="Times New Roman Regular"/>
          <w:snapToGrid w:val="0"/>
          <w:color w:val="000000" w:themeColor="text1"/>
          <w:sz w:val="21"/>
          <w:szCs w:val="28"/>
          <w:lang w:bidi="en-US"/>
        </w:rPr>
        <w:t>n = 1,189</w:t>
      </w:r>
      <w:r>
        <w:rPr>
          <w:rFonts w:ascii="Times New Roman" w:hAnsi="Times New Roman" w:hint="eastAsia"/>
          <w:snapToGrid w:val="0"/>
          <w:color w:val="000000" w:themeColor="text1"/>
          <w:sz w:val="21"/>
          <w:szCs w:val="28"/>
          <w:lang w:bidi="en-US"/>
        </w:rPr>
        <w:t>). In the fully adjusted model, elevated RPP was cons</w:t>
      </w:r>
      <w:r>
        <w:rPr>
          <w:rFonts w:ascii="Times New Roman" w:hAnsi="Times New Roman" w:hint="eastAsia"/>
          <w:snapToGrid w:val="0"/>
          <w:color w:val="000000" w:themeColor="text1"/>
          <w:sz w:val="21"/>
          <w:szCs w:val="28"/>
          <w:lang w:bidi="en-US"/>
        </w:rPr>
        <w:t>istently associated with a higher risk of unfavorable functional outcomes and mortality.</w:t>
      </w:r>
    </w:p>
    <w:p w14:paraId="228B673D" w14:textId="77777777" w:rsidR="00CC3835" w:rsidRDefault="00CC3835">
      <w:pPr>
        <w:pStyle w:val="Text"/>
        <w:ind w:firstLine="420"/>
        <w:rPr>
          <w:color w:val="000000" w:themeColor="text1"/>
        </w:rPr>
      </w:pPr>
    </w:p>
    <w:p w14:paraId="590450A5" w14:textId="77777777" w:rsidR="00CC3835" w:rsidRDefault="00256BAA">
      <w:pPr>
        <w:pStyle w:val="2"/>
        <w:rPr>
          <w:color w:val="000000" w:themeColor="text1"/>
        </w:rPr>
      </w:pPr>
      <w:r>
        <w:rPr>
          <w:color w:val="000000" w:themeColor="text1"/>
        </w:rPr>
        <w:t>3.</w:t>
      </w:r>
      <w:r>
        <w:rPr>
          <w:rFonts w:eastAsia="宋体" w:hint="eastAsia"/>
          <w:color w:val="000000" w:themeColor="text1"/>
        </w:rPr>
        <w:t>4</w:t>
      </w:r>
      <w:r>
        <w:rPr>
          <w:color w:val="000000" w:themeColor="text1"/>
        </w:rPr>
        <w:t xml:space="preserve"> Subgroup Analysis</w:t>
      </w:r>
    </w:p>
    <w:p w14:paraId="1596C0B5" w14:textId="77777777" w:rsidR="00CC3835" w:rsidRDefault="00256BAA">
      <w:pPr>
        <w:pStyle w:val="Text"/>
        <w:ind w:firstLine="420"/>
        <w:rPr>
          <w:color w:val="000000" w:themeColor="text1"/>
        </w:rPr>
      </w:pPr>
      <w:bookmarkStart w:id="46" w:name="OLE_LINK47"/>
      <w:r>
        <w:rPr>
          <w:color w:val="000000" w:themeColor="text1"/>
        </w:rPr>
        <w:t xml:space="preserve">The association between RPP and all outcomes remained consistent across subgroups stratified by age, sex, history of hypertension, </w:t>
      </w:r>
      <w:r>
        <w:rPr>
          <w:rFonts w:eastAsia="宋体" w:hint="eastAsia"/>
          <w:color w:val="000000" w:themeColor="text1"/>
          <w:lang w:eastAsia="zh-CN"/>
        </w:rPr>
        <w:t xml:space="preserve">onset-to-door time </w:t>
      </w:r>
      <w:r>
        <w:rPr>
          <w:color w:val="000000" w:themeColor="text1"/>
        </w:rPr>
        <w:t>and ICH severity, with no significant interactions observed (</w:t>
      </w:r>
      <w:r>
        <w:rPr>
          <w:rFonts w:hint="eastAsia"/>
          <w:i/>
          <w:color w:val="000000" w:themeColor="text1"/>
        </w:rPr>
        <w:t>p</w:t>
      </w:r>
      <w:r>
        <w:rPr>
          <w:color w:val="000000" w:themeColor="text1"/>
        </w:rPr>
        <w:t xml:space="preserve"> for interaction &gt; 0.05 for all). However, a significant interaction was detected with in-hospital β-blocker treatment (</w:t>
      </w:r>
      <w:r>
        <w:rPr>
          <w:rFonts w:hint="eastAsia"/>
          <w:i/>
          <w:color w:val="000000" w:themeColor="text1"/>
        </w:rPr>
        <w:t>p</w:t>
      </w:r>
      <w:r>
        <w:rPr>
          <w:color w:val="000000" w:themeColor="text1"/>
        </w:rPr>
        <w:t xml:space="preserve"> for interaction &lt; 0.05 for all four outcomes). The as</w:t>
      </w:r>
      <w:r>
        <w:rPr>
          <w:color w:val="000000" w:themeColor="text1"/>
        </w:rPr>
        <w:t xml:space="preserve">sociation between high RPP and primary outcomes was attenuated in patients receiving β-blockers </w:t>
      </w:r>
      <w:r>
        <w:rPr>
          <w:b/>
          <w:color w:val="000000" w:themeColor="text1"/>
        </w:rPr>
        <w:t>(Fig. 4)</w:t>
      </w:r>
      <w:r>
        <w:rPr>
          <w:color w:val="000000" w:themeColor="text1"/>
        </w:rPr>
        <w:t xml:space="preserve">. </w:t>
      </w:r>
    </w:p>
    <w:bookmarkEnd w:id="46"/>
    <w:p w14:paraId="536B8F68" w14:textId="77777777" w:rsidR="00CC3835" w:rsidRDefault="00256BAA">
      <w:pPr>
        <w:spacing w:line="360" w:lineRule="auto"/>
        <w:rPr>
          <w:rFonts w:ascii="Times New Roman" w:hAnsi="Times New Roman"/>
          <w:bCs/>
          <w:color w:val="000000" w:themeColor="text1"/>
          <w:sz w:val="22"/>
          <w:szCs w:val="22"/>
        </w:rPr>
      </w:pPr>
      <w:r>
        <w:rPr>
          <w:rFonts w:ascii="Times New Roman" w:hAnsi="Times New Roman"/>
          <w:bCs/>
          <w:noProof/>
          <w:color w:val="000000" w:themeColor="text1"/>
          <w:sz w:val="22"/>
          <w:szCs w:val="22"/>
        </w:rPr>
        <w:drawing>
          <wp:inline distT="0" distB="0" distL="114300" distR="114300" wp14:anchorId="6E20046C" wp14:editId="5D568D2E">
            <wp:extent cx="6524625" cy="3708400"/>
            <wp:effectExtent l="0" t="0" r="3175" b="0"/>
            <wp:docPr id="20" name="图片 20" descr="Figure 4+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 4+HR"/>
                    <pic:cNvPicPr>
                      <a:picLocks noChangeAspect="1"/>
                    </pic:cNvPicPr>
                  </pic:nvPicPr>
                  <pic:blipFill>
                    <a:blip r:embed="rId14"/>
                    <a:stretch>
                      <a:fillRect/>
                    </a:stretch>
                  </pic:blipFill>
                  <pic:spPr>
                    <a:xfrm>
                      <a:off x="0" y="0"/>
                      <a:ext cx="6524625" cy="3708400"/>
                    </a:xfrm>
                    <a:prstGeom prst="rect">
                      <a:avLst/>
                    </a:prstGeom>
                  </pic:spPr>
                </pic:pic>
              </a:graphicData>
            </a:graphic>
          </wp:inline>
        </w:drawing>
      </w:r>
    </w:p>
    <w:p w14:paraId="606976B3" w14:textId="77777777" w:rsidR="00CC3835" w:rsidRDefault="00256BAA">
      <w:pPr>
        <w:pStyle w:val="Figurecaption"/>
        <w:rPr>
          <w:bCs/>
          <w:color w:val="000000" w:themeColor="text1"/>
          <w:lang w:eastAsia="zh-CN"/>
        </w:rPr>
      </w:pPr>
      <w:r>
        <w:rPr>
          <w:b/>
          <w:color w:val="000000" w:themeColor="text1"/>
        </w:rPr>
        <w:t>Fig.</w:t>
      </w:r>
      <w:r>
        <w:rPr>
          <w:rFonts w:eastAsia="Times New Roman Regular"/>
          <w:b/>
          <w:color w:val="000000" w:themeColor="text1"/>
        </w:rPr>
        <w:t xml:space="preserve"> 4. Subgroup analyses of the association between </w:t>
      </w:r>
      <w:r>
        <w:rPr>
          <w:rFonts w:eastAsia="Times New Roman Regular" w:hint="eastAsia"/>
          <w:b/>
          <w:color w:val="000000" w:themeColor="text1"/>
        </w:rPr>
        <w:t>rate-pressure product</w:t>
      </w:r>
      <w:r>
        <w:rPr>
          <w:rFonts w:eastAsia="Times New Roman Regular"/>
          <w:b/>
          <w:color w:val="000000" w:themeColor="text1"/>
        </w:rPr>
        <w:t xml:space="preserve"> and outcomes. </w:t>
      </w:r>
      <w:r>
        <w:rPr>
          <w:rFonts w:eastAsia="Times New Roman Regular"/>
          <w:color w:val="000000" w:themeColor="text1"/>
        </w:rPr>
        <w:t xml:space="preserve">Abbreviations: CI, confidence interval; GCS, Glasgow Coma Scale; </w:t>
      </w:r>
      <w:r>
        <w:rPr>
          <w:rFonts w:eastAsia="宋体" w:hint="eastAsia"/>
          <w:color w:val="000000" w:themeColor="text1"/>
          <w:lang w:eastAsia="zh-CN"/>
        </w:rPr>
        <w:t xml:space="preserve">HR, hazard ratio; </w:t>
      </w:r>
      <w:r>
        <w:rPr>
          <w:rFonts w:eastAsia="Times New Roman Regular"/>
          <w:color w:val="000000" w:themeColor="text1"/>
        </w:rPr>
        <w:t>OR, odds ratio.</w:t>
      </w:r>
    </w:p>
    <w:p w14:paraId="48FB9CC6" w14:textId="77777777" w:rsidR="00CC3835" w:rsidRDefault="00CC3835">
      <w:pPr>
        <w:pStyle w:val="Text"/>
        <w:ind w:firstLine="420"/>
        <w:rPr>
          <w:color w:val="000000" w:themeColor="text1"/>
        </w:rPr>
      </w:pPr>
    </w:p>
    <w:p w14:paraId="77BA3969" w14:textId="77777777" w:rsidR="00CC3835" w:rsidRDefault="00256BAA">
      <w:pPr>
        <w:pStyle w:val="2"/>
        <w:rPr>
          <w:color w:val="000000" w:themeColor="text1"/>
        </w:rPr>
      </w:pPr>
      <w:r>
        <w:rPr>
          <w:rFonts w:hint="eastAsia"/>
          <w:color w:val="000000" w:themeColor="text1"/>
        </w:rPr>
        <w:t>3.</w:t>
      </w:r>
      <w:r>
        <w:rPr>
          <w:rFonts w:eastAsia="宋体" w:hint="eastAsia"/>
          <w:color w:val="000000" w:themeColor="text1"/>
        </w:rPr>
        <w:t>5</w:t>
      </w:r>
      <w:r>
        <w:rPr>
          <w:rFonts w:hint="eastAsia"/>
          <w:color w:val="000000" w:themeColor="text1"/>
        </w:rPr>
        <w:t xml:space="preserve"> </w:t>
      </w:r>
      <w:r>
        <w:rPr>
          <w:color w:val="000000" w:themeColor="text1"/>
        </w:rPr>
        <w:t xml:space="preserve">Predictive </w:t>
      </w:r>
      <w:r>
        <w:rPr>
          <w:rFonts w:hint="eastAsia"/>
          <w:color w:val="000000" w:themeColor="text1"/>
        </w:rPr>
        <w:t>P</w:t>
      </w:r>
      <w:r>
        <w:rPr>
          <w:color w:val="000000" w:themeColor="text1"/>
        </w:rPr>
        <w:t>erformance of RPP</w:t>
      </w:r>
    </w:p>
    <w:p w14:paraId="3E39570C" w14:textId="77777777" w:rsidR="00CC3835" w:rsidRDefault="00256BAA">
      <w:pPr>
        <w:pStyle w:val="Text"/>
        <w:ind w:firstLine="420"/>
        <w:rPr>
          <w:color w:val="000000" w:themeColor="text1"/>
        </w:rPr>
      </w:pPr>
      <w:r>
        <w:rPr>
          <w:rFonts w:hint="eastAsia"/>
          <w:color w:val="000000" w:themeColor="text1"/>
        </w:rPr>
        <w:t>The predictive performance of the RPP was evaluated against its individual components,</w:t>
      </w:r>
      <w:r>
        <w:rPr>
          <w:color w:val="000000" w:themeColor="text1"/>
        </w:rPr>
        <w:t xml:space="preserve"> HR and SBP, </w:t>
      </w:r>
      <w:r>
        <w:rPr>
          <w:rFonts w:hint="eastAsia"/>
          <w:color w:val="000000" w:themeColor="text1"/>
        </w:rPr>
        <w:t>utilizing</w:t>
      </w:r>
      <w:r>
        <w:rPr>
          <w:color w:val="000000" w:themeColor="text1"/>
        </w:rPr>
        <w:t xml:space="preserve"> C-statistics </w:t>
      </w:r>
      <w:r>
        <w:rPr>
          <w:b/>
          <w:color w:val="000000" w:themeColor="text1"/>
        </w:rPr>
        <w:t>(Table 3)</w:t>
      </w:r>
      <w:r>
        <w:rPr>
          <w:color w:val="000000" w:themeColor="text1"/>
        </w:rPr>
        <w:t xml:space="preserve">. The C-statistic </w:t>
      </w:r>
      <w:r>
        <w:rPr>
          <w:rFonts w:eastAsia="宋体" w:hint="eastAsia"/>
          <w:color w:val="000000" w:themeColor="text1"/>
          <w:lang w:eastAsia="zh-CN"/>
        </w:rPr>
        <w:t>of</w:t>
      </w:r>
      <w:r>
        <w:rPr>
          <w:color w:val="000000" w:themeColor="text1"/>
        </w:rPr>
        <w:t xml:space="preserve"> RPP was 0.643 (</w:t>
      </w:r>
      <w:bookmarkStart w:id="47" w:name="OLE_LINK55"/>
      <w:r>
        <w:rPr>
          <w:color w:val="000000" w:themeColor="text1"/>
        </w:rPr>
        <w:t xml:space="preserve">95% CI, </w:t>
      </w:r>
      <w:bookmarkEnd w:id="47"/>
      <w:r>
        <w:rPr>
          <w:color w:val="000000" w:themeColor="text1"/>
        </w:rPr>
        <w:t xml:space="preserve">0.613–0.673) </w:t>
      </w:r>
      <w:bookmarkStart w:id="48" w:name="OLE_LINK54"/>
      <w:r>
        <w:rPr>
          <w:color w:val="000000" w:themeColor="text1"/>
        </w:rPr>
        <w:t>for 90-day unfavorable functional outcome</w:t>
      </w:r>
      <w:bookmarkEnd w:id="48"/>
      <w:r>
        <w:rPr>
          <w:color w:val="000000" w:themeColor="text1"/>
        </w:rPr>
        <w:t xml:space="preserve">, 0.637 (95% CI, 0.606–0.669) for 1-year unfavorable functional outcome, 0.668 (95% CI, 0.630–0.706) for 90-day </w:t>
      </w:r>
      <w:bookmarkStart w:id="49" w:name="OLE_LINK12"/>
      <w:r>
        <w:rPr>
          <w:color w:val="000000" w:themeColor="text1"/>
        </w:rPr>
        <w:t>all-cause</w:t>
      </w:r>
      <w:bookmarkEnd w:id="49"/>
      <w:r>
        <w:rPr>
          <w:color w:val="000000" w:themeColor="text1"/>
        </w:rPr>
        <w:t xml:space="preserve"> mortality, and 0.650 (95% C</w:t>
      </w:r>
      <w:r>
        <w:rPr>
          <w:color w:val="000000" w:themeColor="text1"/>
        </w:rPr>
        <w:t xml:space="preserve">I, 0.614–0.686) for 1-year all-cause mortality. </w:t>
      </w:r>
      <w:r>
        <w:rPr>
          <w:rFonts w:hint="eastAsia"/>
          <w:color w:val="000000" w:themeColor="text1"/>
        </w:rPr>
        <w:t xml:space="preserve">When compared to HR or SBP alone, RPP demonstrated a significantly superior predictive capability for all four outcomes </w:t>
      </w:r>
      <w:r>
        <w:rPr>
          <w:color w:val="000000" w:themeColor="text1"/>
        </w:rPr>
        <w:t>(</w:t>
      </w:r>
      <w:r>
        <w:rPr>
          <w:rFonts w:hint="eastAsia"/>
          <w:i/>
          <w:color w:val="000000" w:themeColor="text1"/>
        </w:rPr>
        <w:t>p</w:t>
      </w:r>
      <w:r>
        <w:rPr>
          <w:color w:val="000000" w:themeColor="text1"/>
        </w:rPr>
        <w:t xml:space="preserve"> &lt; 0.05 for all comparisons).</w:t>
      </w:r>
    </w:p>
    <w:p w14:paraId="38CD4266" w14:textId="77777777" w:rsidR="00CC3835" w:rsidRDefault="00256BAA">
      <w:pPr>
        <w:pStyle w:val="Tablecaption"/>
        <w:spacing w:before="312" w:after="312"/>
        <w:rPr>
          <w:color w:val="000000" w:themeColor="text1"/>
        </w:rPr>
      </w:pPr>
      <w:bookmarkStart w:id="50" w:name="OLE_LINK46"/>
      <w:r>
        <w:rPr>
          <w:color w:val="000000" w:themeColor="text1"/>
        </w:rPr>
        <w:t>Table 3. Comparison of the predictive performance of RPP</w:t>
      </w:r>
      <w:r>
        <w:rPr>
          <w:color w:val="000000" w:themeColor="text1"/>
        </w:rPr>
        <w:t>, HR and SBP for outcomes in patients with intracerebral hemorrhage.</w:t>
      </w:r>
    </w:p>
    <w:tbl>
      <w:tblPr>
        <w:tblW w:w="9599" w:type="dxa"/>
        <w:jc w:val="center"/>
        <w:tblLayout w:type="fixed"/>
        <w:tblLook w:val="04A0" w:firstRow="1" w:lastRow="0" w:firstColumn="1" w:lastColumn="0" w:noHBand="0" w:noVBand="1"/>
      </w:tblPr>
      <w:tblGrid>
        <w:gridCol w:w="2801"/>
        <w:gridCol w:w="1594"/>
        <w:gridCol w:w="1559"/>
        <w:gridCol w:w="1559"/>
        <w:gridCol w:w="992"/>
        <w:gridCol w:w="1094"/>
      </w:tblGrid>
      <w:tr w:rsidR="00CC3835" w14:paraId="070F843E" w14:textId="77777777">
        <w:trPr>
          <w:trHeight w:val="379"/>
          <w:jc w:val="center"/>
        </w:trPr>
        <w:tc>
          <w:tcPr>
            <w:tcW w:w="2801" w:type="dxa"/>
            <w:vMerge w:val="restart"/>
            <w:tcBorders>
              <w:top w:val="single" w:sz="4" w:space="0" w:color="000000"/>
              <w:left w:val="nil"/>
              <w:bottom w:val="single" w:sz="4" w:space="0" w:color="auto"/>
              <w:right w:val="nil"/>
            </w:tcBorders>
            <w:noWrap/>
            <w:vAlign w:val="center"/>
          </w:tcPr>
          <w:p w14:paraId="35791122"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lastRenderedPageBreak/>
              <w:t>Outcomes</w:t>
            </w:r>
          </w:p>
        </w:tc>
        <w:tc>
          <w:tcPr>
            <w:tcW w:w="4712" w:type="dxa"/>
            <w:gridSpan w:val="3"/>
            <w:tcBorders>
              <w:top w:val="single" w:sz="4" w:space="0" w:color="000000"/>
              <w:left w:val="nil"/>
              <w:bottom w:val="single" w:sz="4" w:space="0" w:color="auto"/>
              <w:right w:val="nil"/>
            </w:tcBorders>
            <w:noWrap/>
            <w:vAlign w:val="center"/>
          </w:tcPr>
          <w:p w14:paraId="0093032C"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C-statistic (95% CI)</w:t>
            </w:r>
          </w:p>
        </w:tc>
        <w:tc>
          <w:tcPr>
            <w:tcW w:w="2086" w:type="dxa"/>
            <w:gridSpan w:val="2"/>
            <w:tcBorders>
              <w:top w:val="single" w:sz="4" w:space="0" w:color="000000"/>
              <w:left w:val="nil"/>
              <w:bottom w:val="single" w:sz="4" w:space="0" w:color="auto"/>
              <w:right w:val="nil"/>
            </w:tcBorders>
            <w:noWrap/>
            <w:vAlign w:val="center"/>
          </w:tcPr>
          <w:p w14:paraId="22ED5CD8" w14:textId="77777777" w:rsidR="00CC3835" w:rsidRDefault="00256BAA">
            <w:pPr>
              <w:jc w:val="center"/>
              <w:textAlignment w:val="center"/>
              <w:rPr>
                <w:rFonts w:ascii="Times New Roman" w:hAnsi="Times New Roman"/>
                <w:color w:val="000000" w:themeColor="text1"/>
                <w:sz w:val="16"/>
                <w:szCs w:val="16"/>
              </w:rPr>
            </w:pPr>
            <w:r>
              <w:rPr>
                <w:rFonts w:ascii="Times New Roman Italic" w:hAnsi="Times New Roman Italic" w:cs="Times New Roman Italic"/>
                <w:i/>
                <w:iCs/>
                <w:color w:val="000000" w:themeColor="text1"/>
                <w:sz w:val="16"/>
                <w:szCs w:val="16"/>
              </w:rPr>
              <w:t>p</w:t>
            </w:r>
            <w:r>
              <w:rPr>
                <w:rFonts w:ascii="Times New Roman" w:hAnsi="Times New Roman" w:hint="eastAsia"/>
                <w:color w:val="000000" w:themeColor="text1"/>
                <w:sz w:val="16"/>
                <w:szCs w:val="16"/>
              </w:rPr>
              <w:t>-value</w:t>
            </w:r>
          </w:p>
        </w:tc>
      </w:tr>
      <w:tr w:rsidR="00CC3835" w14:paraId="5BDB99B1" w14:textId="77777777">
        <w:trPr>
          <w:trHeight w:val="379"/>
          <w:jc w:val="center"/>
        </w:trPr>
        <w:tc>
          <w:tcPr>
            <w:tcW w:w="2801" w:type="dxa"/>
            <w:vMerge/>
            <w:tcBorders>
              <w:top w:val="single" w:sz="4" w:space="0" w:color="auto"/>
              <w:left w:val="nil"/>
              <w:bottom w:val="single" w:sz="4" w:space="0" w:color="000000"/>
              <w:right w:val="nil"/>
            </w:tcBorders>
            <w:noWrap/>
            <w:vAlign w:val="center"/>
          </w:tcPr>
          <w:p w14:paraId="7950FF39" w14:textId="77777777" w:rsidR="00CC3835" w:rsidRDefault="00CC3835">
            <w:pPr>
              <w:jc w:val="center"/>
              <w:rPr>
                <w:rFonts w:ascii="Times New Roman" w:eastAsia="Times New Roman Regular" w:hAnsi="Times New Roman"/>
                <w:color w:val="000000" w:themeColor="text1"/>
                <w:sz w:val="16"/>
                <w:szCs w:val="16"/>
              </w:rPr>
            </w:pPr>
          </w:p>
        </w:tc>
        <w:tc>
          <w:tcPr>
            <w:tcW w:w="1594" w:type="dxa"/>
            <w:tcBorders>
              <w:top w:val="single" w:sz="4" w:space="0" w:color="auto"/>
              <w:left w:val="nil"/>
              <w:bottom w:val="single" w:sz="4" w:space="0" w:color="000000"/>
              <w:right w:val="nil"/>
            </w:tcBorders>
            <w:noWrap/>
            <w:vAlign w:val="center"/>
          </w:tcPr>
          <w:p w14:paraId="335C14D9"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RPP</w:t>
            </w:r>
          </w:p>
        </w:tc>
        <w:tc>
          <w:tcPr>
            <w:tcW w:w="1559" w:type="dxa"/>
            <w:tcBorders>
              <w:top w:val="single" w:sz="4" w:space="0" w:color="auto"/>
              <w:left w:val="nil"/>
              <w:bottom w:val="single" w:sz="4" w:space="0" w:color="000000"/>
              <w:right w:val="nil"/>
            </w:tcBorders>
            <w:noWrap/>
            <w:vAlign w:val="center"/>
          </w:tcPr>
          <w:p w14:paraId="6E989089"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HR</w:t>
            </w:r>
          </w:p>
        </w:tc>
        <w:tc>
          <w:tcPr>
            <w:tcW w:w="1559" w:type="dxa"/>
            <w:tcBorders>
              <w:top w:val="single" w:sz="4" w:space="0" w:color="auto"/>
              <w:left w:val="nil"/>
              <w:bottom w:val="single" w:sz="4" w:space="0" w:color="000000"/>
              <w:right w:val="nil"/>
            </w:tcBorders>
            <w:noWrap/>
            <w:vAlign w:val="center"/>
          </w:tcPr>
          <w:p w14:paraId="6DEDD173"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SBP</w:t>
            </w:r>
          </w:p>
        </w:tc>
        <w:tc>
          <w:tcPr>
            <w:tcW w:w="992" w:type="dxa"/>
            <w:tcBorders>
              <w:top w:val="single" w:sz="4" w:space="0" w:color="auto"/>
              <w:left w:val="nil"/>
              <w:bottom w:val="single" w:sz="4" w:space="0" w:color="000000"/>
              <w:right w:val="nil"/>
            </w:tcBorders>
            <w:noWrap/>
            <w:vAlign w:val="center"/>
          </w:tcPr>
          <w:p w14:paraId="57892861"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RPP vs. HR</w:t>
            </w:r>
          </w:p>
        </w:tc>
        <w:tc>
          <w:tcPr>
            <w:tcW w:w="1094" w:type="dxa"/>
            <w:tcBorders>
              <w:top w:val="single" w:sz="4" w:space="0" w:color="auto"/>
              <w:left w:val="nil"/>
              <w:bottom w:val="single" w:sz="4" w:space="0" w:color="000000"/>
              <w:right w:val="nil"/>
            </w:tcBorders>
            <w:noWrap/>
            <w:vAlign w:val="center"/>
          </w:tcPr>
          <w:p w14:paraId="43DEF7F7"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RPP vs. SBP</w:t>
            </w:r>
          </w:p>
        </w:tc>
      </w:tr>
      <w:tr w:rsidR="00CC3835" w14:paraId="37F3E13B" w14:textId="77777777">
        <w:trPr>
          <w:trHeight w:val="446"/>
          <w:jc w:val="center"/>
        </w:trPr>
        <w:tc>
          <w:tcPr>
            <w:tcW w:w="2801" w:type="dxa"/>
            <w:tcBorders>
              <w:top w:val="nil"/>
              <w:left w:val="nil"/>
              <w:bottom w:val="nil"/>
              <w:right w:val="nil"/>
            </w:tcBorders>
            <w:noWrap/>
            <w:vAlign w:val="center"/>
          </w:tcPr>
          <w:p w14:paraId="12A408C6" w14:textId="77777777" w:rsidR="00CC3835" w:rsidRDefault="00256BAA">
            <w:pPr>
              <w:jc w:val="left"/>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90-day unfavorable functional outcome</w:t>
            </w:r>
          </w:p>
        </w:tc>
        <w:tc>
          <w:tcPr>
            <w:tcW w:w="1594" w:type="dxa"/>
            <w:tcBorders>
              <w:top w:val="nil"/>
              <w:left w:val="nil"/>
              <w:bottom w:val="nil"/>
              <w:right w:val="nil"/>
            </w:tcBorders>
            <w:noWrap/>
            <w:vAlign w:val="center"/>
          </w:tcPr>
          <w:p w14:paraId="39F155D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0.643 (0.613</w:t>
            </w:r>
            <w:bookmarkStart w:id="51" w:name="OLE_LINK116"/>
            <w:r>
              <w:rPr>
                <w:rFonts w:ascii="Times New Roman" w:eastAsia="Times New Roman Regular" w:hAnsi="Times New Roman"/>
                <w:color w:val="000000" w:themeColor="text1"/>
                <w:sz w:val="16"/>
                <w:szCs w:val="16"/>
                <w:lang w:bidi="ar"/>
              </w:rPr>
              <w:t>–</w:t>
            </w:r>
            <w:bookmarkEnd w:id="51"/>
            <w:r>
              <w:rPr>
                <w:rFonts w:ascii="Times New Roman" w:eastAsia="Times New Roman Regular" w:hAnsi="Times New Roman"/>
                <w:color w:val="000000" w:themeColor="text1"/>
                <w:sz w:val="16"/>
                <w:szCs w:val="16"/>
                <w:lang w:bidi="ar"/>
              </w:rPr>
              <w:t>0.673)</w:t>
            </w:r>
          </w:p>
        </w:tc>
        <w:tc>
          <w:tcPr>
            <w:tcW w:w="1559" w:type="dxa"/>
            <w:tcBorders>
              <w:top w:val="nil"/>
              <w:left w:val="nil"/>
              <w:bottom w:val="nil"/>
              <w:right w:val="nil"/>
            </w:tcBorders>
            <w:noWrap/>
            <w:vAlign w:val="center"/>
          </w:tcPr>
          <w:p w14:paraId="7A77F97D"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0.614 (0.583–0.645)</w:t>
            </w:r>
          </w:p>
        </w:tc>
        <w:tc>
          <w:tcPr>
            <w:tcW w:w="1559" w:type="dxa"/>
            <w:tcBorders>
              <w:top w:val="nil"/>
              <w:left w:val="nil"/>
              <w:bottom w:val="nil"/>
              <w:right w:val="nil"/>
            </w:tcBorders>
            <w:noWrap/>
            <w:vAlign w:val="center"/>
          </w:tcPr>
          <w:p w14:paraId="67AB3A6D"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0.604 (0.574–0.635)</w:t>
            </w:r>
          </w:p>
        </w:tc>
        <w:tc>
          <w:tcPr>
            <w:tcW w:w="992" w:type="dxa"/>
            <w:tcBorders>
              <w:top w:val="nil"/>
              <w:left w:val="nil"/>
              <w:bottom w:val="nil"/>
              <w:right w:val="nil"/>
            </w:tcBorders>
            <w:noWrap/>
            <w:vAlign w:val="center"/>
          </w:tcPr>
          <w:p w14:paraId="2EED57C4"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0.015 </w:t>
            </w:r>
          </w:p>
        </w:tc>
        <w:tc>
          <w:tcPr>
            <w:tcW w:w="1094" w:type="dxa"/>
            <w:tcBorders>
              <w:top w:val="nil"/>
              <w:left w:val="nil"/>
              <w:bottom w:val="nil"/>
              <w:right w:val="nil"/>
            </w:tcBorders>
            <w:noWrap/>
            <w:vAlign w:val="center"/>
          </w:tcPr>
          <w:p w14:paraId="624CD0D2"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0.001 </w:t>
            </w:r>
          </w:p>
        </w:tc>
      </w:tr>
      <w:tr w:rsidR="00CC3835" w14:paraId="46EECA78" w14:textId="77777777">
        <w:trPr>
          <w:trHeight w:val="410"/>
          <w:jc w:val="center"/>
        </w:trPr>
        <w:tc>
          <w:tcPr>
            <w:tcW w:w="2801" w:type="dxa"/>
            <w:tcBorders>
              <w:top w:val="nil"/>
              <w:left w:val="nil"/>
              <w:bottom w:val="nil"/>
              <w:right w:val="nil"/>
            </w:tcBorders>
            <w:noWrap/>
            <w:vAlign w:val="center"/>
          </w:tcPr>
          <w:p w14:paraId="22145F37" w14:textId="77777777" w:rsidR="00CC3835" w:rsidRDefault="00256BAA">
            <w:pPr>
              <w:jc w:val="left"/>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1-year unfavorable functional outcome</w:t>
            </w:r>
          </w:p>
        </w:tc>
        <w:tc>
          <w:tcPr>
            <w:tcW w:w="1594" w:type="dxa"/>
            <w:tcBorders>
              <w:top w:val="nil"/>
              <w:left w:val="nil"/>
              <w:bottom w:val="nil"/>
              <w:right w:val="nil"/>
            </w:tcBorders>
            <w:noWrap/>
            <w:vAlign w:val="center"/>
          </w:tcPr>
          <w:p w14:paraId="02957F1A"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0.637 (0.606–0.669)</w:t>
            </w:r>
          </w:p>
        </w:tc>
        <w:tc>
          <w:tcPr>
            <w:tcW w:w="1559" w:type="dxa"/>
            <w:tcBorders>
              <w:top w:val="nil"/>
              <w:left w:val="nil"/>
              <w:bottom w:val="nil"/>
              <w:right w:val="nil"/>
            </w:tcBorders>
            <w:noWrap/>
            <w:vAlign w:val="center"/>
          </w:tcPr>
          <w:p w14:paraId="3C39ABD0"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0.612 (0.578–0.645)</w:t>
            </w:r>
          </w:p>
        </w:tc>
        <w:tc>
          <w:tcPr>
            <w:tcW w:w="1559" w:type="dxa"/>
            <w:tcBorders>
              <w:top w:val="nil"/>
              <w:left w:val="nil"/>
              <w:bottom w:val="nil"/>
              <w:right w:val="nil"/>
            </w:tcBorders>
            <w:noWrap/>
            <w:vAlign w:val="center"/>
          </w:tcPr>
          <w:p w14:paraId="0B811A38"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0.597 (0.565–0.629)</w:t>
            </w:r>
          </w:p>
        </w:tc>
        <w:tc>
          <w:tcPr>
            <w:tcW w:w="992" w:type="dxa"/>
            <w:tcBorders>
              <w:top w:val="nil"/>
              <w:left w:val="nil"/>
              <w:bottom w:val="nil"/>
              <w:right w:val="nil"/>
            </w:tcBorders>
            <w:noWrap/>
            <w:vAlign w:val="center"/>
          </w:tcPr>
          <w:p w14:paraId="72D77DA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0.035 </w:t>
            </w:r>
          </w:p>
        </w:tc>
        <w:tc>
          <w:tcPr>
            <w:tcW w:w="1094" w:type="dxa"/>
            <w:tcBorders>
              <w:top w:val="nil"/>
              <w:left w:val="nil"/>
              <w:bottom w:val="nil"/>
              <w:right w:val="nil"/>
            </w:tcBorders>
            <w:noWrap/>
            <w:vAlign w:val="center"/>
          </w:tcPr>
          <w:p w14:paraId="4FFD63E9"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0.001 </w:t>
            </w:r>
          </w:p>
        </w:tc>
      </w:tr>
      <w:tr w:rsidR="00CC3835" w14:paraId="159FEB34" w14:textId="77777777">
        <w:trPr>
          <w:trHeight w:val="410"/>
          <w:jc w:val="center"/>
        </w:trPr>
        <w:tc>
          <w:tcPr>
            <w:tcW w:w="2801" w:type="dxa"/>
            <w:tcBorders>
              <w:top w:val="nil"/>
              <w:left w:val="nil"/>
              <w:bottom w:val="nil"/>
              <w:right w:val="nil"/>
            </w:tcBorders>
            <w:noWrap/>
            <w:vAlign w:val="center"/>
          </w:tcPr>
          <w:p w14:paraId="51DA3BDA" w14:textId="77777777" w:rsidR="00CC3835" w:rsidRDefault="00256BAA">
            <w:pPr>
              <w:jc w:val="left"/>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90-day </w:t>
            </w:r>
            <w:r>
              <w:rPr>
                <w:rFonts w:ascii="Times New Roman" w:hAnsi="Times New Roman" w:hint="eastAsia"/>
                <w:color w:val="000000" w:themeColor="text1"/>
                <w:sz w:val="16"/>
                <w:szCs w:val="16"/>
                <w:lang w:bidi="ar"/>
              </w:rPr>
              <w:t xml:space="preserve">all-cause </w:t>
            </w:r>
            <w:r>
              <w:rPr>
                <w:rFonts w:ascii="Times New Roman" w:eastAsia="Times New Roman Regular" w:hAnsi="Times New Roman"/>
                <w:color w:val="000000" w:themeColor="text1"/>
                <w:sz w:val="16"/>
                <w:szCs w:val="16"/>
                <w:lang w:bidi="ar"/>
              </w:rPr>
              <w:t>mortality</w:t>
            </w:r>
          </w:p>
        </w:tc>
        <w:tc>
          <w:tcPr>
            <w:tcW w:w="1594" w:type="dxa"/>
            <w:tcBorders>
              <w:top w:val="nil"/>
              <w:left w:val="nil"/>
              <w:bottom w:val="nil"/>
              <w:right w:val="nil"/>
            </w:tcBorders>
            <w:noWrap/>
            <w:vAlign w:val="center"/>
          </w:tcPr>
          <w:p w14:paraId="3C37075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0.668 (0.630–0.706)</w:t>
            </w:r>
          </w:p>
        </w:tc>
        <w:tc>
          <w:tcPr>
            <w:tcW w:w="1559" w:type="dxa"/>
            <w:tcBorders>
              <w:top w:val="nil"/>
              <w:left w:val="nil"/>
              <w:bottom w:val="nil"/>
              <w:right w:val="nil"/>
            </w:tcBorders>
            <w:noWrap/>
            <w:vAlign w:val="center"/>
          </w:tcPr>
          <w:p w14:paraId="26226D94"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0.638 (0.597–0.678)</w:t>
            </w:r>
          </w:p>
        </w:tc>
        <w:tc>
          <w:tcPr>
            <w:tcW w:w="1559" w:type="dxa"/>
            <w:tcBorders>
              <w:top w:val="nil"/>
              <w:left w:val="nil"/>
              <w:bottom w:val="nil"/>
              <w:right w:val="nil"/>
            </w:tcBorders>
            <w:noWrap/>
            <w:vAlign w:val="center"/>
          </w:tcPr>
          <w:p w14:paraId="11D284BC"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0.623 (0.584–0.662)</w:t>
            </w:r>
          </w:p>
        </w:tc>
        <w:tc>
          <w:tcPr>
            <w:tcW w:w="992" w:type="dxa"/>
            <w:tcBorders>
              <w:top w:val="nil"/>
              <w:left w:val="nil"/>
              <w:bottom w:val="nil"/>
              <w:right w:val="nil"/>
            </w:tcBorders>
            <w:noWrap/>
            <w:vAlign w:val="center"/>
          </w:tcPr>
          <w:p w14:paraId="543ADC17"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0.039 </w:t>
            </w:r>
          </w:p>
        </w:tc>
        <w:tc>
          <w:tcPr>
            <w:tcW w:w="1094" w:type="dxa"/>
            <w:tcBorders>
              <w:top w:val="nil"/>
              <w:left w:val="nil"/>
              <w:bottom w:val="nil"/>
              <w:right w:val="nil"/>
            </w:tcBorders>
            <w:noWrap/>
            <w:vAlign w:val="center"/>
          </w:tcPr>
          <w:p w14:paraId="711A363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0.003 </w:t>
            </w:r>
          </w:p>
        </w:tc>
      </w:tr>
      <w:tr w:rsidR="00CC3835" w14:paraId="4CE4F520" w14:textId="77777777">
        <w:trPr>
          <w:trHeight w:val="446"/>
          <w:jc w:val="center"/>
        </w:trPr>
        <w:tc>
          <w:tcPr>
            <w:tcW w:w="2801" w:type="dxa"/>
            <w:tcBorders>
              <w:top w:val="nil"/>
              <w:left w:val="nil"/>
              <w:bottom w:val="single" w:sz="4" w:space="0" w:color="000000"/>
              <w:right w:val="nil"/>
            </w:tcBorders>
            <w:noWrap/>
            <w:vAlign w:val="center"/>
          </w:tcPr>
          <w:p w14:paraId="330ED4FA" w14:textId="77777777" w:rsidR="00CC3835" w:rsidRDefault="00256BAA">
            <w:pPr>
              <w:jc w:val="left"/>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1-year </w:t>
            </w:r>
            <w:r>
              <w:rPr>
                <w:rFonts w:ascii="Times New Roman" w:hAnsi="Times New Roman" w:hint="eastAsia"/>
                <w:color w:val="000000" w:themeColor="text1"/>
                <w:sz w:val="16"/>
                <w:szCs w:val="16"/>
                <w:lang w:bidi="ar"/>
              </w:rPr>
              <w:t xml:space="preserve">all-cause </w:t>
            </w:r>
            <w:r>
              <w:rPr>
                <w:rFonts w:ascii="Times New Roman" w:eastAsia="Times New Roman Regular" w:hAnsi="Times New Roman"/>
                <w:color w:val="000000" w:themeColor="text1"/>
                <w:sz w:val="16"/>
                <w:szCs w:val="16"/>
                <w:lang w:bidi="ar"/>
              </w:rPr>
              <w:t>mortality</w:t>
            </w:r>
          </w:p>
        </w:tc>
        <w:tc>
          <w:tcPr>
            <w:tcW w:w="1594" w:type="dxa"/>
            <w:tcBorders>
              <w:top w:val="nil"/>
              <w:left w:val="nil"/>
              <w:bottom w:val="single" w:sz="4" w:space="0" w:color="000000"/>
              <w:right w:val="nil"/>
            </w:tcBorders>
            <w:noWrap/>
            <w:vAlign w:val="center"/>
          </w:tcPr>
          <w:p w14:paraId="5B0D3F4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0.650 </w:t>
            </w:r>
            <w:r>
              <w:rPr>
                <w:rFonts w:ascii="Times New Roman" w:eastAsia="Times New Roman Regular" w:hAnsi="Times New Roman"/>
                <w:color w:val="000000" w:themeColor="text1"/>
                <w:sz w:val="16"/>
                <w:szCs w:val="16"/>
                <w:lang w:bidi="ar"/>
              </w:rPr>
              <w:t>(0.614–0.686)</w:t>
            </w:r>
          </w:p>
        </w:tc>
        <w:tc>
          <w:tcPr>
            <w:tcW w:w="1559" w:type="dxa"/>
            <w:tcBorders>
              <w:top w:val="nil"/>
              <w:left w:val="nil"/>
              <w:bottom w:val="single" w:sz="4" w:space="0" w:color="000000"/>
              <w:right w:val="nil"/>
            </w:tcBorders>
            <w:noWrap/>
            <w:vAlign w:val="center"/>
          </w:tcPr>
          <w:p w14:paraId="26426DED"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0.619 (0.581–0.656)</w:t>
            </w:r>
          </w:p>
        </w:tc>
        <w:tc>
          <w:tcPr>
            <w:tcW w:w="1559" w:type="dxa"/>
            <w:tcBorders>
              <w:top w:val="nil"/>
              <w:left w:val="nil"/>
              <w:bottom w:val="single" w:sz="4" w:space="0" w:color="000000"/>
              <w:right w:val="nil"/>
            </w:tcBorders>
            <w:noWrap/>
            <w:vAlign w:val="center"/>
          </w:tcPr>
          <w:p w14:paraId="5D7FE7BA"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0.611 (0.575–0.647)</w:t>
            </w:r>
          </w:p>
        </w:tc>
        <w:tc>
          <w:tcPr>
            <w:tcW w:w="992" w:type="dxa"/>
            <w:tcBorders>
              <w:top w:val="nil"/>
              <w:left w:val="nil"/>
              <w:bottom w:val="single" w:sz="4" w:space="0" w:color="000000"/>
              <w:right w:val="nil"/>
            </w:tcBorders>
            <w:noWrap/>
            <w:vAlign w:val="center"/>
          </w:tcPr>
          <w:p w14:paraId="0EE9A11E"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0.023 </w:t>
            </w:r>
          </w:p>
        </w:tc>
        <w:tc>
          <w:tcPr>
            <w:tcW w:w="1094" w:type="dxa"/>
            <w:tcBorders>
              <w:top w:val="nil"/>
              <w:left w:val="nil"/>
              <w:bottom w:val="single" w:sz="4" w:space="0" w:color="000000"/>
              <w:right w:val="nil"/>
            </w:tcBorders>
            <w:noWrap/>
            <w:vAlign w:val="center"/>
          </w:tcPr>
          <w:p w14:paraId="33D6A782" w14:textId="77777777" w:rsidR="00CC3835" w:rsidRDefault="00256BAA">
            <w:pPr>
              <w:jc w:val="center"/>
              <w:textAlignment w:val="center"/>
              <w:rPr>
                <w:rFonts w:ascii="Times New Roman" w:eastAsia="Times New Roman Regular" w:hAnsi="Times New Roman"/>
                <w:color w:val="000000" w:themeColor="text1"/>
                <w:sz w:val="16"/>
                <w:szCs w:val="16"/>
              </w:rPr>
            </w:pPr>
            <w:r>
              <w:rPr>
                <w:rFonts w:ascii="Times New Roman" w:eastAsia="Times New Roman Regular" w:hAnsi="Times New Roman"/>
                <w:color w:val="000000" w:themeColor="text1"/>
                <w:sz w:val="16"/>
                <w:szCs w:val="16"/>
                <w:lang w:bidi="ar"/>
              </w:rPr>
              <w:t xml:space="preserve">0.006 </w:t>
            </w:r>
          </w:p>
        </w:tc>
      </w:tr>
    </w:tbl>
    <w:p w14:paraId="069CB0BC" w14:textId="77777777" w:rsidR="00CC3835" w:rsidRDefault="00256BAA">
      <w:pPr>
        <w:pStyle w:val="Tablefooter"/>
        <w:rPr>
          <w:color w:val="000000" w:themeColor="text1"/>
        </w:rPr>
      </w:pPr>
      <w:r>
        <w:rPr>
          <w:rFonts w:eastAsia="Times New Roman Regular"/>
          <w:color w:val="000000" w:themeColor="text1"/>
        </w:rPr>
        <w:t>Abbreviations: CI, confidence interval; HR, heart rate; RPP, Rate-pressure product; SBP, systolic blood pressure.</w:t>
      </w:r>
    </w:p>
    <w:p w14:paraId="4434C32F" w14:textId="77777777" w:rsidR="00CC3835" w:rsidRDefault="00256BAA">
      <w:pPr>
        <w:pStyle w:val="1"/>
        <w:rPr>
          <w:color w:val="000000" w:themeColor="text1"/>
        </w:rPr>
      </w:pPr>
      <w:bookmarkStart w:id="52" w:name="OLE_LINK14"/>
      <w:bookmarkStart w:id="53" w:name="OLE_LINK80"/>
      <w:bookmarkStart w:id="54" w:name="OLE_LINK24"/>
      <w:bookmarkEnd w:id="42"/>
      <w:bookmarkEnd w:id="50"/>
      <w:r>
        <w:rPr>
          <w:color w:val="000000" w:themeColor="text1"/>
        </w:rPr>
        <w:t>4. Discussion</w:t>
      </w:r>
    </w:p>
    <w:p w14:paraId="3730C654" w14:textId="77777777" w:rsidR="00CC3835" w:rsidRDefault="00256BAA">
      <w:pPr>
        <w:pStyle w:val="Text"/>
        <w:ind w:firstLine="420"/>
        <w:rPr>
          <w:color w:val="000000" w:themeColor="text1"/>
        </w:rPr>
      </w:pPr>
      <w:bookmarkStart w:id="55" w:name="OLE_LINK23"/>
      <w:bookmarkStart w:id="56" w:name="OLE_LINK62"/>
      <w:r>
        <w:rPr>
          <w:color w:val="000000" w:themeColor="text1"/>
        </w:rPr>
        <w:t xml:space="preserve">In this large, multicenter, prospective cohort study, we </w:t>
      </w:r>
      <w:r>
        <w:rPr>
          <w:color w:val="000000" w:themeColor="text1"/>
        </w:rPr>
        <w:t>systematically demonstrated that (1) RPP was independently associated with long-term unfavorable functional outcome and all-cause mortality in patients with acute ICH; (2) RPP exhibited greater predictive performance compared with either HR or SBP alone; a</w:t>
      </w:r>
      <w:r>
        <w:rPr>
          <w:color w:val="000000" w:themeColor="text1"/>
        </w:rPr>
        <w:t>nd (3) the adverse prognostic risk</w:t>
      </w:r>
      <w:r>
        <w:rPr>
          <w:rFonts w:hint="eastAsia"/>
          <w:color w:val="000000" w:themeColor="text1"/>
        </w:rPr>
        <w:t xml:space="preserve"> </w:t>
      </w:r>
      <w:r>
        <w:rPr>
          <w:color w:val="000000" w:themeColor="text1"/>
        </w:rPr>
        <w:t xml:space="preserve">associated with high RPP was </w:t>
      </w:r>
      <w:r>
        <w:rPr>
          <w:rFonts w:hint="eastAsia"/>
          <w:color w:val="000000" w:themeColor="text1"/>
        </w:rPr>
        <w:t>mitigated</w:t>
      </w:r>
      <w:r>
        <w:rPr>
          <w:color w:val="000000" w:themeColor="text1"/>
        </w:rPr>
        <w:t xml:space="preserve"> by in-hospital β-blocker treatment. </w:t>
      </w:r>
      <w:bookmarkEnd w:id="55"/>
      <w:r>
        <w:rPr>
          <w:rFonts w:hint="eastAsia"/>
          <w:color w:val="000000" w:themeColor="text1"/>
        </w:rPr>
        <w:t xml:space="preserve">Collectively, these findings </w:t>
      </w:r>
      <w:r>
        <w:rPr>
          <w:color w:val="000000" w:themeColor="text1"/>
        </w:rPr>
        <w:t xml:space="preserve">identify elevated early cardiac workload as a potent prognostic factor for poor long-term outcomes following ICH. </w:t>
      </w:r>
    </w:p>
    <w:bookmarkEnd w:id="52"/>
    <w:bookmarkEnd w:id="56"/>
    <w:p w14:paraId="65355FB4" w14:textId="77777777" w:rsidR="00CC3835" w:rsidRDefault="00CC3835">
      <w:pPr>
        <w:pStyle w:val="Text"/>
        <w:ind w:firstLine="420"/>
        <w:rPr>
          <w:color w:val="000000" w:themeColor="text1"/>
        </w:rPr>
      </w:pPr>
    </w:p>
    <w:p w14:paraId="4BA55867" w14:textId="77777777" w:rsidR="00CC3835" w:rsidRDefault="00256BAA">
      <w:pPr>
        <w:pStyle w:val="Text"/>
        <w:ind w:firstLine="420"/>
        <w:rPr>
          <w:color w:val="000000" w:themeColor="text1"/>
        </w:rPr>
      </w:pPr>
      <w:bookmarkStart w:id="57" w:name="OLE_LINK90"/>
      <w:r>
        <w:rPr>
          <w:color w:val="000000" w:themeColor="text1"/>
        </w:rPr>
        <w:t>A</w:t>
      </w:r>
      <w:r>
        <w:rPr>
          <w:color w:val="000000" w:themeColor="text1"/>
        </w:rPr>
        <w:t xml:space="preserve">lthough the precise mechanisms linking cardiac workload to ICH prognosis remain incompletely understood, we postulate that </w:t>
      </w:r>
      <w:r>
        <w:rPr>
          <w:rFonts w:eastAsia="宋体" w:hint="eastAsia"/>
          <w:color w:val="000000" w:themeColor="text1"/>
          <w:lang w:eastAsia="zh-CN"/>
        </w:rPr>
        <w:t xml:space="preserve">the </w:t>
      </w:r>
      <w:r>
        <w:rPr>
          <w:color w:val="000000" w:themeColor="text1"/>
        </w:rPr>
        <w:t>pathological activation of the brain-heart axis plays a pivotal role. First, the mass effect of the hematoma and surrounding edem</w:t>
      </w:r>
      <w:r>
        <w:rPr>
          <w:color w:val="000000" w:themeColor="text1"/>
        </w:rPr>
        <w:t xml:space="preserve">a, </w:t>
      </w:r>
      <w:r>
        <w:rPr>
          <w:rFonts w:hint="eastAsia"/>
          <w:color w:val="000000" w:themeColor="text1"/>
        </w:rPr>
        <w:t>along</w:t>
      </w:r>
      <w:r>
        <w:rPr>
          <w:color w:val="000000" w:themeColor="text1"/>
        </w:rPr>
        <w:t xml:space="preserve"> with the toxic effects of blood breakdown products, </w:t>
      </w:r>
      <w:r>
        <w:rPr>
          <w:rFonts w:hint="eastAsia"/>
          <w:color w:val="000000" w:themeColor="text1"/>
        </w:rPr>
        <w:t>may</w:t>
      </w:r>
      <w:r>
        <w:rPr>
          <w:color w:val="000000" w:themeColor="text1"/>
        </w:rPr>
        <w:t xml:space="preserve"> structurally and functionally compromise</w:t>
      </w:r>
      <w:r>
        <w:rPr>
          <w:rFonts w:hint="eastAsia"/>
          <w:color w:val="000000" w:themeColor="text1"/>
        </w:rPr>
        <w:t xml:space="preserve"> </w:t>
      </w:r>
      <w:r>
        <w:rPr>
          <w:color w:val="000000" w:themeColor="text1"/>
        </w:rPr>
        <w:t xml:space="preserve">the central autonomic network (CAN) [24]. </w:t>
      </w:r>
      <w:bookmarkStart w:id="58" w:name="OLE_LINK43"/>
      <w:r>
        <w:rPr>
          <w:color w:val="000000" w:themeColor="text1"/>
          <w:lang w:bidi="ar"/>
        </w:rPr>
        <w:t xml:space="preserve">This injury </w:t>
      </w:r>
      <w:r>
        <w:rPr>
          <w:rFonts w:hint="eastAsia"/>
          <w:color w:val="000000" w:themeColor="text1"/>
          <w:lang w:bidi="ar"/>
        </w:rPr>
        <w:t xml:space="preserve">can </w:t>
      </w:r>
      <w:r>
        <w:rPr>
          <w:color w:val="000000" w:themeColor="text1"/>
          <w:lang w:bidi="ar"/>
        </w:rPr>
        <w:t xml:space="preserve">lead to the disinhibition of </w:t>
      </w:r>
      <w:proofErr w:type="spellStart"/>
      <w:r>
        <w:rPr>
          <w:color w:val="000000" w:themeColor="text1"/>
          <w:lang w:bidi="ar"/>
        </w:rPr>
        <w:t>sympatho</w:t>
      </w:r>
      <w:proofErr w:type="spellEnd"/>
      <w:r>
        <w:rPr>
          <w:color w:val="000000" w:themeColor="text1"/>
          <w:lang w:bidi="ar"/>
        </w:rPr>
        <w:t>-excitatory centers</w:t>
      </w:r>
      <w:r>
        <w:rPr>
          <w:rFonts w:eastAsia="宋体" w:hint="eastAsia"/>
          <w:color w:val="000000" w:themeColor="text1"/>
          <w:lang w:eastAsia="zh-CN" w:bidi="ar"/>
        </w:rPr>
        <w:t xml:space="preserve">, </w:t>
      </w:r>
      <w:r>
        <w:rPr>
          <w:color w:val="000000" w:themeColor="text1"/>
          <w:lang w:bidi="ar"/>
        </w:rPr>
        <w:t>precipitat</w:t>
      </w:r>
      <w:r>
        <w:rPr>
          <w:rFonts w:eastAsia="宋体" w:hint="eastAsia"/>
          <w:color w:val="000000" w:themeColor="text1"/>
          <w:lang w:eastAsia="zh-CN" w:bidi="ar"/>
        </w:rPr>
        <w:t>ing</w:t>
      </w:r>
      <w:r>
        <w:rPr>
          <w:color w:val="000000" w:themeColor="text1"/>
          <w:lang w:bidi="ar"/>
        </w:rPr>
        <w:t xml:space="preserve"> a</w:t>
      </w:r>
      <w:r>
        <w:rPr>
          <w:rFonts w:eastAsia="Google Sans Text"/>
          <w:color w:val="000000" w:themeColor="text1"/>
          <w:lang w:bidi="ar"/>
        </w:rPr>
        <w:t xml:space="preserve"> </w:t>
      </w:r>
      <w:bookmarkStart w:id="59" w:name="OLE_LINK85"/>
      <w:r>
        <w:rPr>
          <w:rFonts w:eastAsia="Google Sans Text"/>
          <w:color w:val="000000" w:themeColor="text1"/>
          <w:lang w:bidi="ar"/>
        </w:rPr>
        <w:t>hyperadrenergic st</w:t>
      </w:r>
      <w:r>
        <w:rPr>
          <w:rFonts w:eastAsia="Google Sans Text"/>
          <w:color w:val="000000" w:themeColor="text1"/>
          <w:lang w:bidi="ar"/>
        </w:rPr>
        <w:t>ate</w:t>
      </w:r>
      <w:bookmarkEnd w:id="58"/>
      <w:bookmarkEnd w:id="59"/>
      <w:r>
        <w:rPr>
          <w:rFonts w:eastAsia="Google Sans Text" w:hint="eastAsia"/>
          <w:color w:val="000000" w:themeColor="text1"/>
          <w:lang w:bidi="ar"/>
        </w:rPr>
        <w:t>.</w:t>
      </w:r>
      <w:r>
        <w:rPr>
          <w:rFonts w:eastAsia="Google Sans Text"/>
          <w:color w:val="000000" w:themeColor="text1"/>
        </w:rPr>
        <w:t xml:space="preserve"> </w:t>
      </w:r>
      <w:bookmarkStart w:id="60" w:name="OLE_LINK41"/>
      <w:bookmarkStart w:id="61" w:name="OLE_LINK27"/>
      <w:bookmarkStart w:id="62" w:name="OLE_LINK28"/>
      <w:r>
        <w:rPr>
          <w:rFonts w:eastAsia="Google Sans Text"/>
          <w:color w:val="000000" w:themeColor="text1"/>
        </w:rPr>
        <w:t>Such sympathetic hyperactivity has been shown to aggravate secondary brain injury by inducing disruption of the blood-brain barrier, exacerbati</w:t>
      </w:r>
      <w:r>
        <w:rPr>
          <w:rFonts w:eastAsia="Google Sans Text" w:hint="eastAsia"/>
          <w:color w:val="000000" w:themeColor="text1"/>
          <w:lang w:eastAsia="zh-CN"/>
        </w:rPr>
        <w:t>ng</w:t>
      </w:r>
      <w:r>
        <w:rPr>
          <w:rFonts w:eastAsia="Google Sans Text"/>
          <w:color w:val="000000" w:themeColor="text1"/>
        </w:rPr>
        <w:t xml:space="preserve"> perihematomal edema, and </w:t>
      </w:r>
      <w:r>
        <w:rPr>
          <w:rFonts w:eastAsia="Google Sans Text" w:hint="eastAsia"/>
          <w:color w:val="000000" w:themeColor="text1"/>
          <w:lang w:eastAsia="zh-CN"/>
        </w:rPr>
        <w:t xml:space="preserve">promoting </w:t>
      </w:r>
      <w:r>
        <w:rPr>
          <w:rFonts w:eastAsia="Google Sans Text"/>
          <w:color w:val="000000" w:themeColor="text1"/>
        </w:rPr>
        <w:t>a pro-inflammatory state</w:t>
      </w:r>
      <w:r>
        <w:rPr>
          <w:rFonts w:eastAsia="华文楷体"/>
          <w:color w:val="000000" w:themeColor="text1"/>
        </w:rPr>
        <w:t xml:space="preserve"> </w:t>
      </w:r>
      <w:r>
        <w:rPr>
          <w:color w:val="000000" w:themeColor="text1"/>
        </w:rPr>
        <w:t>[24–26]</w:t>
      </w:r>
      <w:r>
        <w:rPr>
          <w:rFonts w:eastAsia="华文楷体"/>
          <w:color w:val="000000" w:themeColor="text1"/>
        </w:rPr>
        <w:t xml:space="preserve">, </w:t>
      </w:r>
      <w:bookmarkEnd w:id="60"/>
      <w:r>
        <w:rPr>
          <w:rFonts w:eastAsia="华文楷体"/>
          <w:color w:val="000000" w:themeColor="text1"/>
        </w:rPr>
        <w:t xml:space="preserve">ultimately worsening patient prognosis </w:t>
      </w:r>
      <w:r>
        <w:rPr>
          <w:color w:val="000000" w:themeColor="text1"/>
        </w:rPr>
        <w:t>[27,28]</w:t>
      </w:r>
      <w:r>
        <w:rPr>
          <w:rFonts w:eastAsia="华文楷体"/>
          <w:color w:val="000000" w:themeColor="text1"/>
        </w:rPr>
        <w:t>.</w:t>
      </w:r>
      <w:bookmarkEnd w:id="57"/>
      <w:r>
        <w:rPr>
          <w:rFonts w:eastAsia="华文楷体"/>
          <w:color w:val="000000" w:themeColor="text1"/>
        </w:rPr>
        <w:t xml:space="preserve"> </w:t>
      </w:r>
      <w:bookmarkStart w:id="63" w:name="OLE_LINK25"/>
      <w:bookmarkEnd w:id="61"/>
      <w:r>
        <w:rPr>
          <w:color w:val="000000" w:themeColor="text1"/>
        </w:rPr>
        <w:t>Second, previous stud</w:t>
      </w:r>
      <w:r>
        <w:rPr>
          <w:rFonts w:hint="eastAsia"/>
          <w:color w:val="000000" w:themeColor="text1"/>
        </w:rPr>
        <w:t>ies</w:t>
      </w:r>
      <w:r>
        <w:rPr>
          <w:color w:val="000000" w:themeColor="text1"/>
        </w:rPr>
        <w:t xml:space="preserve"> </w:t>
      </w:r>
      <w:r>
        <w:rPr>
          <w:rFonts w:hint="eastAsia"/>
          <w:color w:val="000000" w:themeColor="text1"/>
        </w:rPr>
        <w:t>have demonstrated</w:t>
      </w:r>
      <w:r>
        <w:rPr>
          <w:color w:val="000000" w:themeColor="text1"/>
        </w:rPr>
        <w:t xml:space="preserve"> </w:t>
      </w:r>
      <w:r>
        <w:rPr>
          <w:rFonts w:hint="eastAsia"/>
          <w:color w:val="000000" w:themeColor="text1"/>
        </w:rPr>
        <w:t xml:space="preserve">that </w:t>
      </w:r>
      <w:r>
        <w:rPr>
          <w:color w:val="000000" w:themeColor="text1"/>
        </w:rPr>
        <w:t>stroke events c</w:t>
      </w:r>
      <w:r>
        <w:rPr>
          <w:rFonts w:hint="eastAsia"/>
          <w:color w:val="000000" w:themeColor="text1"/>
        </w:rPr>
        <w:t>an</w:t>
      </w:r>
      <w:r>
        <w:rPr>
          <w:color w:val="000000" w:themeColor="text1"/>
        </w:rPr>
        <w:t xml:space="preserve"> trigger neurovascular uncoupling and impair cerebral autoregulation, </w:t>
      </w:r>
      <w:r>
        <w:rPr>
          <w:rFonts w:eastAsia="宋体" w:hint="eastAsia"/>
          <w:color w:val="000000" w:themeColor="text1"/>
          <w:lang w:eastAsia="zh-CN"/>
        </w:rPr>
        <w:t>mak</w:t>
      </w:r>
      <w:r>
        <w:rPr>
          <w:color w:val="000000" w:themeColor="text1"/>
        </w:rPr>
        <w:t xml:space="preserve">ing cerebral blood flow </w:t>
      </w:r>
      <w:r>
        <w:rPr>
          <w:rFonts w:hint="eastAsia"/>
          <w:color w:val="000000" w:themeColor="text1"/>
        </w:rPr>
        <w:t>more dependent on</w:t>
      </w:r>
      <w:r>
        <w:rPr>
          <w:color w:val="000000" w:themeColor="text1"/>
        </w:rPr>
        <w:t xml:space="preserve"> systemic hemodynamics</w:t>
      </w:r>
      <w:r>
        <w:rPr>
          <w:rFonts w:eastAsia="华文楷体"/>
          <w:color w:val="000000" w:themeColor="text1"/>
        </w:rPr>
        <w:t xml:space="preserve"> [6,29]</w:t>
      </w:r>
      <w:r>
        <w:rPr>
          <w:rFonts w:eastAsia="华文楷体"/>
          <w:color w:val="000000" w:themeColor="text1"/>
        </w:rPr>
        <w:t xml:space="preserve">. </w:t>
      </w:r>
      <w:r>
        <w:rPr>
          <w:color w:val="000000" w:themeColor="text1"/>
        </w:rPr>
        <w:t xml:space="preserve">In this vulnerable state, elevated </w:t>
      </w:r>
      <w:r>
        <w:rPr>
          <w:rFonts w:hint="eastAsia"/>
          <w:color w:val="000000" w:themeColor="text1"/>
        </w:rPr>
        <w:t>cardiac</w:t>
      </w:r>
      <w:r>
        <w:rPr>
          <w:color w:val="000000" w:themeColor="text1"/>
        </w:rPr>
        <w:t xml:space="preserve"> </w:t>
      </w:r>
      <w:r>
        <w:rPr>
          <w:rFonts w:eastAsia="宋体" w:hint="eastAsia"/>
          <w:color w:val="000000" w:themeColor="text1"/>
          <w:lang w:eastAsia="zh-CN"/>
        </w:rPr>
        <w:t>work</w:t>
      </w:r>
      <w:r>
        <w:rPr>
          <w:color w:val="000000" w:themeColor="text1"/>
        </w:rPr>
        <w:t xml:space="preserve">load </w:t>
      </w:r>
      <w:r>
        <w:rPr>
          <w:rFonts w:eastAsia="宋体" w:hint="eastAsia"/>
          <w:color w:val="000000" w:themeColor="text1"/>
          <w:lang w:eastAsia="zh-CN"/>
        </w:rPr>
        <w:t xml:space="preserve">may </w:t>
      </w:r>
      <w:r>
        <w:rPr>
          <w:color w:val="000000" w:themeColor="text1"/>
        </w:rPr>
        <w:t>not only impair</w:t>
      </w:r>
      <w:r>
        <w:rPr>
          <w:rFonts w:eastAsia="宋体" w:hint="eastAsia"/>
          <w:color w:val="000000" w:themeColor="text1"/>
          <w:lang w:eastAsia="zh-CN"/>
        </w:rPr>
        <w:t xml:space="preserve"> cerebral</w:t>
      </w:r>
      <w:r>
        <w:rPr>
          <w:color w:val="000000" w:themeColor="text1"/>
        </w:rPr>
        <w:t xml:space="preserve"> perfusion but also transmit excessive hydrostatic pressure to the injured neurovascular unit</w:t>
      </w:r>
      <w:r>
        <w:rPr>
          <w:rFonts w:eastAsia="宋体" w:hint="eastAsia"/>
          <w:color w:val="000000" w:themeColor="text1"/>
          <w:lang w:eastAsia="zh-CN"/>
        </w:rPr>
        <w:t>, potentially</w:t>
      </w:r>
      <w:r>
        <w:rPr>
          <w:color w:val="000000" w:themeColor="text1"/>
        </w:rPr>
        <w:t xml:space="preserve"> exacerbat</w:t>
      </w:r>
      <w:r>
        <w:rPr>
          <w:rFonts w:eastAsia="宋体" w:hint="eastAsia"/>
          <w:color w:val="000000" w:themeColor="text1"/>
          <w:lang w:eastAsia="zh-CN"/>
        </w:rPr>
        <w:t>ing</w:t>
      </w:r>
      <w:r>
        <w:rPr>
          <w:color w:val="000000" w:themeColor="text1"/>
        </w:rPr>
        <w:t xml:space="preserve"> perihematomal edema and increas</w:t>
      </w:r>
      <w:r>
        <w:rPr>
          <w:rFonts w:eastAsia="宋体" w:hint="eastAsia"/>
          <w:color w:val="000000" w:themeColor="text1"/>
          <w:lang w:eastAsia="zh-CN"/>
        </w:rPr>
        <w:t>ing</w:t>
      </w:r>
      <w:r>
        <w:rPr>
          <w:color w:val="000000" w:themeColor="text1"/>
        </w:rPr>
        <w:t xml:space="preserve"> the risk of hematom</w:t>
      </w:r>
      <w:r>
        <w:rPr>
          <w:color w:val="000000" w:themeColor="text1"/>
        </w:rPr>
        <w:t xml:space="preserve">a expansion, thereby </w:t>
      </w:r>
      <w:r>
        <w:rPr>
          <w:rFonts w:eastAsia="宋体" w:hint="eastAsia"/>
          <w:color w:val="000000" w:themeColor="text1"/>
          <w:lang w:eastAsia="zh-CN"/>
        </w:rPr>
        <w:t>worsening</w:t>
      </w:r>
      <w:r>
        <w:rPr>
          <w:color w:val="000000" w:themeColor="text1"/>
        </w:rPr>
        <w:t xml:space="preserve"> neurological injury. </w:t>
      </w:r>
      <w:bookmarkEnd w:id="63"/>
      <w:r>
        <w:rPr>
          <w:color w:val="000000" w:themeColor="text1"/>
        </w:rPr>
        <w:t xml:space="preserve">Third, </w:t>
      </w:r>
      <w:r>
        <w:rPr>
          <w:rFonts w:eastAsia="宋体" w:hint="eastAsia"/>
          <w:color w:val="000000" w:themeColor="text1"/>
          <w:lang w:eastAsia="zh-CN"/>
        </w:rPr>
        <w:t xml:space="preserve">the </w:t>
      </w:r>
      <w:r>
        <w:rPr>
          <w:rFonts w:hint="eastAsia"/>
          <w:color w:val="000000" w:themeColor="text1"/>
        </w:rPr>
        <w:t xml:space="preserve">RPP, also known as the </w:t>
      </w:r>
      <w:r>
        <w:rPr>
          <w:rFonts w:eastAsia="宋体"/>
          <w:color w:val="000000" w:themeColor="text1"/>
          <w:lang w:eastAsia="zh-CN"/>
        </w:rPr>
        <w:t>double product,</w:t>
      </w:r>
      <w:r>
        <w:rPr>
          <w:rFonts w:hint="eastAsia"/>
          <w:color w:val="000000" w:themeColor="text1"/>
        </w:rPr>
        <w:t xml:space="preserve"> is a </w:t>
      </w:r>
      <w:r>
        <w:rPr>
          <w:rFonts w:eastAsia="宋体" w:hint="eastAsia"/>
          <w:color w:val="000000" w:themeColor="text1"/>
          <w:lang w:eastAsia="zh-CN"/>
        </w:rPr>
        <w:t>well-validated</w:t>
      </w:r>
      <w:r>
        <w:rPr>
          <w:rFonts w:hint="eastAsia"/>
          <w:color w:val="000000" w:themeColor="text1"/>
        </w:rPr>
        <w:t xml:space="preserve">, non-invasive </w:t>
      </w:r>
      <w:r>
        <w:rPr>
          <w:rFonts w:eastAsia="宋体" w:hint="eastAsia"/>
          <w:color w:val="000000" w:themeColor="text1"/>
          <w:lang w:eastAsia="zh-CN"/>
        </w:rPr>
        <w:t>index</w:t>
      </w:r>
      <w:r>
        <w:rPr>
          <w:rFonts w:hint="eastAsia"/>
          <w:color w:val="000000" w:themeColor="text1"/>
        </w:rPr>
        <w:t xml:space="preserve"> of myocardial oxygen consumption</w:t>
      </w:r>
      <w:r>
        <w:rPr>
          <w:color w:val="000000" w:themeColor="text1"/>
        </w:rPr>
        <w:t xml:space="preserve"> </w:t>
      </w:r>
      <w:r>
        <w:rPr>
          <w:rFonts w:eastAsia="宋体"/>
          <w:color w:val="000000" w:themeColor="text1"/>
        </w:rPr>
        <w:t>[13,14]</w:t>
      </w:r>
      <w:r>
        <w:rPr>
          <w:rFonts w:eastAsia="宋体" w:hint="eastAsia"/>
          <w:color w:val="000000" w:themeColor="text1"/>
          <w:lang w:eastAsia="zh-CN"/>
        </w:rPr>
        <w:t>. During exercise and stress conditions, myocardial oxygen demand rises la</w:t>
      </w:r>
      <w:r>
        <w:rPr>
          <w:rFonts w:eastAsia="宋体" w:hint="eastAsia"/>
          <w:color w:val="000000" w:themeColor="text1"/>
          <w:lang w:eastAsia="zh-CN"/>
        </w:rPr>
        <w:t>rgely in proportion to the tension-time work and afterload faced by the left ventricle; HR strongly determines the frequency and cumulative duration of systolic tension development, whereas SBP serves as a convenient clinical surrogate for left ventricular</w:t>
      </w:r>
      <w:r>
        <w:rPr>
          <w:rFonts w:eastAsia="宋体" w:hint="eastAsia"/>
          <w:color w:val="000000" w:themeColor="text1"/>
          <w:lang w:eastAsia="zh-CN"/>
        </w:rPr>
        <w:t xml:space="preserve"> afterload [30,31]. Accordingly, RPP increases in parallel with oxygen requirements. Classic invasive studies in patients with angina demonstrated a close relationship between RPP and directly assessed indices of myocardial oxygen consumption and myocardia</w:t>
      </w:r>
      <w:r>
        <w:rPr>
          <w:rFonts w:eastAsia="宋体" w:hint="eastAsia"/>
          <w:color w:val="000000" w:themeColor="text1"/>
          <w:lang w:eastAsia="zh-CN"/>
        </w:rPr>
        <w:t>l blood flow [13,32]. Consequently, a high admission RPP may indicate an abrupt surge in myocardial oxygen demand</w:t>
      </w:r>
      <w:r>
        <w:rPr>
          <w:rFonts w:hint="eastAsia"/>
          <w:color w:val="000000" w:themeColor="text1"/>
        </w:rPr>
        <w:t xml:space="preserve">. </w:t>
      </w:r>
      <w:r>
        <w:rPr>
          <w:color w:val="000000" w:themeColor="text1"/>
        </w:rPr>
        <w:t xml:space="preserve">This acute demand-supply mismatch </w:t>
      </w:r>
      <w:r>
        <w:rPr>
          <w:rFonts w:hint="eastAsia"/>
          <w:color w:val="000000" w:themeColor="text1"/>
        </w:rPr>
        <w:t>may</w:t>
      </w:r>
      <w:r>
        <w:rPr>
          <w:color w:val="000000" w:themeColor="text1"/>
        </w:rPr>
        <w:t xml:space="preserve"> deplete cardiac reserve and trigger subclinical myocardial injury</w:t>
      </w:r>
      <w:r>
        <w:rPr>
          <w:rFonts w:hint="eastAsia"/>
          <w:color w:val="000000" w:themeColor="text1"/>
        </w:rPr>
        <w:t xml:space="preserve"> </w:t>
      </w:r>
      <w:r>
        <w:rPr>
          <w:color w:val="000000" w:themeColor="text1"/>
          <w:lang w:bidi="ar"/>
        </w:rPr>
        <w:t>[7,8]</w:t>
      </w:r>
      <w:r>
        <w:rPr>
          <w:rFonts w:hint="eastAsia"/>
          <w:color w:val="000000" w:themeColor="text1"/>
        </w:rPr>
        <w:t xml:space="preserve">, </w:t>
      </w:r>
      <w:r>
        <w:rPr>
          <w:color w:val="000000" w:themeColor="text1"/>
        </w:rPr>
        <w:t>thereby reducing physiological</w:t>
      </w:r>
      <w:r>
        <w:rPr>
          <w:color w:val="000000" w:themeColor="text1"/>
        </w:rPr>
        <w:t xml:space="preserve"> resilience to post-ICH complications.</w:t>
      </w:r>
      <w:r>
        <w:rPr>
          <w:rFonts w:hint="eastAsia"/>
          <w:color w:val="000000" w:themeColor="text1"/>
        </w:rPr>
        <w:t xml:space="preserve"> </w:t>
      </w:r>
    </w:p>
    <w:p w14:paraId="213D435B" w14:textId="77777777" w:rsidR="00CC3835" w:rsidRDefault="00CC3835">
      <w:pPr>
        <w:pStyle w:val="Text"/>
        <w:ind w:firstLine="420"/>
        <w:rPr>
          <w:color w:val="000000" w:themeColor="text1"/>
        </w:rPr>
      </w:pPr>
    </w:p>
    <w:p w14:paraId="464DCF07" w14:textId="31CD41ED" w:rsidR="00CC3835" w:rsidRDefault="00256BAA">
      <w:pPr>
        <w:pStyle w:val="Text"/>
        <w:ind w:firstLine="420"/>
        <w:rPr>
          <w:rFonts w:eastAsia="宋体"/>
          <w:color w:val="000000" w:themeColor="text1"/>
        </w:rPr>
      </w:pPr>
      <w:bookmarkStart w:id="64" w:name="OLE_LINK15"/>
      <w:bookmarkEnd w:id="62"/>
      <w:r>
        <w:rPr>
          <w:rFonts w:eastAsiaTheme="minorEastAsia"/>
          <w:color w:val="000000" w:themeColor="text1"/>
          <w:kern w:val="2"/>
        </w:rPr>
        <w:t>Our findings align with a</w:t>
      </w:r>
      <w:r>
        <w:rPr>
          <w:rFonts w:eastAsiaTheme="minorEastAsia" w:hint="eastAsia"/>
          <w:color w:val="000000" w:themeColor="text1"/>
          <w:kern w:val="2"/>
        </w:rPr>
        <w:t xml:space="preserve"> previous</w:t>
      </w:r>
      <w:r>
        <w:rPr>
          <w:rFonts w:eastAsiaTheme="minorEastAsia"/>
          <w:color w:val="000000" w:themeColor="text1"/>
          <w:kern w:val="2"/>
        </w:rPr>
        <w:t xml:space="preserve"> smaller retrospective study that identified RPP as a predictor of short-term (30-day) mortality</w:t>
      </w:r>
      <w:r>
        <w:rPr>
          <w:rFonts w:hint="eastAsia"/>
          <w:color w:val="000000" w:themeColor="text1"/>
        </w:rPr>
        <w:t xml:space="preserve"> </w:t>
      </w:r>
      <w:r>
        <w:rPr>
          <w:rFonts w:eastAsia="宋体"/>
          <w:color w:val="000000" w:themeColor="text1"/>
        </w:rPr>
        <w:t>[3</w:t>
      </w:r>
      <w:r>
        <w:rPr>
          <w:rFonts w:eastAsia="宋体" w:hint="eastAsia"/>
          <w:color w:val="000000" w:themeColor="text1"/>
          <w:lang w:eastAsia="zh-CN"/>
        </w:rPr>
        <w:t>3</w:t>
      </w:r>
      <w:r>
        <w:rPr>
          <w:rFonts w:eastAsia="宋体"/>
          <w:color w:val="000000" w:themeColor="text1"/>
        </w:rPr>
        <w:t>]</w:t>
      </w:r>
      <w:r>
        <w:rPr>
          <w:color w:val="000000" w:themeColor="text1"/>
        </w:rPr>
        <w:t xml:space="preserve">. </w:t>
      </w:r>
      <w:r>
        <w:rPr>
          <w:rFonts w:eastAsia="宋体"/>
          <w:color w:val="000000" w:themeColor="text1"/>
        </w:rPr>
        <w:t xml:space="preserve">However, our study </w:t>
      </w:r>
      <w:r>
        <w:rPr>
          <w:rFonts w:eastAsia="宋体" w:hint="eastAsia"/>
          <w:color w:val="000000" w:themeColor="text1"/>
          <w:lang w:eastAsia="zh-CN"/>
        </w:rPr>
        <w:t>further</w:t>
      </w:r>
      <w:r>
        <w:rPr>
          <w:rFonts w:eastAsia="宋体"/>
          <w:color w:val="000000" w:themeColor="text1"/>
        </w:rPr>
        <w:t xml:space="preserve"> extend</w:t>
      </w:r>
      <w:r>
        <w:rPr>
          <w:rFonts w:eastAsia="宋体" w:hint="eastAsia"/>
          <w:color w:val="000000" w:themeColor="text1"/>
          <w:lang w:eastAsia="zh-CN"/>
        </w:rPr>
        <w:t>s</w:t>
      </w:r>
      <w:r>
        <w:rPr>
          <w:rFonts w:eastAsia="宋体"/>
          <w:color w:val="000000" w:themeColor="text1"/>
        </w:rPr>
        <w:t xml:space="preserve"> prior evidence by demonstrating association</w:t>
      </w:r>
      <w:r>
        <w:rPr>
          <w:rFonts w:eastAsia="宋体" w:hint="eastAsia"/>
          <w:color w:val="000000" w:themeColor="text1"/>
        </w:rPr>
        <w:t>s</w:t>
      </w:r>
      <w:r>
        <w:rPr>
          <w:rFonts w:eastAsia="宋体"/>
          <w:color w:val="000000" w:themeColor="text1"/>
        </w:rPr>
        <w:t xml:space="preserve"> with long-term unfavorable functional outcome</w:t>
      </w:r>
      <w:r>
        <w:rPr>
          <w:rFonts w:eastAsia="宋体" w:hint="eastAsia"/>
          <w:color w:val="000000" w:themeColor="text1"/>
          <w:lang w:eastAsia="zh-CN"/>
        </w:rPr>
        <w:t>s</w:t>
      </w:r>
      <w:r>
        <w:rPr>
          <w:rFonts w:eastAsia="宋体"/>
          <w:color w:val="000000" w:themeColor="text1"/>
        </w:rPr>
        <w:t xml:space="preserve"> and mortalit</w:t>
      </w:r>
      <w:r>
        <w:rPr>
          <w:rFonts w:eastAsia="宋体" w:hint="eastAsia"/>
          <w:color w:val="000000" w:themeColor="text1"/>
        </w:rPr>
        <w:t>y</w:t>
      </w:r>
      <w:r>
        <w:rPr>
          <w:rFonts w:eastAsia="宋体"/>
          <w:color w:val="000000" w:themeColor="text1"/>
        </w:rPr>
        <w:t>. Importantly, th</w:t>
      </w:r>
      <w:r>
        <w:rPr>
          <w:rFonts w:eastAsia="宋体" w:hint="eastAsia"/>
          <w:color w:val="000000" w:themeColor="text1"/>
          <w:lang w:eastAsia="zh-CN"/>
        </w:rPr>
        <w:t>ese</w:t>
      </w:r>
      <w:r>
        <w:rPr>
          <w:rFonts w:eastAsia="宋体"/>
          <w:color w:val="000000" w:themeColor="text1"/>
        </w:rPr>
        <w:t xml:space="preserve"> association</w:t>
      </w:r>
      <w:r>
        <w:rPr>
          <w:rFonts w:eastAsia="宋体" w:hint="eastAsia"/>
          <w:color w:val="000000" w:themeColor="text1"/>
          <w:lang w:eastAsia="zh-CN"/>
        </w:rPr>
        <w:t>s</w:t>
      </w:r>
      <w:r>
        <w:rPr>
          <w:rFonts w:eastAsia="宋体"/>
          <w:color w:val="000000" w:themeColor="text1"/>
        </w:rPr>
        <w:t xml:space="preserve"> remain significant even after adjusting for baseline severity markers </w:t>
      </w:r>
      <w:r>
        <w:rPr>
          <w:rFonts w:eastAsia="宋体" w:hint="eastAsia"/>
          <w:color w:val="000000" w:themeColor="text1"/>
        </w:rPr>
        <w:t>such as</w:t>
      </w:r>
      <w:r>
        <w:rPr>
          <w:rFonts w:eastAsia="宋体"/>
          <w:color w:val="000000" w:themeColor="text1"/>
        </w:rPr>
        <w:t xml:space="preserve"> GCS and hematoma volume. This finding implies that elevated RPP is not merely an e</w:t>
      </w:r>
      <w:r>
        <w:rPr>
          <w:rFonts w:eastAsia="宋体"/>
          <w:color w:val="000000" w:themeColor="text1"/>
        </w:rPr>
        <w:t xml:space="preserve">piphenomenon of the initial injury severity. Instead, it likely reflects a component of systemic physiological dysregulation that </w:t>
      </w:r>
      <w:r>
        <w:rPr>
          <w:rFonts w:eastAsia="宋体" w:hint="eastAsia"/>
          <w:color w:val="000000" w:themeColor="text1"/>
        </w:rPr>
        <w:t>is</w:t>
      </w:r>
      <w:r>
        <w:rPr>
          <w:rFonts w:eastAsia="宋体" w:hint="eastAsia"/>
          <w:color w:val="000000" w:themeColor="text1"/>
          <w:lang w:eastAsia="zh-CN"/>
        </w:rPr>
        <w:t xml:space="preserve"> </w:t>
      </w:r>
      <w:r>
        <w:rPr>
          <w:rFonts w:eastAsia="宋体"/>
          <w:color w:val="000000" w:themeColor="text1"/>
        </w:rPr>
        <w:t xml:space="preserve">independently </w:t>
      </w:r>
      <w:r>
        <w:rPr>
          <w:rFonts w:eastAsia="宋体" w:hint="eastAsia"/>
          <w:color w:val="000000" w:themeColor="text1"/>
        </w:rPr>
        <w:t>associated with</w:t>
      </w:r>
      <w:r>
        <w:rPr>
          <w:rFonts w:eastAsia="宋体"/>
          <w:color w:val="000000" w:themeColor="text1"/>
        </w:rPr>
        <w:t xml:space="preserve"> poor functional recovery.</w:t>
      </w:r>
    </w:p>
    <w:bookmarkEnd w:id="64"/>
    <w:p w14:paraId="320C18A2" w14:textId="77777777" w:rsidR="00CC3835" w:rsidRDefault="00CC3835">
      <w:pPr>
        <w:pStyle w:val="Text"/>
        <w:ind w:firstLine="420"/>
        <w:rPr>
          <w:color w:val="000000" w:themeColor="text1"/>
        </w:rPr>
      </w:pPr>
    </w:p>
    <w:p w14:paraId="1519D792" w14:textId="77777777" w:rsidR="00CC3835" w:rsidRDefault="00256BAA">
      <w:pPr>
        <w:pStyle w:val="Text"/>
        <w:ind w:firstLine="420"/>
        <w:rPr>
          <w:rFonts w:eastAsia="Google Sans Text"/>
          <w:color w:val="000000" w:themeColor="text1"/>
        </w:rPr>
      </w:pPr>
      <w:bookmarkStart w:id="65" w:name="OLE_LINK16"/>
      <w:bookmarkStart w:id="66" w:name="OLE_LINK29"/>
      <w:bookmarkStart w:id="67" w:name="OLE_LINK30"/>
      <w:bookmarkStart w:id="68" w:name="OLE_LINK57"/>
      <w:r>
        <w:rPr>
          <w:rFonts w:eastAsia="Google Sans Text" w:hint="eastAsia"/>
          <w:color w:val="000000" w:themeColor="text1"/>
          <w:lang w:eastAsia="zh-CN"/>
        </w:rPr>
        <w:lastRenderedPageBreak/>
        <w:t xml:space="preserve">Furthermore, </w:t>
      </w:r>
      <w:r>
        <w:rPr>
          <w:rFonts w:eastAsia="Google Sans Text" w:hint="eastAsia"/>
          <w:color w:val="000000" w:themeColor="text1"/>
        </w:rPr>
        <w:t>we found that RPP demonstrated superior prognostic pe</w:t>
      </w:r>
      <w:r>
        <w:rPr>
          <w:rFonts w:eastAsia="Google Sans Text" w:hint="eastAsia"/>
          <w:color w:val="000000" w:themeColor="text1"/>
        </w:rPr>
        <w:t>rformance</w:t>
      </w:r>
      <w:r>
        <w:rPr>
          <w:rFonts w:eastAsia="Google Sans Text" w:hint="eastAsia"/>
          <w:color w:val="000000" w:themeColor="text1"/>
          <w:lang w:eastAsia="zh-CN"/>
        </w:rPr>
        <w:t xml:space="preserve"> to either HR or SBP alone</w:t>
      </w:r>
      <w:r>
        <w:rPr>
          <w:rFonts w:eastAsia="Google Sans Text"/>
          <w:color w:val="000000" w:themeColor="text1"/>
        </w:rPr>
        <w:t xml:space="preserve">. </w:t>
      </w:r>
      <w:r>
        <w:rPr>
          <w:rFonts w:eastAsia="Google Sans Text" w:hint="eastAsia"/>
          <w:color w:val="000000" w:themeColor="text1"/>
        </w:rPr>
        <w:t>This observation aligns with existing cardiology literature regarding coronary artery</w:t>
      </w:r>
      <w:r>
        <w:rPr>
          <w:rFonts w:eastAsia="Google Sans Text"/>
          <w:color w:val="000000" w:themeColor="text1"/>
        </w:rPr>
        <w:t xml:space="preserve"> disease </w:t>
      </w:r>
      <w:r>
        <w:rPr>
          <w:rFonts w:eastAsia="宋体"/>
          <w:color w:val="000000" w:themeColor="text1"/>
        </w:rPr>
        <w:t>[21,3</w:t>
      </w:r>
      <w:r>
        <w:rPr>
          <w:rFonts w:eastAsia="宋体" w:hint="eastAsia"/>
          <w:color w:val="000000" w:themeColor="text1"/>
          <w:lang w:eastAsia="zh-CN"/>
        </w:rPr>
        <w:t>4</w:t>
      </w:r>
      <w:r>
        <w:rPr>
          <w:rFonts w:eastAsia="宋体"/>
          <w:color w:val="000000" w:themeColor="text1"/>
        </w:rPr>
        <w:t>]</w:t>
      </w:r>
      <w:r>
        <w:rPr>
          <w:rFonts w:eastAsia="Google Sans Text"/>
          <w:color w:val="000000" w:themeColor="text1"/>
        </w:rPr>
        <w:t xml:space="preserve">. </w:t>
      </w:r>
      <w:bookmarkStart w:id="69" w:name="OLE_LINK21"/>
      <w:bookmarkEnd w:id="65"/>
      <w:r>
        <w:rPr>
          <w:rFonts w:eastAsia="Google Sans Text"/>
          <w:color w:val="000000" w:themeColor="text1"/>
        </w:rPr>
        <w:t xml:space="preserve">Mechanistically, while SBP primarily </w:t>
      </w:r>
      <w:r>
        <w:rPr>
          <w:rFonts w:eastAsia="Google Sans Text" w:hint="eastAsia"/>
          <w:color w:val="000000" w:themeColor="text1"/>
        </w:rPr>
        <w:t>reflect</w:t>
      </w:r>
      <w:r>
        <w:rPr>
          <w:rFonts w:eastAsia="Google Sans Text"/>
          <w:color w:val="000000" w:themeColor="text1"/>
        </w:rPr>
        <w:t>s left ventricular afterload and HR reflects the chronotropic state, RPP</w:t>
      </w:r>
      <w:r>
        <w:rPr>
          <w:rFonts w:eastAsia="Google Sans Text"/>
          <w:color w:val="000000" w:themeColor="text1"/>
        </w:rPr>
        <w:t xml:space="preserve"> integrates both parameters</w:t>
      </w:r>
      <w:r>
        <w:rPr>
          <w:rFonts w:eastAsia="Google Sans Text" w:hint="eastAsia"/>
          <w:color w:val="000000" w:themeColor="text1"/>
        </w:rPr>
        <w:t xml:space="preserve">, </w:t>
      </w:r>
      <w:r>
        <w:rPr>
          <w:rFonts w:eastAsia="Google Sans Text"/>
          <w:color w:val="000000" w:themeColor="text1"/>
        </w:rPr>
        <w:t xml:space="preserve">providing a more comprehensive </w:t>
      </w:r>
      <w:r>
        <w:rPr>
          <w:rFonts w:eastAsia="Google Sans Text" w:hint="eastAsia"/>
          <w:color w:val="000000" w:themeColor="text1"/>
        </w:rPr>
        <w:t>perspective on</w:t>
      </w:r>
      <w:bookmarkEnd w:id="66"/>
      <w:r>
        <w:rPr>
          <w:rFonts w:eastAsia="Google Sans Text"/>
          <w:color w:val="000000" w:themeColor="text1"/>
        </w:rPr>
        <w:t xml:space="preserve"> </w:t>
      </w:r>
      <w:r>
        <w:rPr>
          <w:rFonts w:eastAsia="Google Sans Text" w:hint="eastAsia"/>
          <w:color w:val="000000" w:themeColor="text1"/>
        </w:rPr>
        <w:t>cardiac</w:t>
      </w:r>
      <w:r>
        <w:rPr>
          <w:rFonts w:eastAsia="Google Sans Text"/>
          <w:color w:val="000000" w:themeColor="text1"/>
        </w:rPr>
        <w:t xml:space="preserve"> </w:t>
      </w:r>
      <w:r>
        <w:rPr>
          <w:rFonts w:eastAsia="Google Sans Text" w:hint="eastAsia"/>
          <w:color w:val="000000" w:themeColor="text1"/>
        </w:rPr>
        <w:t>work</w:t>
      </w:r>
      <w:r>
        <w:rPr>
          <w:rFonts w:eastAsia="Google Sans Text"/>
          <w:color w:val="000000" w:themeColor="text1"/>
        </w:rPr>
        <w:t xml:space="preserve">. </w:t>
      </w:r>
      <w:bookmarkStart w:id="70" w:name="OLE_LINK22"/>
      <w:bookmarkEnd w:id="67"/>
      <w:bookmarkEnd w:id="69"/>
      <w:r>
        <w:rPr>
          <w:rFonts w:eastAsia="Google Sans Text"/>
          <w:color w:val="000000" w:themeColor="text1"/>
        </w:rPr>
        <w:t>Furthermore,</w:t>
      </w:r>
      <w:r>
        <w:rPr>
          <w:rFonts w:eastAsia="微软雅黑"/>
          <w:color w:val="000000" w:themeColor="text1"/>
        </w:rPr>
        <w:t xml:space="preserve"> </w:t>
      </w:r>
      <w:r>
        <w:rPr>
          <w:rFonts w:eastAsia="Google Sans Text"/>
          <w:color w:val="000000" w:themeColor="text1"/>
        </w:rPr>
        <w:t xml:space="preserve">the physiological relationship between BP and HR is precisely regulated by autonomic mechanisms, such as the baroreceptor reflex, which maintain a dynamic negative feedback balance in a healthy state </w:t>
      </w:r>
      <w:r>
        <w:rPr>
          <w:rFonts w:eastAsia="宋体"/>
          <w:color w:val="000000" w:themeColor="text1"/>
        </w:rPr>
        <w:t>[3</w:t>
      </w:r>
      <w:r>
        <w:rPr>
          <w:rFonts w:eastAsia="宋体" w:hint="eastAsia"/>
          <w:color w:val="000000" w:themeColor="text1"/>
          <w:lang w:eastAsia="zh-CN"/>
        </w:rPr>
        <w:t>5</w:t>
      </w:r>
      <w:r>
        <w:rPr>
          <w:rFonts w:eastAsia="宋体"/>
          <w:color w:val="000000" w:themeColor="text1"/>
        </w:rPr>
        <w:t>]</w:t>
      </w:r>
      <w:r>
        <w:rPr>
          <w:rFonts w:eastAsia="华文楷体"/>
          <w:color w:val="000000" w:themeColor="text1"/>
        </w:rPr>
        <w:t>.</w:t>
      </w:r>
      <w:r>
        <w:rPr>
          <w:rFonts w:eastAsia="Google Sans Text"/>
          <w:color w:val="000000" w:themeColor="text1"/>
        </w:rPr>
        <w:t xml:space="preserve"> </w:t>
      </w:r>
      <w:r>
        <w:rPr>
          <w:rFonts w:eastAsia="Google Sans Text" w:hint="eastAsia"/>
          <w:color w:val="000000" w:themeColor="text1"/>
        </w:rPr>
        <w:t>However, i</w:t>
      </w:r>
      <w:r>
        <w:rPr>
          <w:rFonts w:eastAsia="Google Sans Text"/>
          <w:color w:val="000000" w:themeColor="text1"/>
        </w:rPr>
        <w:t xml:space="preserve">n acute ICH, CAN injury </w:t>
      </w:r>
      <w:r>
        <w:rPr>
          <w:rFonts w:eastAsia="Google Sans Text" w:hint="eastAsia"/>
          <w:color w:val="000000" w:themeColor="text1"/>
        </w:rPr>
        <w:t>can</w:t>
      </w:r>
      <w:r>
        <w:rPr>
          <w:rFonts w:eastAsia="Google Sans Text"/>
          <w:color w:val="000000" w:themeColor="text1"/>
        </w:rPr>
        <w:t xml:space="preserve"> </w:t>
      </w:r>
      <w:r>
        <w:rPr>
          <w:rFonts w:eastAsia="Google Sans Text" w:hint="eastAsia"/>
          <w:color w:val="000000" w:themeColor="text1"/>
        </w:rPr>
        <w:t>disrupt</w:t>
      </w:r>
      <w:r>
        <w:rPr>
          <w:rFonts w:eastAsia="Google Sans Text"/>
          <w:color w:val="000000" w:themeColor="text1"/>
        </w:rPr>
        <w:t xml:space="preserve"> this</w:t>
      </w:r>
      <w:r>
        <w:rPr>
          <w:rFonts w:eastAsia="Google Sans Text"/>
          <w:color w:val="000000" w:themeColor="text1"/>
        </w:rPr>
        <w:t xml:space="preserve"> autonomic feedback </w:t>
      </w:r>
      <w:r>
        <w:rPr>
          <w:rFonts w:eastAsia="宋体"/>
          <w:color w:val="000000" w:themeColor="text1"/>
        </w:rPr>
        <w:t>[3</w:t>
      </w:r>
      <w:r>
        <w:rPr>
          <w:rFonts w:eastAsia="宋体" w:hint="eastAsia"/>
          <w:color w:val="000000" w:themeColor="text1"/>
          <w:lang w:eastAsia="zh-CN"/>
        </w:rPr>
        <w:t>6</w:t>
      </w:r>
      <w:r>
        <w:rPr>
          <w:rFonts w:eastAsia="宋体"/>
          <w:color w:val="000000" w:themeColor="text1"/>
        </w:rPr>
        <w:t>,3</w:t>
      </w:r>
      <w:r>
        <w:rPr>
          <w:rFonts w:eastAsia="宋体" w:hint="eastAsia"/>
          <w:color w:val="000000" w:themeColor="text1"/>
          <w:lang w:eastAsia="zh-CN"/>
        </w:rPr>
        <w:t>7</w:t>
      </w:r>
      <w:r>
        <w:rPr>
          <w:rFonts w:eastAsia="宋体"/>
          <w:color w:val="000000" w:themeColor="text1"/>
        </w:rPr>
        <w:t>]</w:t>
      </w:r>
      <w:r>
        <w:rPr>
          <w:rFonts w:eastAsia="Google Sans Text"/>
          <w:color w:val="000000" w:themeColor="text1"/>
        </w:rPr>
        <w:t xml:space="preserve">, </w:t>
      </w:r>
      <w:r>
        <w:rPr>
          <w:rFonts w:eastAsia="Google Sans Text" w:hint="eastAsia"/>
          <w:color w:val="000000" w:themeColor="text1"/>
        </w:rPr>
        <w:t>resulting in</w:t>
      </w:r>
      <w:r>
        <w:rPr>
          <w:rFonts w:eastAsia="Google Sans Text"/>
          <w:color w:val="000000" w:themeColor="text1"/>
        </w:rPr>
        <w:t xml:space="preserve"> a simultaneous elevation of SBP and HR</w:t>
      </w:r>
      <w:r>
        <w:rPr>
          <w:rFonts w:eastAsia="微软雅黑"/>
          <w:color w:val="000000" w:themeColor="text1"/>
        </w:rPr>
        <w:t xml:space="preserve">. </w:t>
      </w:r>
      <w:bookmarkEnd w:id="70"/>
      <w:r>
        <w:rPr>
          <w:rFonts w:eastAsia="微软雅黑" w:hint="eastAsia"/>
          <w:color w:val="000000" w:themeColor="text1"/>
        </w:rPr>
        <w:t>RPP effectively captures this "double hit" on the cardiovascular system, thus providing a more accurate reflection of the severity of systemic physiological dysregulation</w:t>
      </w:r>
      <w:r>
        <w:rPr>
          <w:rFonts w:eastAsia="微软雅黑"/>
          <w:color w:val="000000" w:themeColor="text1"/>
        </w:rPr>
        <w:t>.</w:t>
      </w:r>
    </w:p>
    <w:bookmarkEnd w:id="68"/>
    <w:p w14:paraId="1B6FB1EA" w14:textId="77777777" w:rsidR="00CC3835" w:rsidRDefault="00CC3835">
      <w:pPr>
        <w:pStyle w:val="Text"/>
        <w:ind w:firstLine="420"/>
        <w:rPr>
          <w:rFonts w:eastAsia="华文楷体"/>
          <w:color w:val="000000" w:themeColor="text1"/>
        </w:rPr>
      </w:pPr>
    </w:p>
    <w:p w14:paraId="2709287D" w14:textId="77777777" w:rsidR="00CC3835" w:rsidRDefault="00256BAA">
      <w:pPr>
        <w:pStyle w:val="Text"/>
        <w:ind w:firstLine="420"/>
        <w:rPr>
          <w:color w:val="000000" w:themeColor="text1"/>
        </w:rPr>
      </w:pPr>
      <w:r>
        <w:rPr>
          <w:rFonts w:hint="eastAsia"/>
          <w:color w:val="000000" w:themeColor="text1"/>
        </w:rPr>
        <w:t>A</w:t>
      </w:r>
      <w:r>
        <w:rPr>
          <w:rFonts w:hint="eastAsia"/>
          <w:color w:val="000000" w:themeColor="text1"/>
        </w:rPr>
        <w:t xml:space="preserve"> critical consideration in utilizing admission</w:t>
      </w:r>
      <w:r>
        <w:rPr>
          <w:rFonts w:eastAsia="宋体" w:hint="eastAsia"/>
          <w:color w:val="000000" w:themeColor="text1"/>
          <w:lang w:eastAsia="zh-CN"/>
        </w:rPr>
        <w:t xml:space="preserve"> </w:t>
      </w:r>
      <w:r>
        <w:rPr>
          <w:rFonts w:hint="eastAsia"/>
          <w:color w:val="000000" w:themeColor="text1"/>
        </w:rPr>
        <w:t>physiological parameters is the timing of measurement. While physiological changes are</w:t>
      </w:r>
      <w:r>
        <w:rPr>
          <w:rFonts w:eastAsia="宋体" w:hint="eastAsia"/>
          <w:color w:val="000000" w:themeColor="text1"/>
          <w:lang w:eastAsia="zh-CN"/>
        </w:rPr>
        <w:t xml:space="preserve"> </w:t>
      </w:r>
      <w:r>
        <w:rPr>
          <w:rFonts w:hint="eastAsia"/>
          <w:color w:val="000000" w:themeColor="text1"/>
        </w:rPr>
        <w:t>most volatile in the first few hours, accumulating evidence suggests that autonomic dysregulation after ICH is a sustained</w:t>
      </w:r>
      <w:r>
        <w:rPr>
          <w:rFonts w:hint="eastAsia"/>
          <w:color w:val="000000" w:themeColor="text1"/>
        </w:rPr>
        <w:t xml:space="preserve"> pathological state that persists throughout the early</w:t>
      </w:r>
      <w:r>
        <w:rPr>
          <w:rFonts w:eastAsia="宋体" w:hint="eastAsia"/>
          <w:color w:val="000000" w:themeColor="text1"/>
          <w:lang w:eastAsia="zh-CN"/>
        </w:rPr>
        <w:t xml:space="preserve"> </w:t>
      </w:r>
      <w:r>
        <w:rPr>
          <w:rFonts w:hint="eastAsia"/>
          <w:color w:val="000000" w:themeColor="text1"/>
        </w:rPr>
        <w:t>acute phase</w:t>
      </w:r>
      <w:r>
        <w:rPr>
          <w:rFonts w:eastAsia="宋体" w:hint="eastAsia"/>
          <w:color w:val="000000" w:themeColor="text1"/>
          <w:lang w:eastAsia="zh-CN"/>
        </w:rPr>
        <w:t xml:space="preserve"> [38]</w:t>
      </w:r>
      <w:r>
        <w:rPr>
          <w:rFonts w:hint="eastAsia"/>
          <w:color w:val="000000" w:themeColor="text1"/>
        </w:rPr>
        <w:t xml:space="preserve">. Sykora et al. </w:t>
      </w:r>
      <w:r>
        <w:rPr>
          <w:rFonts w:eastAsia="宋体" w:hint="eastAsia"/>
          <w:color w:val="000000" w:themeColor="text1"/>
          <w:lang w:eastAsia="zh-CN"/>
        </w:rPr>
        <w:t>demonstrated</w:t>
      </w:r>
      <w:r>
        <w:rPr>
          <w:rFonts w:hint="eastAsia"/>
          <w:color w:val="000000" w:themeColor="text1"/>
        </w:rPr>
        <w:t xml:space="preserve"> that baroreflex sensitivity remains significantly impaired in ICH patients within 72 hours of symptom onset compared to healthy controls</w:t>
      </w:r>
      <w:r>
        <w:rPr>
          <w:rFonts w:eastAsia="Google Sans Text"/>
          <w:color w:val="000000" w:themeColor="text1"/>
        </w:rPr>
        <w:t xml:space="preserve"> </w:t>
      </w:r>
      <w:r>
        <w:rPr>
          <w:rFonts w:eastAsia="宋体"/>
          <w:color w:val="000000" w:themeColor="text1"/>
        </w:rPr>
        <w:t>[3</w:t>
      </w:r>
      <w:r>
        <w:rPr>
          <w:rFonts w:eastAsia="宋体" w:hint="eastAsia"/>
          <w:color w:val="000000" w:themeColor="text1"/>
          <w:lang w:eastAsia="zh-CN"/>
        </w:rPr>
        <w:t>6</w:t>
      </w:r>
      <w:r>
        <w:rPr>
          <w:rFonts w:eastAsia="宋体"/>
          <w:color w:val="000000" w:themeColor="text1"/>
        </w:rPr>
        <w:t>]</w:t>
      </w:r>
      <w:r>
        <w:rPr>
          <w:rFonts w:hint="eastAsia"/>
          <w:color w:val="000000" w:themeColor="text1"/>
        </w:rPr>
        <w:t>.</w:t>
      </w:r>
      <w:r>
        <w:rPr>
          <w:rFonts w:eastAsia="宋体" w:hint="eastAsia"/>
          <w:color w:val="000000" w:themeColor="text1"/>
          <w:lang w:eastAsia="zh-CN"/>
        </w:rPr>
        <w:t xml:space="preserve"> Therefore, th</w:t>
      </w:r>
      <w:r>
        <w:rPr>
          <w:rFonts w:eastAsia="宋体" w:hint="eastAsia"/>
          <w:color w:val="000000" w:themeColor="text1"/>
          <w:lang w:eastAsia="zh-CN"/>
        </w:rPr>
        <w:t xml:space="preserve">e RPP obtained within this window may reasonably capture the pathophysiology of autonomic dysregulation after ICH. Importantly, our </w:t>
      </w:r>
      <w:r>
        <w:rPr>
          <w:rFonts w:hint="eastAsia"/>
          <w:color w:val="000000" w:themeColor="text1"/>
        </w:rPr>
        <w:t>sensitivity and subgroup analyses</w:t>
      </w:r>
      <w:r>
        <w:rPr>
          <w:rFonts w:eastAsia="宋体" w:hint="eastAsia"/>
          <w:color w:val="000000" w:themeColor="text1"/>
          <w:lang w:eastAsia="zh-CN"/>
        </w:rPr>
        <w:t xml:space="preserve"> revealed that </w:t>
      </w:r>
      <w:r>
        <w:rPr>
          <w:rFonts w:hint="eastAsia"/>
          <w:color w:val="000000" w:themeColor="text1"/>
        </w:rPr>
        <w:t>the association between RPP and outcomes remained consistent</w:t>
      </w:r>
      <w:r>
        <w:rPr>
          <w:rFonts w:eastAsia="宋体" w:hint="eastAsia"/>
          <w:color w:val="000000" w:themeColor="text1"/>
          <w:lang w:eastAsia="zh-CN"/>
        </w:rPr>
        <w:t xml:space="preserve"> </w:t>
      </w:r>
      <w:r>
        <w:rPr>
          <w:rFonts w:hint="eastAsia"/>
          <w:color w:val="000000" w:themeColor="text1"/>
        </w:rPr>
        <w:t>across all time</w:t>
      </w:r>
      <w:r>
        <w:rPr>
          <w:rFonts w:hint="eastAsia"/>
          <w:color w:val="000000" w:themeColor="text1"/>
        </w:rPr>
        <w:t xml:space="preserve"> windows</w:t>
      </w:r>
      <w:r>
        <w:rPr>
          <w:rFonts w:eastAsia="宋体" w:hint="eastAsia"/>
          <w:color w:val="000000" w:themeColor="text1"/>
          <w:lang w:eastAsia="zh-CN"/>
        </w:rPr>
        <w:t>, suggesting that the prognostic signal of RPP is not driven by a specific arrival window.</w:t>
      </w:r>
      <w:r>
        <w:rPr>
          <w:rFonts w:hint="eastAsia"/>
          <w:color w:val="000000" w:themeColor="text1"/>
        </w:rPr>
        <w:t xml:space="preserve"> Collectively, these findings establish admission RPP as a temporally stable and reliable prognostic biomarker during the early phase of ICH.</w:t>
      </w:r>
    </w:p>
    <w:p w14:paraId="25630C05" w14:textId="77777777" w:rsidR="00CC3835" w:rsidRDefault="00CC3835">
      <w:pPr>
        <w:pStyle w:val="Text"/>
        <w:ind w:firstLine="420"/>
        <w:rPr>
          <w:color w:val="000000" w:themeColor="text1"/>
        </w:rPr>
      </w:pPr>
    </w:p>
    <w:p w14:paraId="63D0CFAA" w14:textId="77777777" w:rsidR="00CC3835" w:rsidRDefault="00256BAA">
      <w:pPr>
        <w:pStyle w:val="Text"/>
        <w:ind w:firstLine="420"/>
        <w:rPr>
          <w:rFonts w:eastAsia="宋体"/>
          <w:color w:val="000000" w:themeColor="text1"/>
        </w:rPr>
      </w:pPr>
      <w:bookmarkStart w:id="71" w:name="OLE_LINK58"/>
      <w:r>
        <w:rPr>
          <w:rFonts w:eastAsia="华文楷体" w:hint="eastAsia"/>
          <w:color w:val="000000" w:themeColor="text1"/>
        </w:rPr>
        <w:t>Current evidenc</w:t>
      </w:r>
      <w:r>
        <w:rPr>
          <w:rFonts w:eastAsia="华文楷体" w:hint="eastAsia"/>
          <w:color w:val="000000" w:themeColor="text1"/>
        </w:rPr>
        <w:t xml:space="preserve">e regarding the use of </w:t>
      </w:r>
      <w:r>
        <w:rPr>
          <w:rFonts w:ascii="Times New Roman Regular" w:eastAsia="华文楷体" w:hAnsi="Times New Roman Regular" w:cs="Times New Roman Regular"/>
          <w:color w:val="000000" w:themeColor="text1"/>
        </w:rPr>
        <w:t>β</w:t>
      </w:r>
      <w:r>
        <w:rPr>
          <w:rFonts w:eastAsia="华文楷体" w:hint="eastAsia"/>
          <w:color w:val="000000" w:themeColor="text1"/>
        </w:rPr>
        <w:t xml:space="preserve">-blockers in </w:t>
      </w:r>
      <w:r>
        <w:rPr>
          <w:rFonts w:eastAsia="华文楷体"/>
          <w:color w:val="000000" w:themeColor="text1"/>
        </w:rPr>
        <w:t xml:space="preserve">ICH </w:t>
      </w:r>
      <w:r>
        <w:rPr>
          <w:rFonts w:eastAsia="华文楷体" w:hint="eastAsia"/>
          <w:color w:val="000000" w:themeColor="text1"/>
        </w:rPr>
        <w:t>remains</w:t>
      </w:r>
      <w:r>
        <w:rPr>
          <w:rFonts w:eastAsia="华文楷体"/>
          <w:color w:val="000000" w:themeColor="text1"/>
        </w:rPr>
        <w:t xml:space="preserve"> inconsistent. While some studies suggest</w:t>
      </w:r>
      <w:r>
        <w:rPr>
          <w:rFonts w:eastAsia="华文楷体" w:hint="eastAsia"/>
          <w:color w:val="000000" w:themeColor="text1"/>
        </w:rPr>
        <w:t>ed</w:t>
      </w:r>
      <w:r>
        <w:rPr>
          <w:rFonts w:eastAsia="华文楷体"/>
          <w:color w:val="000000" w:themeColor="text1"/>
        </w:rPr>
        <w:t xml:space="preserve"> </w:t>
      </w:r>
      <w:r>
        <w:rPr>
          <w:rFonts w:eastAsia="华文楷体" w:hint="eastAsia"/>
          <w:color w:val="000000" w:themeColor="text1"/>
          <w:lang w:eastAsia="zh-CN"/>
        </w:rPr>
        <w:t>benefits,</w:t>
      </w:r>
      <w:r>
        <w:rPr>
          <w:rFonts w:eastAsia="华文楷体"/>
          <w:color w:val="000000" w:themeColor="text1"/>
        </w:rPr>
        <w:t xml:space="preserve"> including reduced perihematomal edema, lower infection rates, and decreased mortality </w:t>
      </w:r>
      <w:r>
        <w:rPr>
          <w:rFonts w:eastAsia="宋体"/>
          <w:color w:val="000000" w:themeColor="text1"/>
        </w:rPr>
        <w:t>[3</w:t>
      </w:r>
      <w:r>
        <w:rPr>
          <w:rFonts w:eastAsia="宋体" w:hint="eastAsia"/>
          <w:color w:val="000000" w:themeColor="text1"/>
          <w:lang w:eastAsia="zh-CN"/>
        </w:rPr>
        <w:t>9</w:t>
      </w:r>
      <w:r>
        <w:rPr>
          <w:rFonts w:eastAsia="宋体"/>
          <w:color w:val="000000" w:themeColor="text1"/>
        </w:rPr>
        <w:t>–</w:t>
      </w:r>
      <w:r>
        <w:rPr>
          <w:rFonts w:eastAsia="宋体" w:hint="eastAsia"/>
          <w:color w:val="000000" w:themeColor="text1"/>
          <w:lang w:eastAsia="zh-CN"/>
        </w:rPr>
        <w:t>41</w:t>
      </w:r>
      <w:r>
        <w:rPr>
          <w:rFonts w:eastAsia="宋体"/>
          <w:color w:val="000000" w:themeColor="text1"/>
        </w:rPr>
        <w:t>]</w:t>
      </w:r>
      <w:r>
        <w:rPr>
          <w:rFonts w:eastAsia="华文楷体"/>
          <w:color w:val="000000" w:themeColor="text1"/>
        </w:rPr>
        <w:t xml:space="preserve">, a </w:t>
      </w:r>
      <w:r>
        <w:rPr>
          <w:rFonts w:eastAsia="华文楷体" w:hint="eastAsia"/>
          <w:color w:val="000000" w:themeColor="text1"/>
        </w:rPr>
        <w:t xml:space="preserve">recent </w:t>
      </w:r>
      <w:r>
        <w:rPr>
          <w:rFonts w:eastAsia="华文楷体"/>
          <w:color w:val="000000" w:themeColor="text1"/>
        </w:rPr>
        <w:t xml:space="preserve">large meta-analysis </w:t>
      </w:r>
      <w:r>
        <w:rPr>
          <w:rFonts w:eastAsia="华文楷体" w:hint="eastAsia"/>
          <w:color w:val="000000" w:themeColor="text1"/>
        </w:rPr>
        <w:t>found</w:t>
      </w:r>
      <w:r>
        <w:rPr>
          <w:rFonts w:eastAsia="华文楷体"/>
          <w:color w:val="000000" w:themeColor="text1"/>
        </w:rPr>
        <w:t xml:space="preserve"> no significant association with functional outcome </w:t>
      </w:r>
      <w:r>
        <w:rPr>
          <w:rFonts w:eastAsia="华文楷体" w:hint="eastAsia"/>
          <w:color w:val="000000" w:themeColor="text1"/>
        </w:rPr>
        <w:t xml:space="preserve">or </w:t>
      </w:r>
      <w:r>
        <w:rPr>
          <w:rFonts w:eastAsia="华文楷体"/>
          <w:color w:val="000000" w:themeColor="text1"/>
        </w:rPr>
        <w:t>survival</w:t>
      </w:r>
      <w:r>
        <w:rPr>
          <w:rFonts w:eastAsia="华文楷体" w:hint="eastAsia"/>
          <w:color w:val="000000" w:themeColor="text1"/>
        </w:rPr>
        <w:t xml:space="preserve"> </w:t>
      </w:r>
      <w:r>
        <w:rPr>
          <w:rFonts w:eastAsia="宋体"/>
          <w:color w:val="000000" w:themeColor="text1"/>
        </w:rPr>
        <w:t>[</w:t>
      </w:r>
      <w:r>
        <w:rPr>
          <w:rFonts w:eastAsia="宋体" w:hint="eastAsia"/>
          <w:color w:val="000000" w:themeColor="text1"/>
          <w:lang w:eastAsia="zh-CN"/>
        </w:rPr>
        <w:t>42</w:t>
      </w:r>
      <w:r>
        <w:rPr>
          <w:rFonts w:eastAsia="宋体"/>
          <w:color w:val="000000" w:themeColor="text1"/>
        </w:rPr>
        <w:t>]</w:t>
      </w:r>
      <w:r>
        <w:rPr>
          <w:rFonts w:eastAsia="华文楷体"/>
          <w:color w:val="000000" w:themeColor="text1"/>
        </w:rPr>
        <w:t>. These divergent findings are likely attributable to the profound clinical and physiological heterogeneity of the ICH population, highlighting the need for a more targeted therapeutic str</w:t>
      </w:r>
      <w:r>
        <w:rPr>
          <w:rFonts w:eastAsia="华文楷体"/>
          <w:color w:val="000000" w:themeColor="text1"/>
        </w:rPr>
        <w:t>ategy.</w:t>
      </w:r>
      <w:r>
        <w:rPr>
          <w:color w:val="000000" w:themeColor="text1"/>
        </w:rPr>
        <w:t xml:space="preserve"> </w:t>
      </w:r>
      <w:r>
        <w:rPr>
          <w:rFonts w:eastAsia="华文楷体"/>
          <w:color w:val="000000" w:themeColor="text1"/>
        </w:rPr>
        <w:t xml:space="preserve">Our study </w:t>
      </w:r>
      <w:r>
        <w:rPr>
          <w:rFonts w:eastAsia="华文楷体" w:hint="eastAsia"/>
          <w:color w:val="000000" w:themeColor="text1"/>
        </w:rPr>
        <w:t>proposes</w:t>
      </w:r>
      <w:r>
        <w:rPr>
          <w:rFonts w:eastAsia="华文楷体"/>
          <w:color w:val="000000" w:themeColor="text1"/>
        </w:rPr>
        <w:t xml:space="preserve"> a potential</w:t>
      </w:r>
      <w:r>
        <w:rPr>
          <w:rFonts w:eastAsia="华文楷体" w:hint="eastAsia"/>
          <w:color w:val="000000" w:themeColor="text1"/>
        </w:rPr>
        <w:t xml:space="preserve"> direction for stratification</w:t>
      </w:r>
      <w:r>
        <w:rPr>
          <w:rFonts w:eastAsia="华文楷体"/>
          <w:color w:val="000000" w:themeColor="text1"/>
        </w:rPr>
        <w:t>. We observed that the association between high RPP and poor outcomes was attenuated in patients receiving β-blockers. Given that β-blockers exert sympatholytic effects, this finding support</w:t>
      </w:r>
      <w:r>
        <w:rPr>
          <w:rFonts w:eastAsia="华文楷体"/>
          <w:color w:val="000000" w:themeColor="text1"/>
        </w:rPr>
        <w:t>s the hypothesis that high RPP may identify a hyperadrenergic phenotyp</w:t>
      </w:r>
      <w:r>
        <w:rPr>
          <w:rFonts w:eastAsia="华文楷体" w:hint="eastAsia"/>
          <w:color w:val="000000" w:themeColor="text1"/>
        </w:rPr>
        <w:t>e</w:t>
      </w:r>
      <w:r>
        <w:rPr>
          <w:rFonts w:eastAsia="华文楷体"/>
          <w:color w:val="000000" w:themeColor="text1"/>
        </w:rPr>
        <w:t xml:space="preserve">. Therefore, RPP holds the potential to serve as a biomarker </w:t>
      </w:r>
      <w:r>
        <w:rPr>
          <w:rFonts w:eastAsia="华文楷体" w:hint="eastAsia"/>
          <w:color w:val="000000" w:themeColor="text1"/>
          <w:lang w:eastAsia="zh-CN"/>
        </w:rPr>
        <w:t>for</w:t>
      </w:r>
      <w:r>
        <w:rPr>
          <w:rFonts w:eastAsia="华文楷体"/>
          <w:color w:val="000000" w:themeColor="text1"/>
        </w:rPr>
        <w:t xml:space="preserve"> stratify</w:t>
      </w:r>
      <w:r>
        <w:rPr>
          <w:rFonts w:eastAsia="华文楷体" w:hint="eastAsia"/>
          <w:color w:val="000000" w:themeColor="text1"/>
          <w:lang w:eastAsia="zh-CN"/>
        </w:rPr>
        <w:t>ing</w:t>
      </w:r>
      <w:r>
        <w:rPr>
          <w:rFonts w:eastAsia="华文楷体"/>
          <w:color w:val="000000" w:themeColor="text1"/>
        </w:rPr>
        <w:t xml:space="preserve"> patients who might derive greater benefit from targeted sympatholytic therapy</w:t>
      </w:r>
      <w:r>
        <w:rPr>
          <w:rFonts w:eastAsia="华文楷体" w:hint="eastAsia"/>
          <w:color w:val="000000" w:themeColor="text1"/>
        </w:rPr>
        <w:t>.</w:t>
      </w:r>
      <w:r>
        <w:rPr>
          <w:rFonts w:eastAsia="Google Sans Text"/>
          <w:color w:val="000000" w:themeColor="text1"/>
        </w:rPr>
        <w:t xml:space="preserve"> </w:t>
      </w:r>
      <w:r>
        <w:rPr>
          <w:rFonts w:eastAsia="Google Sans Text" w:hint="eastAsia"/>
          <w:color w:val="000000" w:themeColor="text1"/>
        </w:rPr>
        <w:t>This</w:t>
      </w:r>
      <w:r>
        <w:rPr>
          <w:rFonts w:eastAsia="Google Sans Text"/>
          <w:color w:val="000000" w:themeColor="text1"/>
        </w:rPr>
        <w:t xml:space="preserve"> hypothesis warrants</w:t>
      </w:r>
      <w:r>
        <w:rPr>
          <w:rFonts w:eastAsia="Google Sans Text" w:hint="eastAsia"/>
          <w:color w:val="000000" w:themeColor="text1"/>
        </w:rPr>
        <w:t xml:space="preserve"> pros</w:t>
      </w:r>
      <w:r>
        <w:rPr>
          <w:rFonts w:eastAsia="Google Sans Text" w:hint="eastAsia"/>
          <w:color w:val="000000" w:themeColor="text1"/>
        </w:rPr>
        <w:t>pective</w:t>
      </w:r>
      <w:r>
        <w:rPr>
          <w:rFonts w:eastAsia="Google Sans Text"/>
          <w:color w:val="000000" w:themeColor="text1"/>
        </w:rPr>
        <w:t xml:space="preserve"> validation in randomized controlled trials.</w:t>
      </w:r>
    </w:p>
    <w:bookmarkEnd w:id="71"/>
    <w:p w14:paraId="5CBBA145" w14:textId="77777777" w:rsidR="00CC3835" w:rsidRDefault="00CC3835">
      <w:pPr>
        <w:pStyle w:val="Text"/>
        <w:ind w:firstLine="420"/>
        <w:rPr>
          <w:rFonts w:eastAsia="微软雅黑"/>
          <w:color w:val="000000" w:themeColor="text1"/>
        </w:rPr>
      </w:pPr>
    </w:p>
    <w:p w14:paraId="2526BF37" w14:textId="6572EDEE" w:rsidR="00CC3835" w:rsidRDefault="00256BAA">
      <w:pPr>
        <w:pStyle w:val="Text"/>
        <w:ind w:firstLine="420"/>
        <w:rPr>
          <w:rFonts w:eastAsia="微软雅黑"/>
          <w:color w:val="000000" w:themeColor="text1"/>
        </w:rPr>
      </w:pPr>
      <w:bookmarkStart w:id="72" w:name="OLE_LINK31"/>
      <w:bookmarkStart w:id="73" w:name="OLE_LINK93"/>
      <w:r>
        <w:rPr>
          <w:rFonts w:eastAsia="微软雅黑"/>
          <w:color w:val="000000" w:themeColor="text1"/>
        </w:rPr>
        <w:t xml:space="preserve">While </w:t>
      </w:r>
      <w:r>
        <w:rPr>
          <w:rFonts w:eastAsia="微软雅黑" w:hint="eastAsia"/>
          <w:color w:val="000000" w:themeColor="text1"/>
          <w:lang w:eastAsia="zh-CN"/>
        </w:rPr>
        <w:t xml:space="preserve">the </w:t>
      </w:r>
      <w:r>
        <w:rPr>
          <w:rFonts w:eastAsia="微软雅黑"/>
          <w:color w:val="000000" w:themeColor="text1"/>
        </w:rPr>
        <w:t xml:space="preserve">brain-heart interaction </w:t>
      </w:r>
      <w:r>
        <w:rPr>
          <w:rFonts w:eastAsia="微软雅黑" w:hint="eastAsia"/>
          <w:color w:val="000000" w:themeColor="text1"/>
        </w:rPr>
        <w:t>is</w:t>
      </w:r>
      <w:r>
        <w:rPr>
          <w:rFonts w:eastAsia="微软雅黑"/>
          <w:color w:val="000000" w:themeColor="text1"/>
        </w:rPr>
        <w:t xml:space="preserve"> well-documented </w:t>
      </w:r>
      <w:r>
        <w:rPr>
          <w:rFonts w:eastAsia="微软雅黑" w:hint="eastAsia"/>
          <w:color w:val="000000" w:themeColor="text1"/>
        </w:rPr>
        <w:t>in the context of</w:t>
      </w:r>
      <w:r>
        <w:rPr>
          <w:rFonts w:eastAsia="微软雅黑"/>
          <w:color w:val="000000" w:themeColor="text1"/>
        </w:rPr>
        <w:t xml:space="preserve"> ischemic stroke, data regarding ICH remain limited</w:t>
      </w:r>
      <w:r>
        <w:rPr>
          <w:rFonts w:eastAsia="微软雅黑" w:hint="eastAsia"/>
          <w:color w:val="000000" w:themeColor="text1"/>
        </w:rPr>
        <w:t xml:space="preserve"> </w:t>
      </w:r>
      <w:r>
        <w:rPr>
          <w:rFonts w:eastAsia="微软雅黑"/>
          <w:color w:val="000000" w:themeColor="text1"/>
        </w:rPr>
        <w:t>[4,</w:t>
      </w:r>
      <w:r>
        <w:rPr>
          <w:rFonts w:eastAsia="微软雅黑" w:hint="eastAsia"/>
          <w:color w:val="000000" w:themeColor="text1"/>
          <w:lang w:eastAsia="zh-CN"/>
        </w:rPr>
        <w:t>43</w:t>
      </w:r>
      <w:r>
        <w:rPr>
          <w:rFonts w:eastAsia="微软雅黑"/>
          <w:color w:val="000000" w:themeColor="text1"/>
        </w:rPr>
        <w:t>]</w:t>
      </w:r>
      <w:r>
        <w:rPr>
          <w:rFonts w:eastAsia="微软雅黑" w:hint="eastAsia"/>
          <w:color w:val="000000" w:themeColor="text1"/>
        </w:rPr>
        <w:t xml:space="preserve">. </w:t>
      </w:r>
      <w:r>
        <w:rPr>
          <w:rFonts w:eastAsia="微软雅黑"/>
          <w:color w:val="000000" w:themeColor="text1"/>
        </w:rPr>
        <w:t xml:space="preserve">Existing </w:t>
      </w:r>
      <w:r>
        <w:rPr>
          <w:rFonts w:eastAsia="微软雅黑" w:hint="eastAsia"/>
          <w:color w:val="000000" w:themeColor="text1"/>
          <w:lang w:eastAsia="zh-CN"/>
        </w:rPr>
        <w:t xml:space="preserve">studies on </w:t>
      </w:r>
      <w:r>
        <w:rPr>
          <w:rFonts w:eastAsia="微软雅黑"/>
          <w:color w:val="000000" w:themeColor="text1"/>
        </w:rPr>
        <w:t xml:space="preserve">ICH </w:t>
      </w:r>
      <w:r>
        <w:rPr>
          <w:rFonts w:eastAsia="微软雅黑" w:hint="eastAsia"/>
          <w:color w:val="000000" w:themeColor="text1"/>
        </w:rPr>
        <w:t>have</w:t>
      </w:r>
      <w:r>
        <w:rPr>
          <w:rFonts w:eastAsia="微软雅黑"/>
          <w:color w:val="000000" w:themeColor="text1"/>
        </w:rPr>
        <w:t xml:space="preserve"> predominantly focused on overt cardiac patho</w:t>
      </w:r>
      <w:r>
        <w:rPr>
          <w:rFonts w:eastAsia="微软雅黑"/>
          <w:color w:val="000000" w:themeColor="text1"/>
        </w:rPr>
        <w:t>log</w:t>
      </w:r>
      <w:r>
        <w:rPr>
          <w:rFonts w:eastAsia="微软雅黑" w:hint="eastAsia"/>
          <w:color w:val="000000" w:themeColor="text1"/>
          <w:lang w:eastAsia="zh-CN"/>
        </w:rPr>
        <w:t>ies</w:t>
      </w:r>
      <w:r>
        <w:rPr>
          <w:rFonts w:eastAsia="微软雅黑" w:hint="eastAsia"/>
          <w:color w:val="000000" w:themeColor="text1"/>
        </w:rPr>
        <w:t>,</w:t>
      </w:r>
      <w:r>
        <w:rPr>
          <w:rFonts w:eastAsia="微软雅黑"/>
          <w:color w:val="000000" w:themeColor="text1"/>
        </w:rPr>
        <w:t xml:space="preserve"> </w:t>
      </w:r>
      <w:r>
        <w:rPr>
          <w:rFonts w:eastAsia="微软雅黑" w:hint="eastAsia"/>
          <w:color w:val="000000" w:themeColor="text1"/>
        </w:rPr>
        <w:t>such as</w:t>
      </w:r>
      <w:r>
        <w:rPr>
          <w:rFonts w:eastAsia="微软雅黑"/>
          <w:color w:val="000000" w:themeColor="text1"/>
        </w:rPr>
        <w:t xml:space="preserve"> myocardial infarction, heart failure, and </w:t>
      </w:r>
      <w:r>
        <w:rPr>
          <w:rFonts w:eastAsia="微软雅黑" w:hint="eastAsia"/>
          <w:color w:val="000000" w:themeColor="text1"/>
        </w:rPr>
        <w:t>severe</w:t>
      </w:r>
      <w:r>
        <w:rPr>
          <w:rFonts w:eastAsia="微软雅黑"/>
          <w:color w:val="000000" w:themeColor="text1"/>
        </w:rPr>
        <w:t xml:space="preserve"> arrhythmia</w:t>
      </w:r>
      <w:r>
        <w:rPr>
          <w:rFonts w:eastAsia="微软雅黑" w:hint="eastAsia"/>
          <w:color w:val="000000" w:themeColor="text1"/>
        </w:rPr>
        <w:t xml:space="preserve">s </w:t>
      </w:r>
      <w:r>
        <w:rPr>
          <w:rFonts w:eastAsia="宋体"/>
          <w:color w:val="000000" w:themeColor="text1"/>
        </w:rPr>
        <w:t>[4</w:t>
      </w:r>
      <w:r>
        <w:rPr>
          <w:rFonts w:eastAsia="宋体" w:hint="eastAsia"/>
          <w:color w:val="000000" w:themeColor="text1"/>
          <w:lang w:eastAsia="zh-CN"/>
        </w:rPr>
        <w:t>4</w:t>
      </w:r>
      <w:r>
        <w:rPr>
          <w:rFonts w:eastAsia="宋体"/>
          <w:color w:val="000000" w:themeColor="text1"/>
        </w:rPr>
        <w:t>–4</w:t>
      </w:r>
      <w:r>
        <w:rPr>
          <w:rFonts w:eastAsia="宋体" w:hint="eastAsia"/>
          <w:color w:val="000000" w:themeColor="text1"/>
          <w:lang w:eastAsia="zh-CN"/>
        </w:rPr>
        <w:t>6</w:t>
      </w:r>
      <w:r>
        <w:rPr>
          <w:rFonts w:eastAsia="宋体"/>
          <w:color w:val="000000" w:themeColor="text1"/>
        </w:rPr>
        <w:t>]</w:t>
      </w:r>
      <w:r>
        <w:rPr>
          <w:rFonts w:eastAsia="微软雅黑"/>
          <w:color w:val="000000" w:themeColor="text1"/>
        </w:rPr>
        <w:t>, neglecting</w:t>
      </w:r>
      <w:r>
        <w:rPr>
          <w:rFonts w:eastAsia="微软雅黑" w:hint="eastAsia"/>
          <w:color w:val="000000" w:themeColor="text1"/>
        </w:rPr>
        <w:t xml:space="preserve"> </w:t>
      </w:r>
      <w:r>
        <w:rPr>
          <w:rFonts w:eastAsia="微软雅黑"/>
          <w:color w:val="000000" w:themeColor="text1"/>
        </w:rPr>
        <w:t xml:space="preserve">the </w:t>
      </w:r>
      <w:r>
        <w:rPr>
          <w:rFonts w:eastAsia="微软雅黑" w:hint="eastAsia"/>
          <w:color w:val="000000" w:themeColor="text1"/>
        </w:rPr>
        <w:t>clinical significance</w:t>
      </w:r>
      <w:r>
        <w:rPr>
          <w:rFonts w:eastAsia="微软雅黑"/>
          <w:color w:val="000000" w:themeColor="text1"/>
        </w:rPr>
        <w:t xml:space="preserve"> of</w:t>
      </w:r>
      <w:r>
        <w:rPr>
          <w:rFonts w:eastAsia="微软雅黑" w:hint="eastAsia"/>
          <w:color w:val="000000" w:themeColor="text1"/>
        </w:rPr>
        <w:t xml:space="preserve"> concealed cardiovascular</w:t>
      </w:r>
      <w:r>
        <w:rPr>
          <w:rFonts w:eastAsia="微软雅黑"/>
          <w:color w:val="000000" w:themeColor="text1"/>
        </w:rPr>
        <w:t xml:space="preserve"> stress. Our findings </w:t>
      </w:r>
      <w:r>
        <w:rPr>
          <w:rFonts w:eastAsia="微软雅黑" w:hint="eastAsia"/>
          <w:color w:val="000000" w:themeColor="text1"/>
          <w:lang w:eastAsia="zh-CN"/>
        </w:rPr>
        <w:t>underscore</w:t>
      </w:r>
      <w:r>
        <w:rPr>
          <w:rFonts w:eastAsia="微软雅黑"/>
          <w:color w:val="000000" w:themeColor="text1"/>
        </w:rPr>
        <w:t xml:space="preserve"> the prognostic </w:t>
      </w:r>
      <w:r>
        <w:rPr>
          <w:rFonts w:eastAsia="微软雅黑" w:hint="eastAsia"/>
          <w:color w:val="000000" w:themeColor="text1"/>
        </w:rPr>
        <w:t>value</w:t>
      </w:r>
      <w:r>
        <w:rPr>
          <w:rFonts w:eastAsia="微软雅黑"/>
          <w:color w:val="000000" w:themeColor="text1"/>
        </w:rPr>
        <w:t xml:space="preserve"> of early cardiac workload assessment using the RPP, an easily obtainable </w:t>
      </w:r>
      <w:r>
        <w:rPr>
          <w:rFonts w:eastAsia="微软雅黑" w:hint="eastAsia"/>
          <w:color w:val="000000" w:themeColor="text1"/>
        </w:rPr>
        <w:t>indicator</w:t>
      </w:r>
      <w:r>
        <w:rPr>
          <w:rFonts w:eastAsia="微软雅黑"/>
          <w:color w:val="000000" w:themeColor="text1"/>
        </w:rPr>
        <w:t xml:space="preserve">. Incorporating RPP into initial risk stratification </w:t>
      </w:r>
      <w:r w:rsidR="00CB5F9D">
        <w:rPr>
          <w:rFonts w:eastAsia="微软雅黑" w:hint="eastAsia"/>
          <w:color w:val="000000" w:themeColor="text1"/>
          <w:lang w:eastAsia="zh-CN"/>
        </w:rPr>
        <w:t>may</w:t>
      </w:r>
      <w:r>
        <w:rPr>
          <w:rFonts w:eastAsia="微软雅黑"/>
          <w:color w:val="000000" w:themeColor="text1"/>
        </w:rPr>
        <w:t xml:space="preserve"> </w:t>
      </w:r>
      <w:r>
        <w:rPr>
          <w:rFonts w:eastAsia="微软雅黑" w:hint="eastAsia"/>
          <w:color w:val="000000" w:themeColor="text1"/>
        </w:rPr>
        <w:t>assist clinicians in identifying</w:t>
      </w:r>
      <w:r>
        <w:rPr>
          <w:rFonts w:eastAsia="微软雅黑"/>
          <w:color w:val="000000" w:themeColor="text1"/>
        </w:rPr>
        <w:t xml:space="preserve"> patients experiencing</w:t>
      </w:r>
      <w:r>
        <w:rPr>
          <w:rFonts w:eastAsia="微软雅黑" w:hint="eastAsia"/>
          <w:color w:val="000000" w:themeColor="text1"/>
        </w:rPr>
        <w:t xml:space="preserve"> </w:t>
      </w:r>
      <w:r>
        <w:rPr>
          <w:rFonts w:eastAsia="微软雅黑"/>
          <w:color w:val="000000" w:themeColor="text1"/>
        </w:rPr>
        <w:t>excessive</w:t>
      </w:r>
      <w:r>
        <w:rPr>
          <w:rFonts w:eastAsia="微软雅黑" w:hint="eastAsia"/>
          <w:color w:val="000000" w:themeColor="text1"/>
        </w:rPr>
        <w:t xml:space="preserve"> cardiovascular stress </w:t>
      </w:r>
      <w:r>
        <w:rPr>
          <w:rFonts w:eastAsia="微软雅黑"/>
          <w:color w:val="000000" w:themeColor="text1"/>
        </w:rPr>
        <w:t>who</w:t>
      </w:r>
      <w:r>
        <w:rPr>
          <w:rFonts w:eastAsia="微软雅黑" w:hint="eastAsia"/>
          <w:color w:val="000000" w:themeColor="text1"/>
        </w:rPr>
        <w:t xml:space="preserve"> may</w:t>
      </w:r>
      <w:r>
        <w:rPr>
          <w:rFonts w:eastAsia="微软雅黑"/>
          <w:color w:val="000000" w:themeColor="text1"/>
        </w:rPr>
        <w:t xml:space="preserve"> require intensified h</w:t>
      </w:r>
      <w:r>
        <w:rPr>
          <w:rFonts w:eastAsia="微软雅黑"/>
          <w:color w:val="000000" w:themeColor="text1"/>
        </w:rPr>
        <w:t xml:space="preserve">emodynamic monitoring beyond </w:t>
      </w:r>
      <w:r>
        <w:rPr>
          <w:rFonts w:eastAsia="微软雅黑" w:hint="eastAsia"/>
          <w:color w:val="000000" w:themeColor="text1"/>
        </w:rPr>
        <w:t>standard</w:t>
      </w:r>
      <w:r>
        <w:rPr>
          <w:rFonts w:eastAsia="微软雅黑"/>
          <w:color w:val="000000" w:themeColor="text1"/>
        </w:rPr>
        <w:t xml:space="preserve"> blood pressure management.</w:t>
      </w:r>
      <w:bookmarkEnd w:id="72"/>
    </w:p>
    <w:bookmarkEnd w:id="73"/>
    <w:p w14:paraId="5A827114" w14:textId="77777777" w:rsidR="00CC3835" w:rsidRDefault="00CC3835">
      <w:pPr>
        <w:pStyle w:val="Text"/>
        <w:ind w:firstLine="420"/>
        <w:rPr>
          <w:rFonts w:eastAsia="微软雅黑"/>
          <w:color w:val="000000" w:themeColor="text1"/>
        </w:rPr>
      </w:pPr>
    </w:p>
    <w:p w14:paraId="5938ECC6" w14:textId="77777777" w:rsidR="00CC3835" w:rsidRDefault="00256BAA">
      <w:pPr>
        <w:pStyle w:val="Text"/>
        <w:ind w:firstLine="420"/>
        <w:rPr>
          <w:rFonts w:eastAsia="微软雅黑"/>
          <w:color w:val="000000" w:themeColor="text1"/>
          <w:lang w:eastAsia="zh-CN"/>
        </w:rPr>
      </w:pPr>
      <w:bookmarkStart w:id="74" w:name="OLE_LINK33"/>
      <w:bookmarkStart w:id="75" w:name="OLE_LINK32"/>
      <w:r>
        <w:rPr>
          <w:rFonts w:eastAsia="微软雅黑" w:hint="eastAsia"/>
          <w:color w:val="000000" w:themeColor="text1"/>
        </w:rPr>
        <w:t>However, several limitations must be acknowledged</w:t>
      </w:r>
      <w:r>
        <w:rPr>
          <w:rFonts w:eastAsia="微软雅黑"/>
          <w:color w:val="000000" w:themeColor="text1"/>
        </w:rPr>
        <w:t xml:space="preserve">. First, </w:t>
      </w:r>
      <w:r>
        <w:rPr>
          <w:rFonts w:eastAsia="微软雅黑" w:hint="eastAsia"/>
          <w:color w:val="000000" w:themeColor="text1"/>
        </w:rPr>
        <w:t>as this is</w:t>
      </w:r>
      <w:r>
        <w:rPr>
          <w:rFonts w:eastAsia="微软雅黑" w:hint="eastAsia"/>
          <w:color w:val="000000" w:themeColor="text1"/>
          <w:lang w:eastAsia="zh-CN"/>
        </w:rPr>
        <w:t xml:space="preserve"> an</w:t>
      </w:r>
      <w:r>
        <w:rPr>
          <w:rFonts w:eastAsia="微软雅黑"/>
          <w:color w:val="000000" w:themeColor="text1"/>
        </w:rPr>
        <w:t xml:space="preserve"> observational study, </w:t>
      </w:r>
      <w:r>
        <w:rPr>
          <w:rFonts w:eastAsia="微软雅黑" w:hint="eastAsia"/>
          <w:color w:val="000000" w:themeColor="text1"/>
        </w:rPr>
        <w:t>the potential for residual confounding cannot be entirely ruled out</w:t>
      </w:r>
      <w:r>
        <w:rPr>
          <w:rFonts w:eastAsia="微软雅黑" w:hint="eastAsia"/>
          <w:color w:val="000000" w:themeColor="text1"/>
          <w:lang w:eastAsia="zh-CN"/>
        </w:rPr>
        <w:t>,</w:t>
      </w:r>
      <w:r>
        <w:rPr>
          <w:rFonts w:eastAsia="微软雅黑"/>
          <w:color w:val="000000" w:themeColor="text1"/>
        </w:rPr>
        <w:t xml:space="preserve"> despite comprehensive multiv</w:t>
      </w:r>
      <w:r>
        <w:rPr>
          <w:rFonts w:eastAsia="微软雅黑"/>
          <w:color w:val="000000" w:themeColor="text1"/>
        </w:rPr>
        <w:t>ariable adjustment.</w:t>
      </w:r>
      <w:r>
        <w:rPr>
          <w:rFonts w:eastAsia="微软雅黑" w:hint="eastAsia"/>
          <w:color w:val="000000" w:themeColor="text1"/>
        </w:rPr>
        <w:t xml:space="preserve"> </w:t>
      </w:r>
      <w:r>
        <w:rPr>
          <w:rFonts w:eastAsia="微软雅黑"/>
          <w:color w:val="000000" w:themeColor="text1"/>
        </w:rPr>
        <w:t>Second,</w:t>
      </w:r>
      <w:r>
        <w:rPr>
          <w:rFonts w:eastAsia="微软雅黑" w:hint="eastAsia"/>
          <w:color w:val="000000" w:themeColor="text1"/>
          <w:lang w:eastAsia="zh-CN"/>
        </w:rPr>
        <w:t xml:space="preserve"> due to limitations in the database, </w:t>
      </w:r>
      <w:r>
        <w:rPr>
          <w:rFonts w:eastAsia="微软雅黑" w:hint="eastAsia"/>
          <w:color w:val="000000" w:themeColor="text1"/>
        </w:rPr>
        <w:t>cardiac workload was assessed using a single admission RPP measurement, which may not fully reflect the dynamic nature of sympathetic activation and hemodynamic fluctuations during the early p</w:t>
      </w:r>
      <w:r>
        <w:rPr>
          <w:rFonts w:eastAsia="微软雅黑" w:hint="eastAsia"/>
          <w:color w:val="000000" w:themeColor="text1"/>
        </w:rPr>
        <w:t>hase of ICH. The trajectory of RPP over the first 24</w:t>
      </w:r>
      <w:r>
        <w:rPr>
          <w:rFonts w:eastAsia="微软雅黑"/>
          <w:color w:val="000000" w:themeColor="text1"/>
        </w:rPr>
        <w:t>–</w:t>
      </w:r>
      <w:r>
        <w:rPr>
          <w:rFonts w:eastAsia="微软雅黑" w:hint="eastAsia"/>
          <w:color w:val="000000" w:themeColor="text1"/>
        </w:rPr>
        <w:t>72 hours</w:t>
      </w:r>
      <w:r>
        <w:rPr>
          <w:rFonts w:eastAsia="微软雅黑" w:hint="eastAsia"/>
          <w:color w:val="000000" w:themeColor="text1"/>
          <w:lang w:eastAsia="zh-CN"/>
        </w:rPr>
        <w:t xml:space="preserve"> </w:t>
      </w:r>
      <w:r>
        <w:rPr>
          <w:rFonts w:eastAsia="微软雅黑" w:hint="eastAsia"/>
          <w:color w:val="000000" w:themeColor="text1"/>
        </w:rPr>
        <w:t>may hold greater prognostic value than the initial baseline value</w:t>
      </w:r>
      <w:r>
        <w:rPr>
          <w:rFonts w:eastAsia="微软雅黑" w:hint="eastAsia"/>
          <w:color w:val="000000" w:themeColor="text1"/>
          <w:lang w:eastAsia="zh-CN"/>
        </w:rPr>
        <w:t xml:space="preserve"> alone</w:t>
      </w:r>
      <w:r>
        <w:rPr>
          <w:rFonts w:eastAsia="微软雅黑" w:hint="eastAsia"/>
          <w:color w:val="000000" w:themeColor="text1"/>
        </w:rPr>
        <w:t xml:space="preserve">. Future studies utilizing continuous hemodynamic monitoring or repeated-measures analysis are warranted to better capture </w:t>
      </w:r>
      <w:r>
        <w:rPr>
          <w:rFonts w:eastAsia="微软雅黑" w:hint="eastAsia"/>
          <w:color w:val="000000" w:themeColor="text1"/>
        </w:rPr>
        <w:t>the impact of these dynamic fluctuations on clinical outcomes.</w:t>
      </w:r>
      <w:r>
        <w:rPr>
          <w:rFonts w:eastAsia="微软雅黑"/>
          <w:color w:val="000000" w:themeColor="text1"/>
          <w:lang w:eastAsia="zh-CN"/>
        </w:rPr>
        <w:t xml:space="preserve"> </w:t>
      </w:r>
      <w:r>
        <w:rPr>
          <w:rFonts w:eastAsia="微软雅黑"/>
          <w:color w:val="000000" w:themeColor="text1"/>
        </w:rPr>
        <w:t>Third,</w:t>
      </w:r>
      <w:r>
        <w:rPr>
          <w:color w:val="000000" w:themeColor="text1"/>
        </w:rPr>
        <w:t xml:space="preserve"> </w:t>
      </w:r>
      <w:r>
        <w:rPr>
          <w:rFonts w:eastAsia="微软雅黑"/>
          <w:color w:val="000000" w:themeColor="text1"/>
        </w:rPr>
        <w:t xml:space="preserve">we lacked specific data </w:t>
      </w:r>
      <w:r>
        <w:rPr>
          <w:rFonts w:eastAsia="微软雅黑" w:hint="eastAsia"/>
          <w:color w:val="000000" w:themeColor="text1"/>
        </w:rPr>
        <w:t>regarding</w:t>
      </w:r>
      <w:r>
        <w:rPr>
          <w:rFonts w:eastAsia="微软雅黑"/>
          <w:color w:val="000000" w:themeColor="text1"/>
        </w:rPr>
        <w:t xml:space="preserve"> the cause of death (cardiac vs. neurological)</w:t>
      </w:r>
      <w:r>
        <w:rPr>
          <w:rFonts w:eastAsia="微软雅黑" w:hint="eastAsia"/>
          <w:color w:val="000000" w:themeColor="text1"/>
        </w:rPr>
        <w:t>, as well as access to</w:t>
      </w:r>
      <w:r>
        <w:rPr>
          <w:rFonts w:eastAsia="微软雅黑"/>
          <w:color w:val="000000" w:themeColor="text1"/>
        </w:rPr>
        <w:t xml:space="preserve"> cardiac imaging or biomarker</w:t>
      </w:r>
      <w:r>
        <w:rPr>
          <w:rFonts w:eastAsia="微软雅黑" w:hint="eastAsia"/>
          <w:color w:val="000000" w:themeColor="text1"/>
        </w:rPr>
        <w:t xml:space="preserve"> data</w:t>
      </w:r>
      <w:r>
        <w:rPr>
          <w:rFonts w:eastAsia="微软雅黑"/>
          <w:color w:val="000000" w:themeColor="text1"/>
        </w:rPr>
        <w:t xml:space="preserve"> to definitively confirm cardiac injury. </w:t>
      </w:r>
      <w:bookmarkEnd w:id="74"/>
      <w:r>
        <w:rPr>
          <w:rFonts w:eastAsia="微软雅黑" w:hint="eastAsia"/>
          <w:color w:val="000000" w:themeColor="text1"/>
        </w:rPr>
        <w:t>Fourth,</w:t>
      </w:r>
      <w:r>
        <w:rPr>
          <w:rFonts w:eastAsia="微软雅黑" w:hint="eastAsia"/>
          <w:color w:val="000000" w:themeColor="text1"/>
          <w:lang w:eastAsia="zh-CN"/>
        </w:rPr>
        <w:t xml:space="preserve"> our </w:t>
      </w:r>
      <w:r>
        <w:rPr>
          <w:rFonts w:eastAsia="微软雅黑" w:hint="eastAsia"/>
          <w:color w:val="000000" w:themeColor="text1"/>
          <w:lang w:eastAsia="zh-CN"/>
        </w:rPr>
        <w:lastRenderedPageBreak/>
        <w:t>cohort was predominantly male (67%), which may limit the generalizability of the findings to female patients. Future studies with a more balanced sex distribution are warranted to validate the present results.</w:t>
      </w:r>
    </w:p>
    <w:bookmarkEnd w:id="19"/>
    <w:bookmarkEnd w:id="20"/>
    <w:bookmarkEnd w:id="53"/>
    <w:bookmarkEnd w:id="75"/>
    <w:p w14:paraId="77E03FF8" w14:textId="77777777" w:rsidR="00CC3835" w:rsidRDefault="00CC3835">
      <w:pPr>
        <w:spacing w:line="360" w:lineRule="auto"/>
        <w:rPr>
          <w:rFonts w:ascii="Times New Roman" w:eastAsia="微软雅黑" w:hAnsi="Times New Roman"/>
          <w:color w:val="000000" w:themeColor="text1"/>
          <w:sz w:val="22"/>
          <w:szCs w:val="22"/>
        </w:rPr>
      </w:pPr>
    </w:p>
    <w:p w14:paraId="7102F757" w14:textId="77777777" w:rsidR="00CC3835" w:rsidRDefault="00256BAA">
      <w:pPr>
        <w:pStyle w:val="1"/>
        <w:rPr>
          <w:color w:val="000000" w:themeColor="text1"/>
        </w:rPr>
      </w:pPr>
      <w:bookmarkStart w:id="76" w:name="OLE_LINK42"/>
      <w:bookmarkEnd w:id="54"/>
      <w:r>
        <w:rPr>
          <w:color w:val="000000" w:themeColor="text1"/>
        </w:rPr>
        <w:t xml:space="preserve">5. </w:t>
      </w:r>
      <w:r>
        <w:rPr>
          <w:rFonts w:hint="eastAsia"/>
          <w:color w:val="000000" w:themeColor="text1"/>
        </w:rPr>
        <w:t>C</w:t>
      </w:r>
      <w:r>
        <w:rPr>
          <w:color w:val="000000" w:themeColor="text1"/>
        </w:rPr>
        <w:t>onclusion</w:t>
      </w:r>
      <w:r>
        <w:rPr>
          <w:rFonts w:hint="eastAsia"/>
          <w:color w:val="000000" w:themeColor="text1"/>
        </w:rPr>
        <w:t>s</w:t>
      </w:r>
    </w:p>
    <w:p w14:paraId="19D7B42D" w14:textId="77777777" w:rsidR="00CC3835" w:rsidRDefault="00256BAA">
      <w:pPr>
        <w:pStyle w:val="Text"/>
        <w:ind w:firstLine="420"/>
        <w:rPr>
          <w:rFonts w:eastAsia="微软雅黑"/>
          <w:color w:val="000000" w:themeColor="text1"/>
        </w:rPr>
      </w:pPr>
      <w:bookmarkStart w:id="77" w:name="OLE_LINK88"/>
      <w:bookmarkStart w:id="78" w:name="OLE_LINK45"/>
      <w:r>
        <w:rPr>
          <w:rFonts w:eastAsia="微软雅黑" w:hint="eastAsia"/>
          <w:color w:val="000000" w:themeColor="text1"/>
          <w:lang w:eastAsia="zh-CN"/>
        </w:rPr>
        <w:t>In</w:t>
      </w:r>
      <w:r>
        <w:rPr>
          <w:rFonts w:eastAsia="微软雅黑" w:hint="eastAsia"/>
          <w:color w:val="000000" w:themeColor="text1"/>
        </w:rPr>
        <w:t xml:space="preserve"> this </w:t>
      </w:r>
      <w:r>
        <w:rPr>
          <w:rFonts w:eastAsia="微软雅黑" w:hint="eastAsia"/>
          <w:color w:val="000000" w:themeColor="text1"/>
          <w:lang w:eastAsia="zh-CN"/>
        </w:rPr>
        <w:t xml:space="preserve">large, </w:t>
      </w:r>
      <w:r>
        <w:rPr>
          <w:rFonts w:eastAsia="微软雅黑" w:hint="eastAsia"/>
          <w:color w:val="000000" w:themeColor="text1"/>
        </w:rPr>
        <w:t>multicenter, prospective cohort</w:t>
      </w:r>
      <w:r>
        <w:rPr>
          <w:rFonts w:eastAsia="微软雅黑" w:hint="eastAsia"/>
          <w:color w:val="000000" w:themeColor="text1"/>
          <w:lang w:eastAsia="zh-CN"/>
        </w:rPr>
        <w:t xml:space="preserve"> (67.1% male)</w:t>
      </w:r>
      <w:r>
        <w:rPr>
          <w:rFonts w:eastAsia="微软雅黑" w:hint="eastAsia"/>
          <w:color w:val="000000" w:themeColor="text1"/>
        </w:rPr>
        <w:t xml:space="preserve">, </w:t>
      </w:r>
      <w:r>
        <w:rPr>
          <w:rFonts w:eastAsia="微软雅黑" w:hint="eastAsia"/>
          <w:color w:val="000000" w:themeColor="text1"/>
          <w:lang w:eastAsia="zh-CN"/>
        </w:rPr>
        <w:t>e</w:t>
      </w:r>
      <w:r>
        <w:rPr>
          <w:rFonts w:eastAsia="微软雅黑"/>
          <w:color w:val="000000" w:themeColor="text1"/>
        </w:rPr>
        <w:t xml:space="preserve">arly cardiac workload, quantified by </w:t>
      </w:r>
      <w:r>
        <w:rPr>
          <w:rFonts w:eastAsia="微软雅黑" w:hint="eastAsia"/>
          <w:color w:val="000000" w:themeColor="text1"/>
        </w:rPr>
        <w:t xml:space="preserve">the </w:t>
      </w:r>
      <w:r>
        <w:rPr>
          <w:rFonts w:eastAsia="微软雅黑"/>
          <w:color w:val="000000" w:themeColor="text1"/>
        </w:rPr>
        <w:t xml:space="preserve">RPP, </w:t>
      </w:r>
      <w:r>
        <w:rPr>
          <w:rFonts w:eastAsia="微软雅黑" w:hint="eastAsia"/>
          <w:color w:val="000000" w:themeColor="text1"/>
        </w:rPr>
        <w:t xml:space="preserve">serves as </w:t>
      </w:r>
      <w:r>
        <w:rPr>
          <w:rFonts w:eastAsia="微软雅黑"/>
          <w:color w:val="000000" w:themeColor="text1"/>
        </w:rPr>
        <w:t>a potent independent predictor of long-term unfavorable functional outcome and all-cause mortality in patients with ICH</w:t>
      </w:r>
      <w:bookmarkEnd w:id="77"/>
      <w:r>
        <w:rPr>
          <w:rFonts w:eastAsia="微软雅黑"/>
          <w:color w:val="000000" w:themeColor="text1"/>
        </w:rPr>
        <w:t>.</w:t>
      </w:r>
      <w:r>
        <w:rPr>
          <w:rFonts w:eastAsia="微软雅黑" w:hint="eastAsia"/>
          <w:color w:val="000000" w:themeColor="text1"/>
        </w:rPr>
        <w:t xml:space="preserve"> </w:t>
      </w:r>
      <w:bookmarkEnd w:id="21"/>
      <w:bookmarkEnd w:id="76"/>
      <w:bookmarkEnd w:id="78"/>
      <w:r>
        <w:rPr>
          <w:rFonts w:eastAsia="微软雅黑"/>
          <w:color w:val="000000" w:themeColor="text1"/>
        </w:rPr>
        <w:t>These findings underscore the pr</w:t>
      </w:r>
      <w:r>
        <w:rPr>
          <w:rFonts w:eastAsia="微软雅黑"/>
          <w:color w:val="000000" w:themeColor="text1"/>
        </w:rPr>
        <w:t xml:space="preserve">ognostic relevance of the brain–heart </w:t>
      </w:r>
      <w:r>
        <w:rPr>
          <w:rFonts w:eastAsia="微软雅黑" w:hint="eastAsia"/>
          <w:color w:val="000000" w:themeColor="text1"/>
        </w:rPr>
        <w:t>interaction</w:t>
      </w:r>
      <w:r>
        <w:rPr>
          <w:rFonts w:eastAsia="微软雅黑"/>
          <w:color w:val="000000" w:themeColor="text1"/>
        </w:rPr>
        <w:t xml:space="preserve"> and highlight the potential clinical </w:t>
      </w:r>
      <w:r>
        <w:rPr>
          <w:rFonts w:eastAsia="微软雅黑" w:hint="eastAsia"/>
          <w:color w:val="000000" w:themeColor="text1"/>
        </w:rPr>
        <w:t>value</w:t>
      </w:r>
      <w:r>
        <w:rPr>
          <w:rFonts w:eastAsia="微软雅黑"/>
          <w:color w:val="000000" w:themeColor="text1"/>
        </w:rPr>
        <w:t xml:space="preserve"> of monitoring cardiovascular stress during the acute phase of ICH.</w:t>
      </w:r>
    </w:p>
    <w:p w14:paraId="0327E7A9" w14:textId="77777777" w:rsidR="00CC3835" w:rsidRDefault="00CC3835">
      <w:pPr>
        <w:pStyle w:val="11"/>
        <w:spacing w:line="360" w:lineRule="auto"/>
        <w:jc w:val="both"/>
        <w:rPr>
          <w:rFonts w:ascii="Times New Roman" w:eastAsia="微软雅黑" w:hAnsi="Times New Roman" w:cs="Times New Roman"/>
          <w:color w:val="000000" w:themeColor="text1"/>
          <w:lang w:val="en-US"/>
        </w:rPr>
      </w:pPr>
    </w:p>
    <w:p w14:paraId="2CEEF28C" w14:textId="77777777" w:rsidR="00CC3835" w:rsidRDefault="00256BAA">
      <w:pPr>
        <w:pStyle w:val="Backmatter"/>
        <w:spacing w:before="156" w:after="156"/>
        <w:rPr>
          <w:rFonts w:eastAsia="微软雅黑"/>
          <w:color w:val="000000" w:themeColor="text1"/>
        </w:rPr>
      </w:pPr>
      <w:bookmarkStart w:id="79" w:name="OLE_LINK1"/>
      <w:bookmarkStart w:id="80" w:name="OLE_LINK19"/>
      <w:r>
        <w:rPr>
          <w:rFonts w:eastAsia="微软雅黑"/>
          <w:color w:val="000000" w:themeColor="text1"/>
        </w:rPr>
        <w:t>Reference</w:t>
      </w:r>
    </w:p>
    <w:p w14:paraId="65DBA885" w14:textId="77777777" w:rsidR="00CC3835" w:rsidRDefault="00256BAA">
      <w:pPr>
        <w:pStyle w:val="Reference"/>
        <w:ind w:left="360" w:hanging="360"/>
        <w:rPr>
          <w:color w:val="000000" w:themeColor="text1"/>
        </w:rPr>
      </w:pPr>
      <w:r>
        <w:rPr>
          <w:color w:val="000000" w:themeColor="text1"/>
        </w:rPr>
        <w:t>[1]</w:t>
      </w:r>
      <w:r>
        <w:rPr>
          <w:color w:val="000000" w:themeColor="text1"/>
        </w:rPr>
        <w:tab/>
        <w:t xml:space="preserve">Sheth KN. Spontaneous Intracerebral Hemorrhage. New England Journal of Medicine. </w:t>
      </w:r>
      <w:r>
        <w:rPr>
          <w:color w:val="000000" w:themeColor="text1"/>
        </w:rPr>
        <w:t>2022; 387: 1589–</w:t>
      </w:r>
      <w:r>
        <w:rPr>
          <w:rFonts w:hint="eastAsia"/>
          <w:color w:val="000000" w:themeColor="text1"/>
          <w:lang w:eastAsia="zh-CN"/>
        </w:rPr>
        <w:t>15</w:t>
      </w:r>
      <w:r>
        <w:rPr>
          <w:color w:val="000000" w:themeColor="text1"/>
        </w:rPr>
        <w:t>96. https://doi.org/10.1056/NEJMra2201449.</w:t>
      </w:r>
    </w:p>
    <w:p w14:paraId="36DCE7FC" w14:textId="77777777" w:rsidR="00CC3835" w:rsidRDefault="00256BAA">
      <w:pPr>
        <w:pStyle w:val="Reference"/>
        <w:ind w:left="360" w:hanging="360"/>
        <w:rPr>
          <w:color w:val="000000" w:themeColor="text1"/>
        </w:rPr>
      </w:pPr>
      <w:r>
        <w:rPr>
          <w:color w:val="000000" w:themeColor="text1"/>
        </w:rPr>
        <w:t>[2]</w:t>
      </w:r>
      <w:r>
        <w:rPr>
          <w:color w:val="000000" w:themeColor="text1"/>
        </w:rPr>
        <w:tab/>
        <w:t xml:space="preserve">van Asch CJ, </w:t>
      </w:r>
      <w:proofErr w:type="spellStart"/>
      <w:r>
        <w:rPr>
          <w:color w:val="000000" w:themeColor="text1"/>
        </w:rPr>
        <w:t>Luitse</w:t>
      </w:r>
      <w:proofErr w:type="spellEnd"/>
      <w:r>
        <w:rPr>
          <w:color w:val="000000" w:themeColor="text1"/>
        </w:rPr>
        <w:t xml:space="preserve"> MJ, </w:t>
      </w:r>
      <w:proofErr w:type="spellStart"/>
      <w:r>
        <w:rPr>
          <w:color w:val="000000" w:themeColor="text1"/>
        </w:rPr>
        <w:t>Rinkel</w:t>
      </w:r>
      <w:proofErr w:type="spellEnd"/>
      <w:r>
        <w:rPr>
          <w:color w:val="000000" w:themeColor="text1"/>
        </w:rPr>
        <w:t xml:space="preserve"> GJ, van der Tweel I, </w:t>
      </w:r>
      <w:proofErr w:type="spellStart"/>
      <w:r>
        <w:rPr>
          <w:color w:val="000000" w:themeColor="text1"/>
        </w:rPr>
        <w:t>Algra</w:t>
      </w:r>
      <w:proofErr w:type="spellEnd"/>
      <w:r>
        <w:rPr>
          <w:color w:val="000000" w:themeColor="text1"/>
        </w:rPr>
        <w:t xml:space="preserve"> A, </w:t>
      </w:r>
      <w:proofErr w:type="spellStart"/>
      <w:r>
        <w:rPr>
          <w:color w:val="000000" w:themeColor="text1"/>
        </w:rPr>
        <w:t>Klijn</w:t>
      </w:r>
      <w:proofErr w:type="spellEnd"/>
      <w:r>
        <w:rPr>
          <w:color w:val="000000" w:themeColor="text1"/>
        </w:rPr>
        <w:t xml:space="preserve"> CJ. Incidence, case fatality, and functional outcome of intracerebral </w:t>
      </w:r>
      <w:proofErr w:type="spellStart"/>
      <w:r>
        <w:rPr>
          <w:color w:val="000000" w:themeColor="text1"/>
        </w:rPr>
        <w:t>haemorrhage</w:t>
      </w:r>
      <w:proofErr w:type="spellEnd"/>
      <w:r>
        <w:rPr>
          <w:color w:val="000000" w:themeColor="text1"/>
        </w:rPr>
        <w:t xml:space="preserve"> over time, according to age, sex, and ethn</w:t>
      </w:r>
      <w:r>
        <w:rPr>
          <w:color w:val="000000" w:themeColor="text1"/>
        </w:rPr>
        <w:t>ic origin: a systematic review and meta-analysis. The Lancet Neurology. 2010; 9: 167–</w:t>
      </w:r>
      <w:r>
        <w:rPr>
          <w:rFonts w:hint="eastAsia"/>
          <w:color w:val="000000" w:themeColor="text1"/>
          <w:lang w:eastAsia="zh-CN"/>
        </w:rPr>
        <w:t>1</w:t>
      </w:r>
      <w:r>
        <w:rPr>
          <w:color w:val="000000" w:themeColor="text1"/>
        </w:rPr>
        <w:t>76. https://doi.org/10.1016/S1474-4422(09)70340-0.</w:t>
      </w:r>
    </w:p>
    <w:p w14:paraId="53BC7714" w14:textId="77777777" w:rsidR="00CC3835" w:rsidRDefault="00256BAA">
      <w:pPr>
        <w:pStyle w:val="Reference"/>
        <w:ind w:left="360" w:hanging="360"/>
        <w:rPr>
          <w:color w:val="000000" w:themeColor="text1"/>
        </w:rPr>
      </w:pPr>
      <w:r>
        <w:rPr>
          <w:color w:val="000000" w:themeColor="text1"/>
        </w:rPr>
        <w:t>[3]</w:t>
      </w:r>
      <w:r>
        <w:rPr>
          <w:color w:val="000000" w:themeColor="text1"/>
        </w:rPr>
        <w:tab/>
        <w:t xml:space="preserve">An SJ, Kim TJ, Yoon B-W. Epidemiology, Risk Factors, and Clinical Features of Intracerebral Hemorrhage: An Update. </w:t>
      </w:r>
      <w:r>
        <w:rPr>
          <w:color w:val="000000" w:themeColor="text1"/>
        </w:rPr>
        <w:t>Journal of Stroke. 2017; 19: 3–10. https://doi.org/10.5853/jos.2016.00864.</w:t>
      </w:r>
    </w:p>
    <w:p w14:paraId="00310D84" w14:textId="77777777" w:rsidR="00CC3835" w:rsidRDefault="00256BAA">
      <w:pPr>
        <w:pStyle w:val="Reference"/>
        <w:ind w:left="360" w:hanging="360"/>
        <w:rPr>
          <w:color w:val="000000" w:themeColor="text1"/>
        </w:rPr>
      </w:pPr>
      <w:r>
        <w:rPr>
          <w:color w:val="000000" w:themeColor="text1"/>
        </w:rPr>
        <w:t>[4]</w:t>
      </w:r>
      <w:r>
        <w:rPr>
          <w:color w:val="000000" w:themeColor="text1"/>
        </w:rPr>
        <w:tab/>
      </w:r>
      <w:proofErr w:type="spellStart"/>
      <w:r>
        <w:rPr>
          <w:color w:val="000000" w:themeColor="text1"/>
        </w:rPr>
        <w:t>Scheitz</w:t>
      </w:r>
      <w:proofErr w:type="spellEnd"/>
      <w:r>
        <w:rPr>
          <w:color w:val="000000" w:themeColor="text1"/>
        </w:rPr>
        <w:t xml:space="preserve"> JF, </w:t>
      </w:r>
      <w:proofErr w:type="spellStart"/>
      <w:r>
        <w:rPr>
          <w:color w:val="000000" w:themeColor="text1"/>
        </w:rPr>
        <w:t>Sposato</w:t>
      </w:r>
      <w:proofErr w:type="spellEnd"/>
      <w:r>
        <w:rPr>
          <w:color w:val="000000" w:themeColor="text1"/>
        </w:rPr>
        <w:t xml:space="preserve"> LA, Schulz‐Menger J, Nolte CH, Backs J, Endres M. Stroke–Heart Syndrome: Recent Advances and Challenges. Journal of the American Heart Association. 2022; 11:</w:t>
      </w:r>
      <w:r>
        <w:rPr>
          <w:color w:val="000000" w:themeColor="text1"/>
        </w:rPr>
        <w:t xml:space="preserve"> e026528. https://doi.org/10.1161/JAHA.122.026528.</w:t>
      </w:r>
    </w:p>
    <w:p w14:paraId="74E02CDC" w14:textId="77777777" w:rsidR="00CC3835" w:rsidRDefault="00256BAA">
      <w:pPr>
        <w:pStyle w:val="Reference"/>
        <w:ind w:left="360" w:hanging="360"/>
        <w:rPr>
          <w:color w:val="000000" w:themeColor="text1"/>
        </w:rPr>
      </w:pPr>
      <w:r>
        <w:rPr>
          <w:color w:val="000000" w:themeColor="text1"/>
        </w:rPr>
        <w:t>[5]</w:t>
      </w:r>
      <w:r>
        <w:rPr>
          <w:color w:val="000000" w:themeColor="text1"/>
        </w:rPr>
        <w:tab/>
        <w:t xml:space="preserve">Sposato LA, </w:t>
      </w:r>
      <w:proofErr w:type="spellStart"/>
      <w:r>
        <w:rPr>
          <w:color w:val="000000" w:themeColor="text1"/>
        </w:rPr>
        <w:t>Hilz</w:t>
      </w:r>
      <w:proofErr w:type="spellEnd"/>
      <w:r>
        <w:rPr>
          <w:color w:val="000000" w:themeColor="text1"/>
        </w:rPr>
        <w:t xml:space="preserve"> MJ, </w:t>
      </w:r>
      <w:proofErr w:type="spellStart"/>
      <w:r>
        <w:rPr>
          <w:color w:val="000000" w:themeColor="text1"/>
        </w:rPr>
        <w:t>Aspberg</w:t>
      </w:r>
      <w:proofErr w:type="spellEnd"/>
      <w:r>
        <w:rPr>
          <w:color w:val="000000" w:themeColor="text1"/>
        </w:rPr>
        <w:t xml:space="preserve"> S, Murthy SB, </w:t>
      </w:r>
      <w:proofErr w:type="spellStart"/>
      <w:r>
        <w:rPr>
          <w:color w:val="000000" w:themeColor="text1"/>
        </w:rPr>
        <w:t>Bahit</w:t>
      </w:r>
      <w:proofErr w:type="spellEnd"/>
      <w:r>
        <w:rPr>
          <w:color w:val="000000" w:themeColor="text1"/>
        </w:rPr>
        <w:t xml:space="preserve"> MC, Hsieh C-Y, et al. Post-Stroke Cardiovascular Complications and Neurogenic Cardiac Injury. Journal of the American College of Cardiology. 2020; 76: 2</w:t>
      </w:r>
      <w:r>
        <w:rPr>
          <w:color w:val="000000" w:themeColor="text1"/>
        </w:rPr>
        <w:t>768–</w:t>
      </w:r>
      <w:r>
        <w:rPr>
          <w:rFonts w:hint="eastAsia"/>
          <w:color w:val="000000" w:themeColor="text1"/>
          <w:lang w:eastAsia="zh-CN"/>
        </w:rPr>
        <w:t>27</w:t>
      </w:r>
      <w:r>
        <w:rPr>
          <w:color w:val="000000" w:themeColor="text1"/>
        </w:rPr>
        <w:t>85. https://doi.org/10.1016/j.jacc.2020.10.009.</w:t>
      </w:r>
    </w:p>
    <w:p w14:paraId="5725DEB2" w14:textId="77777777" w:rsidR="00CC3835" w:rsidRDefault="00256BAA">
      <w:pPr>
        <w:pStyle w:val="Reference"/>
        <w:ind w:left="360" w:hanging="360"/>
        <w:rPr>
          <w:color w:val="000000" w:themeColor="text1"/>
        </w:rPr>
      </w:pPr>
      <w:r>
        <w:rPr>
          <w:color w:val="000000" w:themeColor="text1"/>
        </w:rPr>
        <w:t>[6]</w:t>
      </w:r>
      <w:r>
        <w:rPr>
          <w:color w:val="000000" w:themeColor="text1"/>
        </w:rPr>
        <w:tab/>
        <w:t>Chen Z, Venkat P, Seyfried D, Chopp M, Yan T, Chen J. Brain–Heart Interaction</w:t>
      </w:r>
      <w:r>
        <w:rPr>
          <w:rFonts w:hint="eastAsia"/>
          <w:color w:val="000000" w:themeColor="text1"/>
        </w:rPr>
        <w:t>: Cardiac Complications After Stroke</w:t>
      </w:r>
      <w:r>
        <w:rPr>
          <w:color w:val="000000" w:themeColor="text1"/>
        </w:rPr>
        <w:t>. Circulation Research. 2017; 121: 451–</w:t>
      </w:r>
      <w:r>
        <w:rPr>
          <w:rFonts w:hint="eastAsia"/>
          <w:color w:val="000000" w:themeColor="text1"/>
          <w:lang w:eastAsia="zh-CN"/>
        </w:rPr>
        <w:t>4</w:t>
      </w:r>
      <w:r>
        <w:rPr>
          <w:color w:val="000000" w:themeColor="text1"/>
        </w:rPr>
        <w:t>68. https://doi.org/10.1161/CIRCRESAHA.117.31</w:t>
      </w:r>
      <w:r>
        <w:rPr>
          <w:color w:val="000000" w:themeColor="text1"/>
        </w:rPr>
        <w:t>1170.</w:t>
      </w:r>
    </w:p>
    <w:p w14:paraId="62DD3498" w14:textId="77777777" w:rsidR="00CC3835" w:rsidRDefault="00256BAA">
      <w:pPr>
        <w:pStyle w:val="Reference"/>
        <w:ind w:left="360" w:hanging="360"/>
        <w:rPr>
          <w:color w:val="000000" w:themeColor="text1"/>
        </w:rPr>
      </w:pPr>
      <w:r>
        <w:rPr>
          <w:color w:val="000000" w:themeColor="text1"/>
        </w:rPr>
        <w:t>[7]</w:t>
      </w:r>
      <w:r>
        <w:rPr>
          <w:color w:val="000000" w:themeColor="text1"/>
        </w:rPr>
        <w:tab/>
      </w:r>
      <w:proofErr w:type="spellStart"/>
      <w:r>
        <w:rPr>
          <w:color w:val="000000" w:themeColor="text1"/>
        </w:rPr>
        <w:t>DeFilippis</w:t>
      </w:r>
      <w:proofErr w:type="spellEnd"/>
      <w:r>
        <w:rPr>
          <w:color w:val="000000" w:themeColor="text1"/>
        </w:rPr>
        <w:t xml:space="preserve"> AP, Chapman AR, Mills NL, de Lemos JA, Arbab-Zadeh A, Newby LK, et al. Assessment and Treatment of Patients </w:t>
      </w:r>
      <w:proofErr w:type="gramStart"/>
      <w:r>
        <w:rPr>
          <w:color w:val="000000" w:themeColor="text1"/>
        </w:rPr>
        <w:t>With</w:t>
      </w:r>
      <w:proofErr w:type="gramEnd"/>
      <w:r>
        <w:rPr>
          <w:color w:val="000000" w:themeColor="text1"/>
        </w:rPr>
        <w:t xml:space="preserve"> Type 2 Myocardial Infarction and Acute Nonischemic Myocardial Injury. Circulation. 2019; 140: 1661–</w:t>
      </w:r>
      <w:r>
        <w:rPr>
          <w:rFonts w:hint="eastAsia"/>
          <w:color w:val="000000" w:themeColor="text1"/>
          <w:lang w:eastAsia="zh-CN"/>
        </w:rPr>
        <w:t>16</w:t>
      </w:r>
      <w:r>
        <w:rPr>
          <w:color w:val="000000" w:themeColor="text1"/>
        </w:rPr>
        <w:t xml:space="preserve">78. </w:t>
      </w:r>
      <w:r>
        <w:rPr>
          <w:color w:val="000000" w:themeColor="text1"/>
        </w:rPr>
        <w:t>https://doi.org/10.1161/CIRCULATIONAHA.119.040631.</w:t>
      </w:r>
    </w:p>
    <w:p w14:paraId="5B379491" w14:textId="77777777" w:rsidR="00CC3835" w:rsidRDefault="00256BAA">
      <w:pPr>
        <w:pStyle w:val="Reference"/>
        <w:ind w:left="360" w:hanging="360"/>
        <w:rPr>
          <w:color w:val="000000" w:themeColor="text1"/>
        </w:rPr>
      </w:pPr>
      <w:r>
        <w:rPr>
          <w:color w:val="000000" w:themeColor="text1"/>
        </w:rPr>
        <w:t>[8]</w:t>
      </w:r>
      <w:r>
        <w:rPr>
          <w:color w:val="000000" w:themeColor="text1"/>
        </w:rPr>
        <w:tab/>
        <w:t>Deedwania PC, Carbajal EV. Role of myocardial oxygen demand in the pathogenesis of silent ischemia during daily life. The American Journal of Cardiology. 1992; 70: 19</w:t>
      </w:r>
      <w:r>
        <w:rPr>
          <w:rFonts w:eastAsia="宋体" w:hint="eastAsia"/>
          <w:color w:val="000000" w:themeColor="text1"/>
          <w:lang w:eastAsia="zh-CN"/>
        </w:rPr>
        <w:t>F</w:t>
      </w:r>
      <w:r>
        <w:rPr>
          <w:color w:val="000000" w:themeColor="text1"/>
        </w:rPr>
        <w:t>–24</w:t>
      </w:r>
      <w:r>
        <w:rPr>
          <w:rFonts w:eastAsia="宋体" w:hint="eastAsia"/>
          <w:color w:val="000000" w:themeColor="text1"/>
          <w:lang w:eastAsia="zh-CN"/>
        </w:rPr>
        <w:t>F</w:t>
      </w:r>
      <w:r>
        <w:rPr>
          <w:color w:val="000000" w:themeColor="text1"/>
        </w:rPr>
        <w:t>. https://doi.org/10.1016/0002</w:t>
      </w:r>
      <w:r>
        <w:rPr>
          <w:color w:val="000000" w:themeColor="text1"/>
        </w:rPr>
        <w:t>-9149(92)90185-2.</w:t>
      </w:r>
    </w:p>
    <w:p w14:paraId="7E4B6759" w14:textId="77777777" w:rsidR="00CC3835" w:rsidRDefault="00256BAA">
      <w:pPr>
        <w:pStyle w:val="Reference"/>
        <w:ind w:left="360" w:hanging="360"/>
        <w:rPr>
          <w:color w:val="000000" w:themeColor="text1"/>
        </w:rPr>
      </w:pPr>
      <w:r>
        <w:rPr>
          <w:color w:val="000000" w:themeColor="text1"/>
        </w:rPr>
        <w:t>[9]</w:t>
      </w:r>
      <w:r>
        <w:rPr>
          <w:color w:val="000000" w:themeColor="text1"/>
        </w:rPr>
        <w:tab/>
        <w:t>Meng L, Hou W, Chui J, Han R, Gelb AW. Cardiac Output and Cerebral Blood Flow</w:t>
      </w:r>
      <w:r>
        <w:rPr>
          <w:rFonts w:hint="eastAsia"/>
          <w:color w:val="000000" w:themeColor="text1"/>
        </w:rPr>
        <w:t>: The Integrated Regulation of Brain Perfusion in Adult Humans</w:t>
      </w:r>
      <w:r>
        <w:rPr>
          <w:color w:val="000000" w:themeColor="text1"/>
        </w:rPr>
        <w:t>. Anesthesiology. 2015; 123: 1198–</w:t>
      </w:r>
      <w:r>
        <w:rPr>
          <w:rFonts w:hint="eastAsia"/>
          <w:color w:val="000000" w:themeColor="text1"/>
          <w:lang w:eastAsia="zh-CN"/>
        </w:rPr>
        <w:t>1</w:t>
      </w:r>
      <w:r>
        <w:rPr>
          <w:color w:val="000000" w:themeColor="text1"/>
        </w:rPr>
        <w:t>208. https://doi.org/10.1097/ALN.0000000000000872.</w:t>
      </w:r>
    </w:p>
    <w:p w14:paraId="2DC8B805" w14:textId="77777777" w:rsidR="00CC3835" w:rsidRDefault="00256BAA">
      <w:pPr>
        <w:pStyle w:val="Reference"/>
        <w:ind w:left="360" w:hanging="360"/>
        <w:rPr>
          <w:color w:val="000000" w:themeColor="text1"/>
        </w:rPr>
      </w:pPr>
      <w:r>
        <w:rPr>
          <w:color w:val="000000" w:themeColor="text1"/>
        </w:rPr>
        <w:t>[10]</w:t>
      </w:r>
      <w:r>
        <w:rPr>
          <w:color w:val="000000" w:themeColor="text1"/>
        </w:rPr>
        <w:tab/>
        <w:t>Kris</w:t>
      </w:r>
      <w:r>
        <w:rPr>
          <w:color w:val="000000" w:themeColor="text1"/>
        </w:rPr>
        <w:t>hnamoorthy V, Mackensen GB, Gibbons EF, Vavilala MS. Cardiac Dysfunction After Neurologic Injury. Chest. 2016; 149: 1325–</w:t>
      </w:r>
      <w:r>
        <w:rPr>
          <w:rFonts w:hint="eastAsia"/>
          <w:color w:val="000000" w:themeColor="text1"/>
          <w:lang w:eastAsia="zh-CN"/>
        </w:rPr>
        <w:t>13</w:t>
      </w:r>
      <w:r>
        <w:rPr>
          <w:color w:val="000000" w:themeColor="text1"/>
        </w:rPr>
        <w:t>31. https://doi.org/10.1016/j.chest.2015.12.014.</w:t>
      </w:r>
    </w:p>
    <w:p w14:paraId="084866DF" w14:textId="77777777" w:rsidR="00CC3835" w:rsidRDefault="00256BAA">
      <w:pPr>
        <w:pStyle w:val="Reference"/>
        <w:ind w:left="360" w:hanging="360"/>
        <w:rPr>
          <w:color w:val="000000" w:themeColor="text1"/>
        </w:rPr>
      </w:pPr>
      <w:r>
        <w:rPr>
          <w:color w:val="000000" w:themeColor="text1"/>
        </w:rPr>
        <w:t>[11]</w:t>
      </w:r>
      <w:r>
        <w:rPr>
          <w:color w:val="000000" w:themeColor="text1"/>
        </w:rPr>
        <w:tab/>
        <w:t xml:space="preserve">Takaoka H, Takeuchi M, </w:t>
      </w:r>
      <w:proofErr w:type="spellStart"/>
      <w:r>
        <w:rPr>
          <w:color w:val="000000" w:themeColor="text1"/>
        </w:rPr>
        <w:t>Odake</w:t>
      </w:r>
      <w:proofErr w:type="spellEnd"/>
      <w:r>
        <w:rPr>
          <w:color w:val="000000" w:themeColor="text1"/>
        </w:rPr>
        <w:t xml:space="preserve"> M, Yokoyama M. </w:t>
      </w:r>
      <w:bookmarkStart w:id="81" w:name="OLE_LINK126"/>
      <w:r>
        <w:rPr>
          <w:color w:val="000000" w:themeColor="text1"/>
        </w:rPr>
        <w:t>Assessment of myocardial oxygen con</w:t>
      </w:r>
      <w:r>
        <w:rPr>
          <w:color w:val="000000" w:themeColor="text1"/>
        </w:rPr>
        <w:t>sumption (Vo2) and systolic pressure-volume area (PVA) in human hearts</w:t>
      </w:r>
      <w:bookmarkEnd w:id="81"/>
      <w:r>
        <w:rPr>
          <w:color w:val="000000" w:themeColor="text1"/>
        </w:rPr>
        <w:t>. European Heart Journal. 1992; 13: 85–90. https://doi.org/10.1093/eurheartj/13.suppl_E.85.</w:t>
      </w:r>
    </w:p>
    <w:p w14:paraId="5C9F1E53" w14:textId="77777777" w:rsidR="00CC3835" w:rsidRDefault="00256BAA">
      <w:pPr>
        <w:pStyle w:val="Reference"/>
        <w:ind w:left="360" w:hanging="360"/>
        <w:rPr>
          <w:color w:val="000000" w:themeColor="text1"/>
        </w:rPr>
      </w:pPr>
      <w:r>
        <w:rPr>
          <w:color w:val="000000" w:themeColor="text1"/>
        </w:rPr>
        <w:t>[12]</w:t>
      </w:r>
      <w:r>
        <w:rPr>
          <w:color w:val="000000" w:themeColor="text1"/>
        </w:rPr>
        <w:tab/>
        <w:t xml:space="preserve">Papadopoulos K, </w:t>
      </w:r>
      <w:proofErr w:type="spellStart"/>
      <w:r>
        <w:rPr>
          <w:color w:val="000000" w:themeColor="text1"/>
        </w:rPr>
        <w:t>Özden</w:t>
      </w:r>
      <w:proofErr w:type="spellEnd"/>
      <w:r>
        <w:rPr>
          <w:color w:val="000000" w:themeColor="text1"/>
        </w:rPr>
        <w:t xml:space="preserve"> Tok Ö, </w:t>
      </w:r>
      <w:proofErr w:type="spellStart"/>
      <w:r>
        <w:rPr>
          <w:color w:val="000000" w:themeColor="text1"/>
        </w:rPr>
        <w:t>Mitrousi</w:t>
      </w:r>
      <w:proofErr w:type="spellEnd"/>
      <w:r>
        <w:rPr>
          <w:color w:val="000000" w:themeColor="text1"/>
        </w:rPr>
        <w:t xml:space="preserve"> K, </w:t>
      </w:r>
      <w:proofErr w:type="spellStart"/>
      <w:r>
        <w:rPr>
          <w:color w:val="000000" w:themeColor="text1"/>
        </w:rPr>
        <w:t>Ikonomidis</w:t>
      </w:r>
      <w:proofErr w:type="spellEnd"/>
      <w:r>
        <w:rPr>
          <w:color w:val="000000" w:themeColor="text1"/>
        </w:rPr>
        <w:t xml:space="preserve"> I. Myocardial Work: Methodology and C</w:t>
      </w:r>
      <w:r>
        <w:rPr>
          <w:color w:val="000000" w:themeColor="text1"/>
        </w:rPr>
        <w:t>linical Applications. Diagnostics. 2021; 11: 573. https://doi.org/10.3390/diagnostics11030573.</w:t>
      </w:r>
    </w:p>
    <w:p w14:paraId="5F5B4186" w14:textId="77777777" w:rsidR="00CC3835" w:rsidRDefault="00256BAA">
      <w:pPr>
        <w:pStyle w:val="Reference"/>
        <w:ind w:left="360" w:hanging="360"/>
        <w:rPr>
          <w:color w:val="000000" w:themeColor="text1"/>
        </w:rPr>
      </w:pPr>
      <w:r>
        <w:rPr>
          <w:color w:val="000000" w:themeColor="text1"/>
        </w:rPr>
        <w:t>[13]</w:t>
      </w:r>
      <w:r>
        <w:rPr>
          <w:color w:val="000000" w:themeColor="text1"/>
        </w:rPr>
        <w:tab/>
      </w:r>
      <w:r>
        <w:rPr>
          <w:rFonts w:hint="eastAsia"/>
          <w:color w:val="000000" w:themeColor="text1"/>
        </w:rPr>
        <w:t>Gobel FL, Norstrom LA, Nelson RR, Jorgensen CR, Wang Y. The rate-pressure product as an index of myocardial oxygen consumption during exercise in patients w</w:t>
      </w:r>
      <w:r>
        <w:rPr>
          <w:rFonts w:hint="eastAsia"/>
          <w:color w:val="000000" w:themeColor="text1"/>
        </w:rPr>
        <w:t>ith angina pectoris. Circulation. 1978; 57: 549–</w:t>
      </w:r>
      <w:r>
        <w:rPr>
          <w:rFonts w:hint="eastAsia"/>
          <w:color w:val="000000" w:themeColor="text1"/>
          <w:lang w:eastAsia="zh-CN"/>
        </w:rPr>
        <w:t>5</w:t>
      </w:r>
      <w:r>
        <w:rPr>
          <w:rFonts w:hint="eastAsia"/>
          <w:color w:val="000000" w:themeColor="text1"/>
        </w:rPr>
        <w:t>56. https://doi.org/10.1161/01.cir.57.3.549</w:t>
      </w:r>
    </w:p>
    <w:p w14:paraId="4AED96AF" w14:textId="77777777" w:rsidR="00CC3835" w:rsidRDefault="00256BAA">
      <w:pPr>
        <w:pStyle w:val="Reference"/>
        <w:ind w:left="360" w:hanging="360"/>
        <w:rPr>
          <w:color w:val="000000" w:themeColor="text1"/>
        </w:rPr>
      </w:pPr>
      <w:r>
        <w:rPr>
          <w:color w:val="000000" w:themeColor="text1"/>
        </w:rPr>
        <w:t>[14]</w:t>
      </w:r>
      <w:r>
        <w:rPr>
          <w:color w:val="000000" w:themeColor="text1"/>
        </w:rPr>
        <w:tab/>
        <w:t>NELSON RR, GOBEL FL, JORGENSEN CR, WANG K, WANG Y, TAYLOR HL. Hemodynamic Predictors of Myocardial Oxygen Consumption During Static and Dynamic Exercise. Circ</w:t>
      </w:r>
      <w:r>
        <w:rPr>
          <w:color w:val="000000" w:themeColor="text1"/>
        </w:rPr>
        <w:t>ulation. 1974; 50: 1179–</w:t>
      </w:r>
      <w:r>
        <w:rPr>
          <w:rFonts w:hint="eastAsia"/>
          <w:color w:val="000000" w:themeColor="text1"/>
          <w:lang w:eastAsia="zh-CN"/>
        </w:rPr>
        <w:t>11</w:t>
      </w:r>
      <w:r>
        <w:rPr>
          <w:color w:val="000000" w:themeColor="text1"/>
        </w:rPr>
        <w:t>89. https://doi.org/10.1161/01.CIR.50.6.1179.</w:t>
      </w:r>
    </w:p>
    <w:p w14:paraId="17BA8BB9" w14:textId="77777777" w:rsidR="00CC3835" w:rsidRDefault="00256BAA">
      <w:pPr>
        <w:pStyle w:val="Reference"/>
        <w:ind w:left="360" w:hanging="360"/>
        <w:rPr>
          <w:color w:val="000000" w:themeColor="text1"/>
        </w:rPr>
      </w:pPr>
      <w:r>
        <w:rPr>
          <w:color w:val="000000" w:themeColor="text1"/>
        </w:rPr>
        <w:lastRenderedPageBreak/>
        <w:t>[15]</w:t>
      </w:r>
      <w:r>
        <w:rPr>
          <w:color w:val="000000" w:themeColor="text1"/>
        </w:rPr>
        <w:tab/>
        <w:t xml:space="preserve">Krishnamoorthy V, </w:t>
      </w:r>
      <w:proofErr w:type="spellStart"/>
      <w:r>
        <w:rPr>
          <w:color w:val="000000" w:themeColor="text1"/>
        </w:rPr>
        <w:t>Vavilala</w:t>
      </w:r>
      <w:proofErr w:type="spellEnd"/>
      <w:r>
        <w:rPr>
          <w:color w:val="000000" w:themeColor="text1"/>
        </w:rPr>
        <w:t xml:space="preserve"> MS, </w:t>
      </w:r>
      <w:proofErr w:type="spellStart"/>
      <w:r>
        <w:rPr>
          <w:color w:val="000000" w:themeColor="text1"/>
        </w:rPr>
        <w:t>Chaikittisilpa</w:t>
      </w:r>
      <w:proofErr w:type="spellEnd"/>
      <w:r>
        <w:rPr>
          <w:color w:val="000000" w:themeColor="text1"/>
        </w:rPr>
        <w:t xml:space="preserve"> N, </w:t>
      </w:r>
      <w:proofErr w:type="spellStart"/>
      <w:r>
        <w:rPr>
          <w:color w:val="000000" w:themeColor="text1"/>
        </w:rPr>
        <w:t>Rivara</w:t>
      </w:r>
      <w:proofErr w:type="spellEnd"/>
      <w:r>
        <w:rPr>
          <w:color w:val="000000" w:themeColor="text1"/>
        </w:rPr>
        <w:t xml:space="preserve"> FP, Temkin NR, Lele AV, et al. Association of Early Myocardial Workload and Mortality Following Severe Traumatic Brain Inju</w:t>
      </w:r>
      <w:r>
        <w:rPr>
          <w:color w:val="000000" w:themeColor="text1"/>
        </w:rPr>
        <w:t>ry. Critical Care Medicine. 2018; 46: 965–</w:t>
      </w:r>
      <w:r>
        <w:rPr>
          <w:rFonts w:hint="eastAsia"/>
          <w:color w:val="000000" w:themeColor="text1"/>
          <w:lang w:eastAsia="zh-CN"/>
        </w:rPr>
        <w:t>9</w:t>
      </w:r>
      <w:r>
        <w:rPr>
          <w:color w:val="000000" w:themeColor="text1"/>
        </w:rPr>
        <w:t>71. https://doi.org/10.1097/CCM.0000000000003052.</w:t>
      </w:r>
    </w:p>
    <w:p w14:paraId="6A8EEB02" w14:textId="77777777" w:rsidR="00CC3835" w:rsidRDefault="00256BAA">
      <w:pPr>
        <w:pStyle w:val="Reference"/>
        <w:ind w:left="360" w:hanging="360"/>
        <w:rPr>
          <w:color w:val="000000" w:themeColor="text1"/>
        </w:rPr>
      </w:pPr>
      <w:r>
        <w:rPr>
          <w:color w:val="000000" w:themeColor="text1"/>
        </w:rPr>
        <w:t>[16]</w:t>
      </w:r>
      <w:r>
        <w:rPr>
          <w:color w:val="000000" w:themeColor="text1"/>
        </w:rPr>
        <w:tab/>
        <w:t>Whitman M, Jenkins C, Sabapathy S, Adams L. Comparison of Heart Rate Blood Pressure Product Versus Age-Predicted Maximum Heart Rate as Predictors of Cardiovas</w:t>
      </w:r>
      <w:r>
        <w:rPr>
          <w:color w:val="000000" w:themeColor="text1"/>
        </w:rPr>
        <w:t>cular Events During Exercise Stress Echocardiography. The American Journal of Cardiology. 2019; 124: 528–</w:t>
      </w:r>
      <w:r>
        <w:rPr>
          <w:rFonts w:hint="eastAsia"/>
          <w:color w:val="000000" w:themeColor="text1"/>
          <w:lang w:eastAsia="zh-CN"/>
        </w:rPr>
        <w:t>5</w:t>
      </w:r>
      <w:r>
        <w:rPr>
          <w:color w:val="000000" w:themeColor="text1"/>
        </w:rPr>
        <w:t>33. https://doi.org/10.1016/j.amjcard.2019.05.027.</w:t>
      </w:r>
    </w:p>
    <w:p w14:paraId="07DA8B6A" w14:textId="77777777" w:rsidR="00CC3835" w:rsidRDefault="00256BAA">
      <w:pPr>
        <w:pStyle w:val="Reference"/>
        <w:ind w:left="360" w:hanging="360"/>
        <w:rPr>
          <w:color w:val="000000" w:themeColor="text1"/>
        </w:rPr>
      </w:pPr>
      <w:r>
        <w:rPr>
          <w:color w:val="000000" w:themeColor="text1"/>
        </w:rPr>
        <w:t>[17]</w:t>
      </w:r>
      <w:r>
        <w:rPr>
          <w:color w:val="000000" w:themeColor="text1"/>
        </w:rPr>
        <w:tab/>
      </w:r>
      <w:proofErr w:type="spellStart"/>
      <w:r>
        <w:rPr>
          <w:color w:val="000000" w:themeColor="text1"/>
        </w:rPr>
        <w:t>Bassingthwaighte</w:t>
      </w:r>
      <w:proofErr w:type="spellEnd"/>
      <w:r>
        <w:rPr>
          <w:color w:val="000000" w:themeColor="text1"/>
        </w:rPr>
        <w:t xml:space="preserve"> JB, Beard DA, Carlson BE, Dash RK, Vinnakota K. Modeling to Link Regional Myo</w:t>
      </w:r>
      <w:r>
        <w:rPr>
          <w:color w:val="000000" w:themeColor="text1"/>
        </w:rPr>
        <w:t>cardial Work, Metabolism and Blood Flows. Annals of Biomedical Engineering. 2012; 40: 2379–</w:t>
      </w:r>
      <w:r>
        <w:rPr>
          <w:rFonts w:hint="eastAsia"/>
          <w:color w:val="000000" w:themeColor="text1"/>
          <w:lang w:eastAsia="zh-CN"/>
        </w:rPr>
        <w:t>23</w:t>
      </w:r>
      <w:r>
        <w:rPr>
          <w:color w:val="000000" w:themeColor="text1"/>
        </w:rPr>
        <w:t>98. https://doi.org/10.1007/s10439-012-0613-5.</w:t>
      </w:r>
    </w:p>
    <w:p w14:paraId="66231342" w14:textId="77777777" w:rsidR="00CC3835" w:rsidRDefault="00256BAA">
      <w:pPr>
        <w:pStyle w:val="Reference"/>
        <w:ind w:left="360" w:hanging="360"/>
        <w:rPr>
          <w:color w:val="000000" w:themeColor="text1"/>
        </w:rPr>
      </w:pPr>
      <w:r>
        <w:rPr>
          <w:color w:val="000000" w:themeColor="text1"/>
        </w:rPr>
        <w:t>[18]</w:t>
      </w:r>
      <w:r>
        <w:rPr>
          <w:color w:val="000000" w:themeColor="text1"/>
        </w:rPr>
        <w:tab/>
        <w:t xml:space="preserve">WHITE W. </w:t>
      </w:r>
      <w:bookmarkStart w:id="82" w:name="OLE_LINK127"/>
      <w:r>
        <w:rPr>
          <w:color w:val="000000" w:themeColor="text1"/>
        </w:rPr>
        <w:t>Heart rate and the rate-pressure product as determinants of cardiovascular risk in patients with hyper</w:t>
      </w:r>
      <w:r>
        <w:rPr>
          <w:color w:val="000000" w:themeColor="text1"/>
        </w:rPr>
        <w:t>tension</w:t>
      </w:r>
      <w:bookmarkEnd w:id="82"/>
      <w:r>
        <w:rPr>
          <w:color w:val="000000" w:themeColor="text1"/>
        </w:rPr>
        <w:t>. American Journal of Hypertension. 1999; 12: 50S-55S. https://doi.org/10.1016/S0895-7061(98)00280-5.</w:t>
      </w:r>
    </w:p>
    <w:p w14:paraId="6AA6BC31" w14:textId="77777777" w:rsidR="00CC3835" w:rsidRDefault="00256BAA">
      <w:pPr>
        <w:pStyle w:val="Reference"/>
        <w:ind w:left="360" w:hanging="360"/>
        <w:rPr>
          <w:color w:val="000000" w:themeColor="text1"/>
        </w:rPr>
      </w:pPr>
      <w:r>
        <w:rPr>
          <w:color w:val="000000" w:themeColor="text1"/>
        </w:rPr>
        <w:t>[19]</w:t>
      </w:r>
      <w:r>
        <w:rPr>
          <w:color w:val="000000" w:themeColor="text1"/>
        </w:rPr>
        <w:tab/>
        <w:t xml:space="preserve">Verma AK, Sun J, Hernandez A, Teerlink JR, Schulte PJ, </w:t>
      </w:r>
      <w:proofErr w:type="spellStart"/>
      <w:r>
        <w:rPr>
          <w:color w:val="000000" w:themeColor="text1"/>
        </w:rPr>
        <w:t>Ezekowitz</w:t>
      </w:r>
      <w:proofErr w:type="spellEnd"/>
      <w:r>
        <w:rPr>
          <w:color w:val="000000" w:themeColor="text1"/>
        </w:rPr>
        <w:t xml:space="preserve"> J, et al. Rate pressure product and the components of heart rate and systolic</w:t>
      </w:r>
      <w:r>
        <w:rPr>
          <w:color w:val="000000" w:themeColor="text1"/>
        </w:rPr>
        <w:t xml:space="preserve"> blood pressure in hospitalized heart failure patients with preserved ejection fraction: Insights from ASCEND‐HF. Clinical Cardiology. 2018; 41: 945–</w:t>
      </w:r>
      <w:r>
        <w:rPr>
          <w:rFonts w:hint="eastAsia"/>
          <w:color w:val="000000" w:themeColor="text1"/>
          <w:lang w:eastAsia="zh-CN"/>
        </w:rPr>
        <w:t>9</w:t>
      </w:r>
      <w:r>
        <w:rPr>
          <w:color w:val="000000" w:themeColor="text1"/>
        </w:rPr>
        <w:t>52. https://doi.org/10.1002/clc.22981.</w:t>
      </w:r>
    </w:p>
    <w:p w14:paraId="198E8F40" w14:textId="77777777" w:rsidR="00CC3835" w:rsidRDefault="00256BAA">
      <w:pPr>
        <w:pStyle w:val="Reference"/>
        <w:ind w:left="360" w:hanging="360"/>
        <w:rPr>
          <w:color w:val="000000" w:themeColor="text1"/>
        </w:rPr>
      </w:pPr>
      <w:r>
        <w:rPr>
          <w:color w:val="000000" w:themeColor="text1"/>
        </w:rPr>
        <w:t>[20]</w:t>
      </w:r>
      <w:r>
        <w:rPr>
          <w:color w:val="000000" w:themeColor="text1"/>
        </w:rPr>
        <w:tab/>
        <w:t xml:space="preserve">Zhou J, Li Y-J, Zhou X-D, Wang L-J. </w:t>
      </w:r>
      <w:bookmarkStart w:id="83" w:name="OLE_LINK125"/>
      <w:r>
        <w:rPr>
          <w:color w:val="000000" w:themeColor="text1"/>
        </w:rPr>
        <w:t>Rate-Pressure Product is a</w:t>
      </w:r>
      <w:r>
        <w:rPr>
          <w:color w:val="000000" w:themeColor="text1"/>
        </w:rPr>
        <w:t xml:space="preserve"> Novel Predictor for Short- and Long-Term Mortality in Patients with Acute Coronary Syndrome Undergoing Primary PCI/Immediate Invasive Strategy. Clinical Interventions in Aging</w:t>
      </w:r>
      <w:bookmarkEnd w:id="83"/>
      <w:r>
        <w:rPr>
          <w:color w:val="000000" w:themeColor="text1"/>
        </w:rPr>
        <w:t>. 2024; 19: 571–</w:t>
      </w:r>
      <w:r>
        <w:rPr>
          <w:rFonts w:hint="eastAsia"/>
          <w:color w:val="000000" w:themeColor="text1"/>
          <w:lang w:eastAsia="zh-CN"/>
        </w:rPr>
        <w:t>57</w:t>
      </w:r>
      <w:r>
        <w:rPr>
          <w:color w:val="000000" w:themeColor="text1"/>
        </w:rPr>
        <w:t>9. https://doi.org/10.2147/CIA.S449905.</w:t>
      </w:r>
    </w:p>
    <w:p w14:paraId="0D1A4FDD" w14:textId="77777777" w:rsidR="00CC3835" w:rsidRDefault="00256BAA">
      <w:pPr>
        <w:pStyle w:val="Reference"/>
        <w:ind w:left="360" w:hanging="360"/>
        <w:rPr>
          <w:color w:val="000000" w:themeColor="text1"/>
        </w:rPr>
      </w:pPr>
      <w:r>
        <w:rPr>
          <w:color w:val="000000" w:themeColor="text1"/>
        </w:rPr>
        <w:t>[21]</w:t>
      </w:r>
      <w:r>
        <w:rPr>
          <w:color w:val="000000" w:themeColor="text1"/>
        </w:rPr>
        <w:tab/>
        <w:t>Yazdani B, Kleber</w:t>
      </w:r>
      <w:r>
        <w:rPr>
          <w:color w:val="000000" w:themeColor="text1"/>
        </w:rPr>
        <w:t xml:space="preserve"> ME, Yücel G, Delgado GE, Benck U, Krüger B, et al. Association of double product and pulse pressure with cardiovascular and all‐cause mortality in the LURIC study. The Journal of Clinical Hypertension. 2020; 22: 2332–</w:t>
      </w:r>
      <w:r>
        <w:rPr>
          <w:rFonts w:hint="eastAsia"/>
          <w:color w:val="000000" w:themeColor="text1"/>
          <w:lang w:eastAsia="zh-CN"/>
        </w:rPr>
        <w:t>23</w:t>
      </w:r>
      <w:r>
        <w:rPr>
          <w:color w:val="000000" w:themeColor="text1"/>
        </w:rPr>
        <w:t>42. https://doi.org/10.1111/jch.1406</w:t>
      </w:r>
      <w:r>
        <w:rPr>
          <w:color w:val="000000" w:themeColor="text1"/>
        </w:rPr>
        <w:t>7.</w:t>
      </w:r>
    </w:p>
    <w:p w14:paraId="45767AF2" w14:textId="77777777" w:rsidR="00CC3835" w:rsidRDefault="00256BAA">
      <w:pPr>
        <w:pStyle w:val="Reference"/>
        <w:ind w:left="360" w:hanging="360"/>
        <w:rPr>
          <w:color w:val="000000" w:themeColor="text1"/>
        </w:rPr>
      </w:pPr>
      <w:r>
        <w:rPr>
          <w:color w:val="000000" w:themeColor="text1"/>
        </w:rPr>
        <w:t>[22]</w:t>
      </w:r>
      <w:r>
        <w:rPr>
          <w:color w:val="000000" w:themeColor="text1"/>
        </w:rPr>
        <w:tab/>
        <w:t>Zhao J, Zhang S, Ma J, Shi G, Zhou J. Admission rate-pressure product as an early predictor for in-hospital mortality after aneurysmal subarachnoid hemorrhage. Neurosurgical Review. 2022; 45: 2811–</w:t>
      </w:r>
      <w:r>
        <w:rPr>
          <w:rFonts w:hint="eastAsia"/>
          <w:color w:val="000000" w:themeColor="text1"/>
          <w:lang w:eastAsia="zh-CN"/>
        </w:rPr>
        <w:t>28</w:t>
      </w:r>
      <w:r>
        <w:rPr>
          <w:color w:val="000000" w:themeColor="text1"/>
        </w:rPr>
        <w:t>22. https://doi.org/10.1007/s10143-022-01795-3.</w:t>
      </w:r>
    </w:p>
    <w:p w14:paraId="6D576F73" w14:textId="77777777" w:rsidR="00CC3835" w:rsidRDefault="00256BAA">
      <w:pPr>
        <w:pStyle w:val="Reference"/>
        <w:ind w:left="360" w:hanging="360"/>
        <w:rPr>
          <w:color w:val="000000" w:themeColor="text1"/>
        </w:rPr>
      </w:pPr>
      <w:r>
        <w:rPr>
          <w:color w:val="000000" w:themeColor="text1"/>
        </w:rPr>
        <w:t>[</w:t>
      </w:r>
      <w:r>
        <w:rPr>
          <w:color w:val="000000" w:themeColor="text1"/>
        </w:rPr>
        <w:t>23]</w:t>
      </w:r>
      <w:r>
        <w:rPr>
          <w:color w:val="000000" w:themeColor="text1"/>
        </w:rPr>
        <w:tab/>
        <w:t>Wang C, Wang W, Li G, Wang A, Zhang X, Xiong Y, et al. Prognostic value of glycemic gap in patients with spontaneous intracerebral hemorrhage. European Journal of Neurology. 2022; 29: 2725–</w:t>
      </w:r>
      <w:r>
        <w:rPr>
          <w:rFonts w:hint="eastAsia"/>
          <w:color w:val="000000" w:themeColor="text1"/>
          <w:lang w:eastAsia="zh-CN"/>
        </w:rPr>
        <w:t>27</w:t>
      </w:r>
      <w:r>
        <w:rPr>
          <w:color w:val="000000" w:themeColor="text1"/>
        </w:rPr>
        <w:t>33. https://doi.org/10.1111/ene.15432.</w:t>
      </w:r>
    </w:p>
    <w:p w14:paraId="4E5B914D" w14:textId="77777777" w:rsidR="00CC3835" w:rsidRDefault="00256BAA">
      <w:pPr>
        <w:pStyle w:val="Reference"/>
        <w:ind w:left="360" w:hanging="360"/>
        <w:rPr>
          <w:color w:val="000000" w:themeColor="text1"/>
        </w:rPr>
      </w:pPr>
      <w:r>
        <w:rPr>
          <w:color w:val="000000" w:themeColor="text1"/>
        </w:rPr>
        <w:t>[24]</w:t>
      </w:r>
      <w:r>
        <w:rPr>
          <w:color w:val="000000" w:themeColor="text1"/>
        </w:rPr>
        <w:tab/>
        <w:t>Kang K, Shi K, Li</w:t>
      </w:r>
      <w:r>
        <w:rPr>
          <w:color w:val="000000" w:themeColor="text1"/>
        </w:rPr>
        <w:t>u J, Li N, Wu J, Zhao X. Autonomic dysfunction and treatment strategies in intracerebral hemorrhage. CNS Neuroscience &amp; Therapeutics. 2024; 30: e14544. https://doi.org/10.1111/cns.14544.</w:t>
      </w:r>
    </w:p>
    <w:p w14:paraId="29E220D9" w14:textId="77777777" w:rsidR="00CC3835" w:rsidRDefault="00256BAA">
      <w:pPr>
        <w:pStyle w:val="Reference"/>
        <w:ind w:left="360" w:hanging="360"/>
        <w:rPr>
          <w:color w:val="000000" w:themeColor="text1"/>
        </w:rPr>
      </w:pPr>
      <w:r>
        <w:rPr>
          <w:color w:val="000000" w:themeColor="text1"/>
        </w:rPr>
        <w:t>[25]</w:t>
      </w:r>
      <w:r>
        <w:rPr>
          <w:color w:val="000000" w:themeColor="text1"/>
        </w:rPr>
        <w:tab/>
      </w:r>
      <w:proofErr w:type="spellStart"/>
      <w:r>
        <w:rPr>
          <w:color w:val="000000" w:themeColor="text1"/>
        </w:rPr>
        <w:t>Sykora</w:t>
      </w:r>
      <w:proofErr w:type="spellEnd"/>
      <w:r>
        <w:rPr>
          <w:color w:val="000000" w:themeColor="text1"/>
        </w:rPr>
        <w:t xml:space="preserve"> M, </w:t>
      </w:r>
      <w:proofErr w:type="spellStart"/>
      <w:r>
        <w:rPr>
          <w:color w:val="000000" w:themeColor="text1"/>
        </w:rPr>
        <w:t>Diedler</w:t>
      </w:r>
      <w:proofErr w:type="spellEnd"/>
      <w:r>
        <w:rPr>
          <w:color w:val="000000" w:themeColor="text1"/>
        </w:rPr>
        <w:t xml:space="preserve"> J, </w:t>
      </w:r>
      <w:proofErr w:type="spellStart"/>
      <w:r>
        <w:rPr>
          <w:color w:val="000000" w:themeColor="text1"/>
        </w:rPr>
        <w:t>Turcani</w:t>
      </w:r>
      <w:proofErr w:type="spellEnd"/>
      <w:r>
        <w:rPr>
          <w:color w:val="000000" w:themeColor="text1"/>
        </w:rPr>
        <w:t xml:space="preserve"> P, Rupp A, Steiner T. Subacute peri</w:t>
      </w:r>
      <w:r>
        <w:rPr>
          <w:color w:val="000000" w:themeColor="text1"/>
        </w:rPr>
        <w:t>hematomal edema in intracerebral hemorrhage is associated with impaired blood pressure regulation. Journal of the Neurological Sciences. 2009; 284: 108–</w:t>
      </w:r>
      <w:r>
        <w:rPr>
          <w:rFonts w:hint="eastAsia"/>
          <w:color w:val="000000" w:themeColor="text1"/>
          <w:lang w:eastAsia="zh-CN"/>
        </w:rPr>
        <w:t>1</w:t>
      </w:r>
      <w:r>
        <w:rPr>
          <w:color w:val="000000" w:themeColor="text1"/>
        </w:rPr>
        <w:t>12. https://doi.org/10.1016/j.jns.2009.04.028.</w:t>
      </w:r>
    </w:p>
    <w:p w14:paraId="6312F18F" w14:textId="77777777" w:rsidR="00CC3835" w:rsidRDefault="00256BAA">
      <w:pPr>
        <w:pStyle w:val="Reference"/>
        <w:ind w:left="360" w:hanging="360"/>
        <w:rPr>
          <w:color w:val="000000" w:themeColor="text1"/>
        </w:rPr>
      </w:pPr>
      <w:r>
        <w:rPr>
          <w:color w:val="000000" w:themeColor="text1"/>
        </w:rPr>
        <w:t>[26]</w:t>
      </w:r>
      <w:r>
        <w:rPr>
          <w:color w:val="000000" w:themeColor="text1"/>
        </w:rPr>
        <w:tab/>
      </w:r>
      <w:proofErr w:type="spellStart"/>
      <w:r>
        <w:rPr>
          <w:color w:val="000000" w:themeColor="text1"/>
        </w:rPr>
        <w:t>Demura</w:t>
      </w:r>
      <w:proofErr w:type="spellEnd"/>
      <w:r>
        <w:rPr>
          <w:color w:val="000000" w:themeColor="text1"/>
        </w:rPr>
        <w:t xml:space="preserve"> M, Ishii H, </w:t>
      </w:r>
      <w:proofErr w:type="spellStart"/>
      <w:r>
        <w:rPr>
          <w:color w:val="000000" w:themeColor="text1"/>
        </w:rPr>
        <w:t>Takarada-Iemata</w:t>
      </w:r>
      <w:proofErr w:type="spellEnd"/>
      <w:r>
        <w:rPr>
          <w:color w:val="000000" w:themeColor="text1"/>
        </w:rPr>
        <w:t xml:space="preserve"> M, </w:t>
      </w:r>
      <w:proofErr w:type="spellStart"/>
      <w:r>
        <w:rPr>
          <w:color w:val="000000" w:themeColor="text1"/>
        </w:rPr>
        <w:t>Kamide</w:t>
      </w:r>
      <w:proofErr w:type="spellEnd"/>
      <w:r>
        <w:rPr>
          <w:color w:val="000000" w:themeColor="text1"/>
        </w:rPr>
        <w:t xml:space="preserve"> T, Yos</w:t>
      </w:r>
      <w:r>
        <w:rPr>
          <w:color w:val="000000" w:themeColor="text1"/>
        </w:rPr>
        <w:t>hikawa A, Nakada M, et al. Sympathetic Nervous Hyperactivity Impairs Microcirculation Leading to Early Brain Injury After Subarachnoid Hemorrhage. Stroke. 2023; 54: 1645–</w:t>
      </w:r>
      <w:r>
        <w:rPr>
          <w:rFonts w:hint="eastAsia"/>
          <w:color w:val="000000" w:themeColor="text1"/>
          <w:lang w:eastAsia="zh-CN"/>
        </w:rPr>
        <w:t>16</w:t>
      </w:r>
      <w:r>
        <w:rPr>
          <w:color w:val="000000" w:themeColor="text1"/>
        </w:rPr>
        <w:t>55. https://doi.org/10.1161/STROKEAHA.123.042799.</w:t>
      </w:r>
    </w:p>
    <w:p w14:paraId="68C9D4C9" w14:textId="77777777" w:rsidR="00CC3835" w:rsidRDefault="00256BAA">
      <w:pPr>
        <w:pStyle w:val="Reference"/>
        <w:ind w:left="360" w:hanging="360"/>
        <w:rPr>
          <w:color w:val="000000" w:themeColor="text1"/>
        </w:rPr>
      </w:pPr>
      <w:r>
        <w:rPr>
          <w:color w:val="000000" w:themeColor="text1"/>
        </w:rPr>
        <w:t>[27]</w:t>
      </w:r>
      <w:r>
        <w:rPr>
          <w:color w:val="000000" w:themeColor="text1"/>
        </w:rPr>
        <w:tab/>
      </w:r>
      <w:proofErr w:type="spellStart"/>
      <w:r>
        <w:rPr>
          <w:color w:val="000000" w:themeColor="text1"/>
        </w:rPr>
        <w:t>Tschoe</w:t>
      </w:r>
      <w:proofErr w:type="spellEnd"/>
      <w:r>
        <w:rPr>
          <w:color w:val="000000" w:themeColor="text1"/>
        </w:rPr>
        <w:t xml:space="preserve"> C, Bushnell CD, Duncan</w:t>
      </w:r>
      <w:r>
        <w:rPr>
          <w:color w:val="000000" w:themeColor="text1"/>
        </w:rPr>
        <w:t xml:space="preserve"> PW, Alexander-Miller MA, Wolfe SQ. Neuroinflammation after Intracerebral Hemorrhage and Potential Therapeutic Targets. Journal of Stroke. 2020; 22: 29–46. https://doi.org/10.5853/jos.2019.02236.</w:t>
      </w:r>
    </w:p>
    <w:p w14:paraId="21F51B0F" w14:textId="77777777" w:rsidR="00CC3835" w:rsidRDefault="00256BAA">
      <w:pPr>
        <w:pStyle w:val="Reference"/>
        <w:ind w:left="360" w:hanging="360"/>
        <w:rPr>
          <w:color w:val="000000" w:themeColor="text1"/>
        </w:rPr>
      </w:pPr>
      <w:r>
        <w:rPr>
          <w:color w:val="000000" w:themeColor="text1"/>
        </w:rPr>
        <w:t>[28]</w:t>
      </w:r>
      <w:r>
        <w:rPr>
          <w:color w:val="000000" w:themeColor="text1"/>
        </w:rPr>
        <w:tab/>
        <w:t xml:space="preserve">Bautista W, Adelson PD, </w:t>
      </w:r>
      <w:proofErr w:type="spellStart"/>
      <w:r>
        <w:rPr>
          <w:color w:val="000000" w:themeColor="text1"/>
        </w:rPr>
        <w:t>Bicher</w:t>
      </w:r>
      <w:proofErr w:type="spellEnd"/>
      <w:r>
        <w:rPr>
          <w:color w:val="000000" w:themeColor="text1"/>
        </w:rPr>
        <w:t xml:space="preserve"> N, </w:t>
      </w:r>
      <w:proofErr w:type="spellStart"/>
      <w:r>
        <w:rPr>
          <w:color w:val="000000" w:themeColor="text1"/>
        </w:rPr>
        <w:t>Themistocleous</w:t>
      </w:r>
      <w:proofErr w:type="spellEnd"/>
      <w:r>
        <w:rPr>
          <w:color w:val="000000" w:themeColor="text1"/>
        </w:rPr>
        <w:t xml:space="preserve"> M, </w:t>
      </w:r>
      <w:proofErr w:type="spellStart"/>
      <w:r>
        <w:rPr>
          <w:color w:val="000000" w:themeColor="text1"/>
        </w:rPr>
        <w:t>Tsi</w:t>
      </w:r>
      <w:r>
        <w:rPr>
          <w:color w:val="000000" w:themeColor="text1"/>
        </w:rPr>
        <w:t>vgoulis</w:t>
      </w:r>
      <w:proofErr w:type="spellEnd"/>
      <w:r>
        <w:rPr>
          <w:color w:val="000000" w:themeColor="text1"/>
        </w:rPr>
        <w:t xml:space="preserve"> G, Chang JJ. Secondary mechanisms of injury and viable pathophysiological targets in intracerebral hemorrhage. Therapeutic Advances in Neurological Disorders. 2021; 14: 17562864211049208. https://doi.org/10.1177/17562864211049208.</w:t>
      </w:r>
    </w:p>
    <w:p w14:paraId="531BC179" w14:textId="77777777" w:rsidR="00CC3835" w:rsidRDefault="00256BAA">
      <w:pPr>
        <w:pStyle w:val="Reference"/>
        <w:ind w:left="360" w:hanging="360"/>
        <w:rPr>
          <w:color w:val="000000" w:themeColor="text1"/>
        </w:rPr>
      </w:pPr>
      <w:r>
        <w:rPr>
          <w:color w:val="000000" w:themeColor="text1"/>
        </w:rPr>
        <w:t>[29]</w:t>
      </w:r>
      <w:r>
        <w:rPr>
          <w:color w:val="000000" w:themeColor="text1"/>
        </w:rPr>
        <w:tab/>
        <w:t xml:space="preserve">Tranmer BI, </w:t>
      </w:r>
      <w:r>
        <w:rPr>
          <w:color w:val="000000" w:themeColor="text1"/>
        </w:rPr>
        <w:t>Keller TS, Kindt GW, Archer D. Loss of cerebral regulation during cardiac output variations in focal cerebral ischemia. Journal of Neurosurgery. 1992; 77: 253–</w:t>
      </w:r>
      <w:r>
        <w:rPr>
          <w:rFonts w:hint="eastAsia"/>
          <w:color w:val="000000" w:themeColor="text1"/>
          <w:lang w:eastAsia="zh-CN"/>
        </w:rPr>
        <w:t>25</w:t>
      </w:r>
      <w:r>
        <w:rPr>
          <w:color w:val="000000" w:themeColor="text1"/>
        </w:rPr>
        <w:t>9. https://doi.org/10.3171/jns.1992.77.2.0253.</w:t>
      </w:r>
    </w:p>
    <w:p w14:paraId="6ADA338B" w14:textId="77777777" w:rsidR="00CC3835" w:rsidRDefault="00256BAA">
      <w:pPr>
        <w:pStyle w:val="Reference"/>
        <w:ind w:left="360" w:hanging="360"/>
        <w:rPr>
          <w:color w:val="000000" w:themeColor="text1"/>
          <w:lang w:eastAsia="zh-CN"/>
        </w:rPr>
      </w:pPr>
      <w:r>
        <w:rPr>
          <w:color w:val="000000" w:themeColor="text1"/>
          <w:lang w:eastAsia="zh-CN"/>
        </w:rPr>
        <w:t>[30]</w:t>
      </w:r>
      <w:r>
        <w:rPr>
          <w:color w:val="000000" w:themeColor="text1"/>
        </w:rPr>
        <w:tab/>
      </w:r>
      <w:r>
        <w:rPr>
          <w:color w:val="000000" w:themeColor="text1"/>
          <w:lang w:eastAsia="zh-CN"/>
        </w:rPr>
        <w:t xml:space="preserve">Fletcher GF, Balady GJ, Amsterdam EA, </w:t>
      </w:r>
      <w:proofErr w:type="spellStart"/>
      <w:r>
        <w:rPr>
          <w:color w:val="000000" w:themeColor="text1"/>
          <w:lang w:eastAsia="zh-CN"/>
        </w:rPr>
        <w:t>Chaitman</w:t>
      </w:r>
      <w:proofErr w:type="spellEnd"/>
      <w:r>
        <w:rPr>
          <w:color w:val="000000" w:themeColor="text1"/>
          <w:lang w:eastAsia="zh-CN"/>
        </w:rPr>
        <w:t xml:space="preserve"> B, Eckel R, </w:t>
      </w:r>
      <w:proofErr w:type="spellStart"/>
      <w:r>
        <w:rPr>
          <w:color w:val="000000" w:themeColor="text1"/>
          <w:lang w:eastAsia="zh-CN"/>
        </w:rPr>
        <w:t>Fleg</w:t>
      </w:r>
      <w:proofErr w:type="spellEnd"/>
      <w:r>
        <w:rPr>
          <w:color w:val="000000" w:themeColor="text1"/>
          <w:lang w:eastAsia="zh-CN"/>
        </w:rPr>
        <w:t xml:space="preserve"> J, et al. Exercise standards for testing and training: a statement for healthcare professionals from the American Heart Association. Circulation. 2001; 104: 1694–1740. https://doi.org/10.1161/hc3901.095960.</w:t>
      </w:r>
    </w:p>
    <w:p w14:paraId="4FF84D9C" w14:textId="77777777" w:rsidR="00CC3835" w:rsidRDefault="00256BAA">
      <w:pPr>
        <w:pStyle w:val="Reference"/>
        <w:ind w:left="360" w:hanging="360"/>
        <w:rPr>
          <w:rFonts w:eastAsia="宋体"/>
          <w:color w:val="000000" w:themeColor="text1"/>
          <w:lang w:eastAsia="zh-CN"/>
        </w:rPr>
      </w:pPr>
      <w:r>
        <w:rPr>
          <w:rFonts w:eastAsia="宋体" w:hint="eastAsia"/>
          <w:color w:val="000000" w:themeColor="text1"/>
          <w:lang w:eastAsia="zh-CN"/>
        </w:rPr>
        <w:t>[31]</w:t>
      </w:r>
      <w:r>
        <w:rPr>
          <w:color w:val="000000" w:themeColor="text1"/>
        </w:rPr>
        <w:tab/>
      </w:r>
      <w:r>
        <w:rPr>
          <w:rFonts w:hint="eastAsia"/>
          <w:color w:val="000000" w:themeColor="text1"/>
        </w:rPr>
        <w:t xml:space="preserve">Sarnoff SJ, </w:t>
      </w:r>
      <w:proofErr w:type="spellStart"/>
      <w:r>
        <w:rPr>
          <w:rFonts w:hint="eastAsia"/>
          <w:color w:val="000000" w:themeColor="text1"/>
        </w:rPr>
        <w:t>Braunw</w:t>
      </w:r>
      <w:r>
        <w:rPr>
          <w:rFonts w:hint="eastAsia"/>
          <w:color w:val="000000" w:themeColor="text1"/>
        </w:rPr>
        <w:t>ald</w:t>
      </w:r>
      <w:proofErr w:type="spellEnd"/>
      <w:r>
        <w:rPr>
          <w:rFonts w:hint="eastAsia"/>
          <w:color w:val="000000" w:themeColor="text1"/>
        </w:rPr>
        <w:t xml:space="preserve"> E, Welch GH Jr, Case RB, </w:t>
      </w:r>
      <w:proofErr w:type="spellStart"/>
      <w:r>
        <w:rPr>
          <w:rFonts w:hint="eastAsia"/>
          <w:color w:val="000000" w:themeColor="text1"/>
        </w:rPr>
        <w:t>Stainsby</w:t>
      </w:r>
      <w:proofErr w:type="spellEnd"/>
      <w:r>
        <w:rPr>
          <w:rFonts w:hint="eastAsia"/>
          <w:color w:val="000000" w:themeColor="text1"/>
        </w:rPr>
        <w:t xml:space="preserve"> WN, </w:t>
      </w:r>
      <w:proofErr w:type="spellStart"/>
      <w:r>
        <w:rPr>
          <w:rFonts w:hint="eastAsia"/>
          <w:color w:val="000000" w:themeColor="text1"/>
        </w:rPr>
        <w:t>Macruz</w:t>
      </w:r>
      <w:proofErr w:type="spellEnd"/>
      <w:r>
        <w:rPr>
          <w:rFonts w:hint="eastAsia"/>
          <w:color w:val="000000" w:themeColor="text1"/>
        </w:rPr>
        <w:t xml:space="preserve"> R. Hemodynamic determinants of oxygen consumption of the heart with special reference to the tension-time index.</w:t>
      </w:r>
      <w:r>
        <w:rPr>
          <w:rFonts w:eastAsia="宋体" w:hint="eastAsia"/>
          <w:color w:val="000000" w:themeColor="text1"/>
          <w:lang w:eastAsia="zh-CN"/>
        </w:rPr>
        <w:t xml:space="preserve"> The American journal of physiology. 1958; 192: 148</w:t>
      </w:r>
      <w:r>
        <w:rPr>
          <w:color w:val="000000" w:themeColor="text1"/>
          <w:lang w:eastAsia="zh-CN"/>
        </w:rPr>
        <w:t>–</w:t>
      </w:r>
      <w:r>
        <w:rPr>
          <w:rFonts w:eastAsia="宋体" w:hint="eastAsia"/>
          <w:color w:val="000000" w:themeColor="text1"/>
          <w:lang w:eastAsia="zh-CN"/>
        </w:rPr>
        <w:t xml:space="preserve">156. </w:t>
      </w:r>
      <w:hyperlink r:id="rId15" w:history="1">
        <w:r>
          <w:rPr>
            <w:rStyle w:val="af3"/>
            <w:rFonts w:eastAsia="宋体" w:hint="eastAsia"/>
            <w:color w:val="000000" w:themeColor="text1"/>
            <w:u w:val="none"/>
            <w:lang w:eastAsia="zh-CN"/>
          </w:rPr>
          <w:t>https://doi.org/10.1152/ajplegacy.1957.192.1.148.</w:t>
        </w:r>
      </w:hyperlink>
    </w:p>
    <w:p w14:paraId="03C64C17" w14:textId="77777777" w:rsidR="00CC3835" w:rsidRDefault="00256BAA">
      <w:pPr>
        <w:pStyle w:val="Reference"/>
        <w:ind w:left="360" w:hanging="360"/>
        <w:rPr>
          <w:rFonts w:eastAsia="宋体"/>
          <w:color w:val="000000" w:themeColor="text1"/>
          <w:lang w:eastAsia="zh-CN"/>
        </w:rPr>
      </w:pPr>
      <w:r>
        <w:rPr>
          <w:rFonts w:eastAsia="宋体" w:hint="eastAsia"/>
          <w:color w:val="000000" w:themeColor="text1"/>
          <w:lang w:eastAsia="zh-CN"/>
        </w:rPr>
        <w:t>[32]</w:t>
      </w:r>
      <w:r>
        <w:rPr>
          <w:color w:val="000000" w:themeColor="text1"/>
        </w:rPr>
        <w:tab/>
        <w:t>Jorgensen CR, Gobel FL, Taylor HL, Wang Y. Myocardial blood flow and oxygen consumption during exercise. Annals of the New York Academy of Sciences. 1977; 301: 213–</w:t>
      </w:r>
      <w:r>
        <w:rPr>
          <w:rFonts w:hint="eastAsia"/>
          <w:color w:val="000000" w:themeColor="text1"/>
          <w:lang w:eastAsia="zh-CN"/>
        </w:rPr>
        <w:t>2</w:t>
      </w:r>
      <w:r>
        <w:rPr>
          <w:color w:val="000000" w:themeColor="text1"/>
        </w:rPr>
        <w:t>23. http</w:t>
      </w:r>
      <w:r>
        <w:rPr>
          <w:color w:val="000000" w:themeColor="text1"/>
        </w:rPr>
        <w:t>s://doi.org/10.1111/j.1749-6632.1977.tb38200.x.</w:t>
      </w:r>
    </w:p>
    <w:p w14:paraId="6961CFD7" w14:textId="77777777" w:rsidR="00CC3835" w:rsidRDefault="00256BAA">
      <w:pPr>
        <w:pStyle w:val="Reference"/>
        <w:ind w:left="360" w:hanging="360"/>
        <w:rPr>
          <w:color w:val="000000" w:themeColor="text1"/>
        </w:rPr>
      </w:pPr>
      <w:r>
        <w:rPr>
          <w:color w:val="000000" w:themeColor="text1"/>
        </w:rPr>
        <w:lastRenderedPageBreak/>
        <w:t>[3</w:t>
      </w:r>
      <w:r>
        <w:rPr>
          <w:rFonts w:eastAsia="宋体" w:hint="eastAsia"/>
          <w:color w:val="000000" w:themeColor="text1"/>
          <w:lang w:eastAsia="zh-CN"/>
        </w:rPr>
        <w:t>3</w:t>
      </w:r>
      <w:r>
        <w:rPr>
          <w:color w:val="000000" w:themeColor="text1"/>
        </w:rPr>
        <w:t>]</w:t>
      </w:r>
      <w:r>
        <w:rPr>
          <w:color w:val="000000" w:themeColor="text1"/>
        </w:rPr>
        <w:tab/>
        <w:t>Zheng H, Tang Y, Zhou H, Ji X. The rate-pressure product combined model within 24 h on admission predicts the 30-day mortality rate in conservatively treated patients with intracerebral hemorrhage. Front</w:t>
      </w:r>
      <w:r>
        <w:rPr>
          <w:color w:val="000000" w:themeColor="text1"/>
        </w:rPr>
        <w:t>iers in Neurology. 2024; 15: 1377843. https://doi.org/10.3389/fneur.2024.1377843.</w:t>
      </w:r>
    </w:p>
    <w:p w14:paraId="686F61DD" w14:textId="77777777" w:rsidR="00CC3835" w:rsidRDefault="00256BAA">
      <w:pPr>
        <w:pStyle w:val="Reference"/>
        <w:ind w:left="360" w:hanging="360"/>
        <w:rPr>
          <w:color w:val="000000" w:themeColor="text1"/>
        </w:rPr>
      </w:pPr>
      <w:r>
        <w:rPr>
          <w:color w:val="000000" w:themeColor="text1"/>
        </w:rPr>
        <w:t>[3</w:t>
      </w:r>
      <w:r>
        <w:rPr>
          <w:rFonts w:eastAsia="宋体" w:hint="eastAsia"/>
          <w:color w:val="000000" w:themeColor="text1"/>
          <w:lang w:eastAsia="zh-CN"/>
        </w:rPr>
        <w:t>4</w:t>
      </w:r>
      <w:r>
        <w:rPr>
          <w:color w:val="000000" w:themeColor="text1"/>
        </w:rPr>
        <w:t>]</w:t>
      </w:r>
      <w:r>
        <w:rPr>
          <w:color w:val="000000" w:themeColor="text1"/>
        </w:rPr>
        <w:tab/>
        <w:t xml:space="preserve">Jiang Z-H, Aierken A, Wu T-T, Zheng Y-Y, Ma Y-T, Xie X. Rate pressure product as a novel predictor of long-term adverse outcomes in patients after percutaneous coronary </w:t>
      </w:r>
      <w:r>
        <w:rPr>
          <w:color w:val="000000" w:themeColor="text1"/>
        </w:rPr>
        <w:t>intervention: a retrospective cohort study. BMJ Open. 2023; 13: e067951. https://doi.org/10.1136/bmjopen-2022-067951.</w:t>
      </w:r>
    </w:p>
    <w:p w14:paraId="140A57AB" w14:textId="77777777" w:rsidR="00CC3835" w:rsidRDefault="00256BAA">
      <w:pPr>
        <w:pStyle w:val="Reference"/>
        <w:ind w:left="360" w:hanging="360"/>
        <w:rPr>
          <w:color w:val="000000" w:themeColor="text1"/>
        </w:rPr>
      </w:pPr>
      <w:r>
        <w:rPr>
          <w:color w:val="000000" w:themeColor="text1"/>
        </w:rPr>
        <w:t>[3</w:t>
      </w:r>
      <w:r>
        <w:rPr>
          <w:rFonts w:eastAsia="宋体" w:hint="eastAsia"/>
          <w:color w:val="000000" w:themeColor="text1"/>
          <w:lang w:eastAsia="zh-CN"/>
        </w:rPr>
        <w:t>5</w:t>
      </w:r>
      <w:r>
        <w:rPr>
          <w:color w:val="000000" w:themeColor="text1"/>
        </w:rPr>
        <w:t>]</w:t>
      </w:r>
      <w:r>
        <w:rPr>
          <w:color w:val="000000" w:themeColor="text1"/>
        </w:rPr>
        <w:tab/>
        <w:t xml:space="preserve">La Rovere MT, Pinna GD, Raczak G. Baroreflex sensitivity: measurement and clinical implications. Annals of Noninvasive </w:t>
      </w:r>
      <w:proofErr w:type="spellStart"/>
      <w:r>
        <w:rPr>
          <w:color w:val="000000" w:themeColor="text1"/>
        </w:rPr>
        <w:t>Electrocardiol</w:t>
      </w:r>
      <w:r>
        <w:rPr>
          <w:color w:val="000000" w:themeColor="text1"/>
        </w:rPr>
        <w:t>ogy</w:t>
      </w:r>
      <w:proofErr w:type="spellEnd"/>
      <w:r>
        <w:rPr>
          <w:color w:val="000000" w:themeColor="text1"/>
        </w:rPr>
        <w:t xml:space="preserve">: The Official Journal of the International Society for Holter and Noninvasive </w:t>
      </w:r>
      <w:proofErr w:type="spellStart"/>
      <w:r>
        <w:rPr>
          <w:color w:val="000000" w:themeColor="text1"/>
        </w:rPr>
        <w:t>Electrocardiology</w:t>
      </w:r>
      <w:proofErr w:type="spellEnd"/>
      <w:r>
        <w:rPr>
          <w:color w:val="000000" w:themeColor="text1"/>
        </w:rPr>
        <w:t>, Inc. 2008; 13: 191–207. https://doi.org/10.1111/j.1542-474X.2008.00219.x.</w:t>
      </w:r>
    </w:p>
    <w:p w14:paraId="6BD202AD" w14:textId="77777777" w:rsidR="00CC3835" w:rsidRDefault="00256BAA">
      <w:pPr>
        <w:pStyle w:val="Reference"/>
        <w:ind w:left="360" w:hanging="360"/>
        <w:rPr>
          <w:color w:val="000000" w:themeColor="text1"/>
        </w:rPr>
      </w:pPr>
      <w:r>
        <w:rPr>
          <w:color w:val="000000" w:themeColor="text1"/>
        </w:rPr>
        <w:t>[3</w:t>
      </w:r>
      <w:r>
        <w:rPr>
          <w:rFonts w:eastAsia="宋体" w:hint="eastAsia"/>
          <w:color w:val="000000" w:themeColor="text1"/>
          <w:lang w:eastAsia="zh-CN"/>
        </w:rPr>
        <w:t>6</w:t>
      </w:r>
      <w:r>
        <w:rPr>
          <w:color w:val="000000" w:themeColor="text1"/>
        </w:rPr>
        <w:t>]</w:t>
      </w:r>
      <w:r>
        <w:rPr>
          <w:color w:val="000000" w:themeColor="text1"/>
        </w:rPr>
        <w:tab/>
      </w:r>
      <w:proofErr w:type="spellStart"/>
      <w:r>
        <w:rPr>
          <w:color w:val="000000" w:themeColor="text1"/>
        </w:rPr>
        <w:t>Sykora</w:t>
      </w:r>
      <w:proofErr w:type="spellEnd"/>
      <w:r>
        <w:rPr>
          <w:color w:val="000000" w:themeColor="text1"/>
        </w:rPr>
        <w:t xml:space="preserve"> M, </w:t>
      </w:r>
      <w:proofErr w:type="spellStart"/>
      <w:r>
        <w:rPr>
          <w:color w:val="000000" w:themeColor="text1"/>
        </w:rPr>
        <w:t>Diedler</w:t>
      </w:r>
      <w:proofErr w:type="spellEnd"/>
      <w:r>
        <w:rPr>
          <w:color w:val="000000" w:themeColor="text1"/>
        </w:rPr>
        <w:t xml:space="preserve"> J, Rupp A, </w:t>
      </w:r>
      <w:proofErr w:type="spellStart"/>
      <w:r>
        <w:rPr>
          <w:color w:val="000000" w:themeColor="text1"/>
        </w:rPr>
        <w:t>Turcani</w:t>
      </w:r>
      <w:proofErr w:type="spellEnd"/>
      <w:r>
        <w:rPr>
          <w:color w:val="000000" w:themeColor="text1"/>
        </w:rPr>
        <w:t xml:space="preserve"> P, Rocco A, Steiner T. Impaired baroref</w:t>
      </w:r>
      <w:r>
        <w:rPr>
          <w:color w:val="000000" w:themeColor="text1"/>
        </w:rPr>
        <w:t>lex sensitivity predicts outcome of acute intracerebral hemorrhage. Critical Care Medicine. 2008; 36: 3074–</w:t>
      </w:r>
      <w:r>
        <w:rPr>
          <w:rFonts w:hint="eastAsia"/>
          <w:color w:val="000000" w:themeColor="text1"/>
          <w:lang w:eastAsia="zh-CN"/>
        </w:rPr>
        <w:t>307</w:t>
      </w:r>
      <w:r>
        <w:rPr>
          <w:color w:val="000000" w:themeColor="text1"/>
        </w:rPr>
        <w:t>9. https://doi.org/10.1097/CCM.0b013e31818b306d.</w:t>
      </w:r>
    </w:p>
    <w:p w14:paraId="72BD9297" w14:textId="77777777" w:rsidR="00CC3835" w:rsidRDefault="00256BAA">
      <w:pPr>
        <w:pStyle w:val="Reference"/>
        <w:ind w:left="360" w:hanging="360"/>
        <w:rPr>
          <w:color w:val="000000" w:themeColor="text1"/>
        </w:rPr>
      </w:pPr>
      <w:r>
        <w:rPr>
          <w:color w:val="000000" w:themeColor="text1"/>
        </w:rPr>
        <w:t>[3</w:t>
      </w:r>
      <w:r>
        <w:rPr>
          <w:rFonts w:eastAsia="宋体" w:hint="eastAsia"/>
          <w:color w:val="000000" w:themeColor="text1"/>
          <w:lang w:eastAsia="zh-CN"/>
        </w:rPr>
        <w:t>7</w:t>
      </w:r>
      <w:r>
        <w:rPr>
          <w:color w:val="000000" w:themeColor="text1"/>
        </w:rPr>
        <w:t>]</w:t>
      </w:r>
      <w:r>
        <w:rPr>
          <w:color w:val="000000" w:themeColor="text1"/>
        </w:rPr>
        <w:tab/>
      </w:r>
      <w:proofErr w:type="spellStart"/>
      <w:r>
        <w:rPr>
          <w:color w:val="000000" w:themeColor="text1"/>
        </w:rPr>
        <w:t>Sykora</w:t>
      </w:r>
      <w:proofErr w:type="spellEnd"/>
      <w:r>
        <w:rPr>
          <w:color w:val="000000" w:themeColor="text1"/>
        </w:rPr>
        <w:t xml:space="preserve"> M, </w:t>
      </w:r>
      <w:proofErr w:type="spellStart"/>
      <w:r>
        <w:rPr>
          <w:color w:val="000000" w:themeColor="text1"/>
        </w:rPr>
        <w:t>Diedler</w:t>
      </w:r>
      <w:proofErr w:type="spellEnd"/>
      <w:r>
        <w:rPr>
          <w:color w:val="000000" w:themeColor="text1"/>
        </w:rPr>
        <w:t xml:space="preserve"> J, </w:t>
      </w:r>
      <w:proofErr w:type="spellStart"/>
      <w:r>
        <w:rPr>
          <w:color w:val="000000" w:themeColor="text1"/>
        </w:rPr>
        <w:t>Turcani</w:t>
      </w:r>
      <w:proofErr w:type="spellEnd"/>
      <w:r>
        <w:rPr>
          <w:color w:val="000000" w:themeColor="text1"/>
        </w:rPr>
        <w:t xml:space="preserve"> P, Hacke W, Steiner T. Baroreflex: a new therapeutic target in </w:t>
      </w:r>
      <w:r>
        <w:rPr>
          <w:color w:val="000000" w:themeColor="text1"/>
        </w:rPr>
        <w:t>human stroke? Stroke. 2009; 40: e678-682. https://doi.org/10.1161/STROKEAHA.109.565838.</w:t>
      </w:r>
    </w:p>
    <w:p w14:paraId="6DADB2B3" w14:textId="77777777" w:rsidR="00CC3835" w:rsidRDefault="00256BAA">
      <w:pPr>
        <w:pStyle w:val="Reference"/>
        <w:ind w:left="360" w:hanging="360"/>
        <w:rPr>
          <w:rFonts w:eastAsia="宋体"/>
          <w:color w:val="000000" w:themeColor="text1"/>
          <w:lang w:eastAsia="zh-CN"/>
        </w:rPr>
      </w:pPr>
      <w:r>
        <w:rPr>
          <w:rFonts w:eastAsia="宋体" w:hint="eastAsia"/>
          <w:color w:val="000000" w:themeColor="text1"/>
          <w:lang w:eastAsia="zh-CN"/>
        </w:rPr>
        <w:t>[38]</w:t>
      </w:r>
      <w:r>
        <w:rPr>
          <w:color w:val="000000" w:themeColor="text1"/>
        </w:rPr>
        <w:tab/>
      </w:r>
      <w:r>
        <w:rPr>
          <w:rFonts w:hint="eastAsia"/>
          <w:color w:val="000000" w:themeColor="text1"/>
        </w:rPr>
        <w:t xml:space="preserve">Hamann GF, Strittmatter M, Hoffmann KH, Holzer G, Stoll M, </w:t>
      </w:r>
      <w:proofErr w:type="spellStart"/>
      <w:r>
        <w:rPr>
          <w:rFonts w:hint="eastAsia"/>
          <w:color w:val="000000" w:themeColor="text1"/>
        </w:rPr>
        <w:t>Keshevar</w:t>
      </w:r>
      <w:proofErr w:type="spellEnd"/>
      <w:r>
        <w:rPr>
          <w:rFonts w:hint="eastAsia"/>
          <w:color w:val="000000" w:themeColor="text1"/>
        </w:rPr>
        <w:t xml:space="preserve"> T,</w:t>
      </w:r>
      <w:r>
        <w:rPr>
          <w:rFonts w:eastAsia="宋体" w:hint="eastAsia"/>
          <w:color w:val="000000" w:themeColor="text1"/>
          <w:lang w:eastAsia="zh-CN"/>
        </w:rPr>
        <w:t xml:space="preserve"> et al. Pattern of elevation of urine catecholamines in intracerebral </w:t>
      </w:r>
      <w:proofErr w:type="spellStart"/>
      <w:r>
        <w:rPr>
          <w:rFonts w:eastAsia="宋体" w:hint="eastAsia"/>
          <w:color w:val="000000" w:themeColor="text1"/>
          <w:lang w:eastAsia="zh-CN"/>
        </w:rPr>
        <w:t>haemorrhage</w:t>
      </w:r>
      <w:proofErr w:type="spellEnd"/>
      <w:r>
        <w:rPr>
          <w:rFonts w:eastAsia="宋体" w:hint="eastAsia"/>
          <w:color w:val="000000" w:themeColor="text1"/>
          <w:lang w:eastAsia="zh-CN"/>
        </w:rPr>
        <w:t xml:space="preserve">. Acta </w:t>
      </w:r>
      <w:proofErr w:type="spellStart"/>
      <w:r>
        <w:rPr>
          <w:rFonts w:eastAsia="宋体" w:hint="eastAsia"/>
          <w:color w:val="000000" w:themeColor="text1"/>
          <w:lang w:eastAsia="zh-CN"/>
        </w:rPr>
        <w:t>neuro</w:t>
      </w:r>
      <w:r>
        <w:rPr>
          <w:rFonts w:eastAsia="宋体" w:hint="eastAsia"/>
          <w:color w:val="000000" w:themeColor="text1"/>
          <w:lang w:eastAsia="zh-CN"/>
        </w:rPr>
        <w:t>chirurgica</w:t>
      </w:r>
      <w:proofErr w:type="spellEnd"/>
      <w:r>
        <w:rPr>
          <w:rFonts w:eastAsia="宋体" w:hint="eastAsia"/>
          <w:color w:val="000000" w:themeColor="text1"/>
          <w:lang w:eastAsia="zh-CN"/>
        </w:rPr>
        <w:t>. 1995; 132: 42</w:t>
      </w:r>
      <w:r>
        <w:rPr>
          <w:color w:val="000000" w:themeColor="text1"/>
          <w:lang w:eastAsia="zh-CN"/>
        </w:rPr>
        <w:t>–</w:t>
      </w:r>
      <w:r>
        <w:rPr>
          <w:rFonts w:eastAsia="宋体" w:hint="eastAsia"/>
          <w:color w:val="000000" w:themeColor="text1"/>
          <w:lang w:eastAsia="zh-CN"/>
        </w:rPr>
        <w:t>47. https://doi.org/10.1007/BF01404846.</w:t>
      </w:r>
    </w:p>
    <w:p w14:paraId="3BAD6301" w14:textId="77777777" w:rsidR="00CC3835" w:rsidRDefault="00256BAA">
      <w:pPr>
        <w:pStyle w:val="Reference"/>
        <w:ind w:left="360" w:hanging="360"/>
        <w:rPr>
          <w:color w:val="000000" w:themeColor="text1"/>
        </w:rPr>
      </w:pPr>
      <w:r>
        <w:rPr>
          <w:color w:val="000000" w:themeColor="text1"/>
        </w:rPr>
        <w:t>[3</w:t>
      </w:r>
      <w:r>
        <w:rPr>
          <w:rFonts w:eastAsia="宋体" w:hint="eastAsia"/>
          <w:color w:val="000000" w:themeColor="text1"/>
          <w:lang w:eastAsia="zh-CN"/>
        </w:rPr>
        <w:t>9</w:t>
      </w:r>
      <w:r>
        <w:rPr>
          <w:color w:val="000000" w:themeColor="text1"/>
        </w:rPr>
        <w:t>]</w:t>
      </w:r>
      <w:r>
        <w:rPr>
          <w:color w:val="000000" w:themeColor="text1"/>
        </w:rPr>
        <w:tab/>
        <w:t>Kalita J, Misra UK, Kumar B. Is beta-blocker (atenolol) a preferred antihypertensive in acute intracerebral hemorrhage? Neurological Sciences. 201</w:t>
      </w:r>
      <w:r>
        <w:rPr>
          <w:rFonts w:eastAsia="宋体" w:hint="eastAsia"/>
          <w:color w:val="000000" w:themeColor="text1"/>
          <w:lang w:eastAsia="zh-CN"/>
        </w:rPr>
        <w:t>3</w:t>
      </w:r>
      <w:r>
        <w:rPr>
          <w:color w:val="000000" w:themeColor="text1"/>
        </w:rPr>
        <w:t>; 34: 1099–1</w:t>
      </w:r>
      <w:r>
        <w:rPr>
          <w:rFonts w:hint="eastAsia"/>
          <w:color w:val="000000" w:themeColor="text1"/>
          <w:lang w:eastAsia="zh-CN"/>
        </w:rPr>
        <w:t>1</w:t>
      </w:r>
      <w:r>
        <w:rPr>
          <w:color w:val="000000" w:themeColor="text1"/>
        </w:rPr>
        <w:t>04. https://doi.org/10.10</w:t>
      </w:r>
      <w:r>
        <w:rPr>
          <w:color w:val="000000" w:themeColor="text1"/>
        </w:rPr>
        <w:t>07/s10072-012-1210-y.</w:t>
      </w:r>
    </w:p>
    <w:p w14:paraId="05BBFF73" w14:textId="77777777" w:rsidR="00CC3835" w:rsidRDefault="00256BAA">
      <w:pPr>
        <w:pStyle w:val="Reference"/>
        <w:ind w:left="360" w:hanging="360"/>
        <w:rPr>
          <w:color w:val="000000" w:themeColor="text1"/>
        </w:rPr>
      </w:pPr>
      <w:r>
        <w:rPr>
          <w:color w:val="000000" w:themeColor="text1"/>
        </w:rPr>
        <w:t>[</w:t>
      </w:r>
      <w:r>
        <w:rPr>
          <w:rFonts w:eastAsia="宋体" w:hint="eastAsia"/>
          <w:color w:val="000000" w:themeColor="text1"/>
          <w:lang w:eastAsia="zh-CN"/>
        </w:rPr>
        <w:t>40</w:t>
      </w:r>
      <w:r>
        <w:rPr>
          <w:color w:val="000000" w:themeColor="text1"/>
        </w:rPr>
        <w:t>]</w:t>
      </w:r>
      <w:r>
        <w:rPr>
          <w:color w:val="000000" w:themeColor="text1"/>
        </w:rPr>
        <w:tab/>
        <w:t>Sansing LH, Messe SR, Cucchiara BL, Lyden PD, Kasner SE. Anti-adrenergic medications and edema development after intracerebral hemorrhage. Neurocritical Care. 2011; 14: 395–400. https://doi.org/10.1007/s12028-010-9498-z.</w:t>
      </w:r>
    </w:p>
    <w:p w14:paraId="18438957" w14:textId="77777777" w:rsidR="00CC3835" w:rsidRDefault="00256BAA">
      <w:pPr>
        <w:pStyle w:val="Reference"/>
        <w:ind w:left="360" w:hanging="360"/>
        <w:rPr>
          <w:color w:val="000000" w:themeColor="text1"/>
        </w:rPr>
      </w:pPr>
      <w:r>
        <w:rPr>
          <w:color w:val="000000" w:themeColor="text1"/>
        </w:rPr>
        <w:t>[</w:t>
      </w:r>
      <w:r>
        <w:rPr>
          <w:rFonts w:eastAsia="宋体" w:hint="eastAsia"/>
          <w:color w:val="000000" w:themeColor="text1"/>
          <w:lang w:eastAsia="zh-CN"/>
        </w:rPr>
        <w:t>41</w:t>
      </w:r>
      <w:r>
        <w:rPr>
          <w:color w:val="000000" w:themeColor="text1"/>
        </w:rPr>
        <w:t>]</w:t>
      </w:r>
      <w:r>
        <w:rPr>
          <w:color w:val="000000" w:themeColor="text1"/>
        </w:rPr>
        <w:tab/>
        <w:t>Sho</w:t>
      </w:r>
      <w:r>
        <w:rPr>
          <w:color w:val="000000" w:themeColor="text1"/>
        </w:rPr>
        <w:t>up JP, Winkler J, Czap A, Staff I, Fortunato G, McCullough LD, et al. β-Blockers associated with no class-specific survival benefit in acute intracerebral hemorrhage. Journal of the Neurological Sciences. 201</w:t>
      </w:r>
      <w:r>
        <w:rPr>
          <w:rFonts w:eastAsia="宋体" w:hint="eastAsia"/>
          <w:color w:val="000000" w:themeColor="text1"/>
          <w:lang w:eastAsia="zh-CN"/>
        </w:rPr>
        <w:t>4</w:t>
      </w:r>
      <w:r>
        <w:rPr>
          <w:color w:val="000000" w:themeColor="text1"/>
        </w:rPr>
        <w:t>; 336: 127–</w:t>
      </w:r>
      <w:r>
        <w:rPr>
          <w:rFonts w:hint="eastAsia"/>
          <w:color w:val="000000" w:themeColor="text1"/>
          <w:lang w:eastAsia="zh-CN"/>
        </w:rPr>
        <w:t>1</w:t>
      </w:r>
      <w:r>
        <w:rPr>
          <w:color w:val="000000" w:themeColor="text1"/>
        </w:rPr>
        <w:t xml:space="preserve">31. </w:t>
      </w:r>
      <w:r>
        <w:rPr>
          <w:color w:val="000000" w:themeColor="text1"/>
        </w:rPr>
        <w:t>https://doi.org/10.1016/j.jns.2013.10.022.</w:t>
      </w:r>
    </w:p>
    <w:p w14:paraId="71F888AC" w14:textId="77777777" w:rsidR="00CC3835" w:rsidRDefault="00256BAA">
      <w:pPr>
        <w:pStyle w:val="Reference"/>
        <w:ind w:left="360" w:hanging="360"/>
        <w:rPr>
          <w:color w:val="000000" w:themeColor="text1"/>
        </w:rPr>
      </w:pPr>
      <w:r>
        <w:rPr>
          <w:color w:val="000000" w:themeColor="text1"/>
        </w:rPr>
        <w:t>[</w:t>
      </w:r>
      <w:r>
        <w:rPr>
          <w:rFonts w:eastAsia="宋体" w:hint="eastAsia"/>
          <w:color w:val="000000" w:themeColor="text1"/>
          <w:lang w:eastAsia="zh-CN"/>
        </w:rPr>
        <w:t>42</w:t>
      </w:r>
      <w:r>
        <w:rPr>
          <w:color w:val="000000" w:themeColor="text1"/>
        </w:rPr>
        <w:t>]</w:t>
      </w:r>
      <w:r>
        <w:rPr>
          <w:color w:val="000000" w:themeColor="text1"/>
        </w:rPr>
        <w:tab/>
        <w:t xml:space="preserve">Balla HZ, Cao Y, Ström JO. </w:t>
      </w:r>
      <w:bookmarkStart w:id="84" w:name="OLE_LINK124"/>
      <w:r>
        <w:rPr>
          <w:color w:val="000000" w:themeColor="text1"/>
        </w:rPr>
        <w:t>Effect of Beta-Blockers on Stroke Outcome: A Meta-Analysis</w:t>
      </w:r>
      <w:bookmarkEnd w:id="84"/>
      <w:r>
        <w:rPr>
          <w:color w:val="000000" w:themeColor="text1"/>
        </w:rPr>
        <w:t>. Clinical Epidemiology. 2021; 13: 225–</w:t>
      </w:r>
      <w:r>
        <w:rPr>
          <w:rFonts w:hint="eastAsia"/>
          <w:color w:val="000000" w:themeColor="text1"/>
          <w:lang w:eastAsia="zh-CN"/>
        </w:rPr>
        <w:t>2</w:t>
      </w:r>
      <w:r>
        <w:rPr>
          <w:color w:val="000000" w:themeColor="text1"/>
        </w:rPr>
        <w:t>36. https://doi.org/10.2147/CLEP.S268105.</w:t>
      </w:r>
    </w:p>
    <w:p w14:paraId="66A025EB" w14:textId="77777777" w:rsidR="00CC3835" w:rsidRDefault="00256BAA">
      <w:pPr>
        <w:pStyle w:val="Reference"/>
        <w:ind w:left="360" w:hanging="360"/>
        <w:rPr>
          <w:color w:val="000000" w:themeColor="text1"/>
        </w:rPr>
      </w:pPr>
      <w:r>
        <w:rPr>
          <w:color w:val="000000" w:themeColor="text1"/>
        </w:rPr>
        <w:t>[</w:t>
      </w:r>
      <w:r>
        <w:rPr>
          <w:rFonts w:eastAsia="宋体" w:hint="eastAsia"/>
          <w:color w:val="000000" w:themeColor="text1"/>
          <w:lang w:eastAsia="zh-CN"/>
        </w:rPr>
        <w:t>43</w:t>
      </w:r>
      <w:r>
        <w:rPr>
          <w:color w:val="000000" w:themeColor="text1"/>
        </w:rPr>
        <w:t>]</w:t>
      </w:r>
      <w:r>
        <w:rPr>
          <w:color w:val="000000" w:themeColor="text1"/>
        </w:rPr>
        <w:tab/>
        <w:t>Wang L, Ma L, Ren C, Zhao W, Ji X, L</w:t>
      </w:r>
      <w:r>
        <w:rPr>
          <w:color w:val="000000" w:themeColor="text1"/>
        </w:rPr>
        <w:t>iu Z, et al. Stroke–heart syndrome: current progress and future outlook. Journal of Neurology. 2024; 271: 4813–</w:t>
      </w:r>
      <w:r>
        <w:rPr>
          <w:rFonts w:hint="eastAsia"/>
          <w:color w:val="000000" w:themeColor="text1"/>
          <w:lang w:eastAsia="zh-CN"/>
        </w:rPr>
        <w:t>48</w:t>
      </w:r>
      <w:r>
        <w:rPr>
          <w:color w:val="000000" w:themeColor="text1"/>
        </w:rPr>
        <w:t>25. https://doi.org/10.1007/s00415-024-12480-4.</w:t>
      </w:r>
    </w:p>
    <w:p w14:paraId="28DB96BE" w14:textId="77777777" w:rsidR="00CC3835" w:rsidRDefault="00256BAA">
      <w:pPr>
        <w:pStyle w:val="Reference"/>
        <w:ind w:left="360" w:hanging="360"/>
        <w:rPr>
          <w:color w:val="000000" w:themeColor="text1"/>
        </w:rPr>
      </w:pPr>
      <w:r>
        <w:rPr>
          <w:color w:val="000000" w:themeColor="text1"/>
        </w:rPr>
        <w:t>[</w:t>
      </w:r>
      <w:r>
        <w:rPr>
          <w:rFonts w:eastAsia="宋体" w:hint="eastAsia"/>
          <w:color w:val="000000" w:themeColor="text1"/>
          <w:lang w:eastAsia="zh-CN"/>
        </w:rPr>
        <w:t>44</w:t>
      </w:r>
      <w:r>
        <w:rPr>
          <w:color w:val="000000" w:themeColor="text1"/>
        </w:rPr>
        <w:t>]</w:t>
      </w:r>
      <w:r>
        <w:rPr>
          <w:color w:val="000000" w:themeColor="text1"/>
        </w:rPr>
        <w:tab/>
        <w:t xml:space="preserve">Ma S, Li J, Kong Q, Xu Z, Wu H, Jin Y, et al. Impact of Acute Myocardial Injury on Short‐ </w:t>
      </w:r>
      <w:r>
        <w:rPr>
          <w:color w:val="000000" w:themeColor="text1"/>
        </w:rPr>
        <w:t xml:space="preserve">and Long‐Term Outcomes in Patients </w:t>
      </w:r>
      <w:proofErr w:type="gramStart"/>
      <w:r>
        <w:rPr>
          <w:color w:val="000000" w:themeColor="text1"/>
        </w:rPr>
        <w:t>With</w:t>
      </w:r>
      <w:proofErr w:type="gramEnd"/>
      <w:r>
        <w:rPr>
          <w:color w:val="000000" w:themeColor="text1"/>
        </w:rPr>
        <w:t xml:space="preserve"> Primary Intracerebral Hemorrhage</w:t>
      </w:r>
      <w:r>
        <w:rPr>
          <w:rFonts w:ascii="宋体" w:eastAsia="宋体" w:hAnsi="宋体" w:cs="宋体" w:hint="eastAsia"/>
          <w:color w:val="000000" w:themeColor="text1"/>
          <w:lang w:eastAsia="zh-CN"/>
        </w:rPr>
        <w:t>.</w:t>
      </w:r>
      <w:r>
        <w:rPr>
          <w:color w:val="000000" w:themeColor="text1"/>
        </w:rPr>
        <w:t xml:space="preserve"> </w:t>
      </w:r>
      <w:r>
        <w:rPr>
          <w:color w:val="EE0000"/>
        </w:rPr>
        <w:t>Journal of the American Heart Association</w:t>
      </w:r>
      <w:r>
        <w:rPr>
          <w:rFonts w:hint="eastAsia"/>
          <w:color w:val="EE0000"/>
          <w:lang w:eastAsia="zh-CN"/>
        </w:rPr>
        <w:t xml:space="preserve">. </w:t>
      </w:r>
      <w:r>
        <w:rPr>
          <w:color w:val="EE0000"/>
        </w:rPr>
        <w:t>2025</w:t>
      </w:r>
      <w:r>
        <w:rPr>
          <w:rFonts w:hint="eastAsia"/>
          <w:color w:val="EE0000"/>
          <w:lang w:eastAsia="zh-CN"/>
        </w:rPr>
        <w:t>;</w:t>
      </w:r>
      <w:r>
        <w:rPr>
          <w:color w:val="EE0000"/>
        </w:rPr>
        <w:t xml:space="preserve"> 14</w:t>
      </w:r>
      <w:r>
        <w:rPr>
          <w:rFonts w:hint="eastAsia"/>
          <w:color w:val="EE0000"/>
          <w:lang w:eastAsia="zh-CN"/>
        </w:rPr>
        <w:t>:</w:t>
      </w:r>
      <w:r>
        <w:rPr>
          <w:color w:val="EE0000"/>
        </w:rPr>
        <w:t xml:space="preserve"> e037053. https://doi.org/10.1161/JAHA.124.037053</w:t>
      </w:r>
      <w:r>
        <w:rPr>
          <w:rFonts w:hint="eastAsia"/>
          <w:color w:val="EE0000"/>
        </w:rPr>
        <w:t>.</w:t>
      </w:r>
    </w:p>
    <w:p w14:paraId="0B32BFDB" w14:textId="77777777" w:rsidR="00CC3835" w:rsidRDefault="00256BAA">
      <w:pPr>
        <w:pStyle w:val="Reference"/>
        <w:ind w:left="360" w:hanging="360"/>
        <w:rPr>
          <w:color w:val="000000" w:themeColor="text1"/>
        </w:rPr>
      </w:pPr>
      <w:r>
        <w:rPr>
          <w:color w:val="000000" w:themeColor="text1"/>
        </w:rPr>
        <w:t>[4</w:t>
      </w:r>
      <w:r>
        <w:rPr>
          <w:rFonts w:eastAsia="宋体" w:hint="eastAsia"/>
          <w:color w:val="000000" w:themeColor="text1"/>
          <w:lang w:eastAsia="zh-CN"/>
        </w:rPr>
        <w:t>5</w:t>
      </w:r>
      <w:r>
        <w:rPr>
          <w:color w:val="000000" w:themeColor="text1"/>
        </w:rPr>
        <w:t>]</w:t>
      </w:r>
      <w:r>
        <w:rPr>
          <w:color w:val="000000" w:themeColor="text1"/>
        </w:rPr>
        <w:tab/>
      </w:r>
      <w:proofErr w:type="spellStart"/>
      <w:r>
        <w:rPr>
          <w:color w:val="000000" w:themeColor="text1"/>
        </w:rPr>
        <w:t>Ishiguchi</w:t>
      </w:r>
      <w:proofErr w:type="spellEnd"/>
      <w:r>
        <w:rPr>
          <w:color w:val="000000" w:themeColor="text1"/>
        </w:rPr>
        <w:t xml:space="preserve"> H, Huang B, El-Bouri WK, Dawson J, Lip GYH, Abdul-Rahim AH, et a</w:t>
      </w:r>
      <w:r>
        <w:rPr>
          <w:color w:val="000000" w:themeColor="text1"/>
        </w:rPr>
        <w:t xml:space="preserve">l. Incidence and Outcomes of Patients </w:t>
      </w:r>
      <w:proofErr w:type="gramStart"/>
      <w:r>
        <w:rPr>
          <w:color w:val="000000" w:themeColor="text1"/>
        </w:rPr>
        <w:t>With</w:t>
      </w:r>
      <w:proofErr w:type="gramEnd"/>
      <w:r>
        <w:rPr>
          <w:color w:val="000000" w:themeColor="text1"/>
        </w:rPr>
        <w:t xml:space="preserve"> Early Cardiac Complications After Intracerebral Hemorrhage: A Report From VISTA. Stroke. 2024; 55: 2669–</w:t>
      </w:r>
      <w:r>
        <w:rPr>
          <w:rFonts w:hint="eastAsia"/>
          <w:color w:val="000000" w:themeColor="text1"/>
          <w:lang w:eastAsia="zh-CN"/>
        </w:rPr>
        <w:t>26</w:t>
      </w:r>
      <w:r>
        <w:rPr>
          <w:color w:val="000000" w:themeColor="text1"/>
        </w:rPr>
        <w:t>76. https://doi.org/10.1161/STROKEAHA.124.048189.</w:t>
      </w:r>
    </w:p>
    <w:p w14:paraId="34F6FD51" w14:textId="77777777" w:rsidR="00CC3835" w:rsidRDefault="00256BAA">
      <w:pPr>
        <w:pStyle w:val="Reference"/>
        <w:ind w:left="360" w:hanging="360"/>
        <w:rPr>
          <w:color w:val="000000" w:themeColor="text1"/>
        </w:rPr>
      </w:pPr>
      <w:r>
        <w:rPr>
          <w:color w:val="000000" w:themeColor="text1"/>
        </w:rPr>
        <w:t>[4</w:t>
      </w:r>
      <w:r>
        <w:rPr>
          <w:rFonts w:eastAsia="宋体" w:hint="eastAsia"/>
          <w:color w:val="000000" w:themeColor="text1"/>
          <w:lang w:eastAsia="zh-CN"/>
        </w:rPr>
        <w:t>6</w:t>
      </w:r>
      <w:r>
        <w:rPr>
          <w:color w:val="000000" w:themeColor="text1"/>
        </w:rPr>
        <w:t>]</w:t>
      </w:r>
      <w:r>
        <w:rPr>
          <w:color w:val="000000" w:themeColor="text1"/>
        </w:rPr>
        <w:tab/>
        <w:t xml:space="preserve">Hoad KL, Jones H, Miller G, Abdul-Rahim AH, Lip GY, </w:t>
      </w:r>
      <w:r>
        <w:rPr>
          <w:color w:val="000000" w:themeColor="text1"/>
        </w:rPr>
        <w:t xml:space="preserve">Buckley BJ. Stroke-heart syndrome: Incidence and clinical outcomes of cardiac complications following intracerebral </w:t>
      </w:r>
      <w:proofErr w:type="spellStart"/>
      <w:r>
        <w:rPr>
          <w:color w:val="000000" w:themeColor="text1"/>
        </w:rPr>
        <w:t>haemorrhage</w:t>
      </w:r>
      <w:proofErr w:type="spellEnd"/>
      <w:r>
        <w:rPr>
          <w:color w:val="000000" w:themeColor="text1"/>
        </w:rPr>
        <w:t xml:space="preserve">. European Stroke Journal. </w:t>
      </w:r>
      <w:r>
        <w:rPr>
          <w:color w:val="EE0000"/>
        </w:rPr>
        <w:t>202</w:t>
      </w:r>
      <w:r>
        <w:rPr>
          <w:rFonts w:hint="eastAsia"/>
          <w:color w:val="EE0000"/>
          <w:lang w:eastAsia="zh-CN"/>
        </w:rPr>
        <w:t>5;</w:t>
      </w:r>
      <w:r>
        <w:rPr>
          <w:color w:val="EE0000"/>
        </w:rPr>
        <w:t xml:space="preserve"> </w:t>
      </w:r>
      <w:r>
        <w:rPr>
          <w:rFonts w:hint="eastAsia"/>
          <w:color w:val="EE0000"/>
          <w:lang w:eastAsia="zh-CN"/>
        </w:rPr>
        <w:t>10: 100–107</w:t>
      </w:r>
      <w:r>
        <w:rPr>
          <w:color w:val="EE0000"/>
        </w:rPr>
        <w:t>. https://doi.org/10.1177/23969873241264115.</w:t>
      </w:r>
    </w:p>
    <w:bookmarkEnd w:id="79"/>
    <w:p w14:paraId="0260CE38" w14:textId="77777777" w:rsidR="00CC3835" w:rsidRDefault="00CC3835">
      <w:pPr>
        <w:pStyle w:val="Reference"/>
        <w:ind w:left="0" w:firstLineChars="0" w:firstLine="0"/>
        <w:rPr>
          <w:rFonts w:eastAsia="微软雅黑"/>
          <w:color w:val="000000" w:themeColor="text1"/>
          <w:szCs w:val="22"/>
        </w:rPr>
        <w:sectPr w:rsidR="00CC3835">
          <w:footerReference w:type="default" r:id="rId16"/>
          <w:headerReference w:type="first" r:id="rId17"/>
          <w:pgSz w:w="11906" w:h="16838"/>
          <w:pgMar w:top="1134" w:right="851" w:bottom="1134" w:left="851" w:header="283" w:footer="992" w:gutter="0"/>
          <w:lnNumType w:countBy="1" w:restart="continuous"/>
          <w:cols w:space="425"/>
          <w:titlePg/>
          <w:docGrid w:type="lines" w:linePitch="312"/>
        </w:sectPr>
      </w:pPr>
    </w:p>
    <w:bookmarkEnd w:id="80"/>
    <w:p w14:paraId="56D3D9E3" w14:textId="77777777" w:rsidR="00CC3835" w:rsidRDefault="00CC3835">
      <w:pPr>
        <w:spacing w:line="360" w:lineRule="auto"/>
        <w:rPr>
          <w:rFonts w:ascii="Times New Roman" w:hAnsi="Times New Roman"/>
          <w:color w:val="000000" w:themeColor="text1"/>
          <w:sz w:val="22"/>
          <w:szCs w:val="22"/>
        </w:rPr>
        <w:sectPr w:rsidR="00CC3835">
          <w:pgSz w:w="11906" w:h="16838"/>
          <w:pgMar w:top="1440" w:right="1800" w:bottom="1440" w:left="1800" w:header="851" w:footer="992" w:gutter="0"/>
          <w:lnNumType w:countBy="1" w:restart="continuous"/>
          <w:cols w:space="425"/>
          <w:docGrid w:type="lines" w:linePitch="312"/>
        </w:sectPr>
      </w:pPr>
    </w:p>
    <w:p w14:paraId="185AC55E" w14:textId="77777777" w:rsidR="00CC3835" w:rsidRDefault="00CC3835">
      <w:pPr>
        <w:rPr>
          <w:color w:val="000000" w:themeColor="text1"/>
        </w:rPr>
      </w:pPr>
    </w:p>
    <w:sectPr w:rsidR="00CC3835">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1D4C1" w14:textId="77777777" w:rsidR="00256BAA" w:rsidRDefault="00256BAA">
      <w:pPr>
        <w:spacing w:line="240" w:lineRule="auto"/>
      </w:pPr>
      <w:r>
        <w:separator/>
      </w:r>
    </w:p>
  </w:endnote>
  <w:endnote w:type="continuationSeparator" w:id="0">
    <w:p w14:paraId="725DC083" w14:textId="77777777" w:rsidR="00256BAA" w:rsidRDefault="00256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华文楷体">
    <w:altName w:val="STKaiti"/>
    <w:panose1 w:val="02010600040101010101"/>
    <w:charset w:val="86"/>
    <w:family w:val="auto"/>
    <w:pitch w:val="variable"/>
    <w:sig w:usb0="00000287" w:usb1="080F0000" w:usb2="00000010" w:usb3="00000000" w:csb0="0004009F" w:csb1="00000000"/>
  </w:font>
  <w:font w:name="Times New Roman Regular">
    <w:altName w:val="Times New Roman"/>
    <w:charset w:val="00"/>
    <w:family w:val="auto"/>
    <w:pitch w:val="default"/>
    <w:sig w:usb0="E0000AFF" w:usb1="00007843" w:usb2="00000001" w:usb3="00000000" w:csb0="400001BF" w:csb1="DFF70000"/>
  </w:font>
  <w:font w:name="Times New Roman Bold Italic">
    <w:altName w:val="Times New Roman"/>
    <w:panose1 w:val="02020703060505090304"/>
    <w:charset w:val="00"/>
    <w:family w:val="auto"/>
    <w:pitch w:val="default"/>
    <w:sig w:usb0="E0000AFF" w:usb1="00007843" w:usb2="00000001" w:usb3="00000000" w:csb0="400001BF" w:csb1="DFF70000"/>
  </w:font>
  <w:font w:name="T">
    <w:altName w:val="苹方-简"/>
    <w:charset w:val="00"/>
    <w:family w:val="auto"/>
    <w:pitch w:val="default"/>
  </w:font>
  <w:font w:name="Times New Roman Italic">
    <w:altName w:val="Times New Roman"/>
    <w:panose1 w:val="02020503050405090304"/>
    <w:charset w:val="00"/>
    <w:family w:val="auto"/>
    <w:pitch w:val="default"/>
    <w:sig w:usb0="E0000AFF" w:usb1="00007843" w:usb2="00000001" w:usb3="00000000" w:csb0="400001BF" w:csb1="DFF70000"/>
  </w:font>
  <w:font w:name="Google Sans Tex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60F4" w14:textId="77777777" w:rsidR="00CC3835" w:rsidRDefault="00256BAA">
    <w:pPr>
      <w:pStyle w:val="a9"/>
    </w:pPr>
    <w:r>
      <w:rPr>
        <w:noProof/>
      </w:rPr>
      <mc:AlternateContent>
        <mc:Choice Requires="wps">
          <w:drawing>
            <wp:anchor distT="0" distB="0" distL="114300" distR="114300" simplePos="0" relativeHeight="251659264" behindDoc="0" locked="0" layoutInCell="1" allowOverlap="1" wp14:anchorId="1AFEBBF0" wp14:editId="397CA02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B64D91" w14:textId="77777777" w:rsidR="00CC3835" w:rsidRDefault="00256BAA">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FEBBF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0BB64D91" w14:textId="77777777" w:rsidR="00CC3835" w:rsidRDefault="00256BAA">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30BB17" w14:textId="77777777" w:rsidR="00256BAA" w:rsidRDefault="00256BAA">
      <w:pPr>
        <w:spacing w:line="240" w:lineRule="auto"/>
      </w:pPr>
      <w:r>
        <w:separator/>
      </w:r>
    </w:p>
  </w:footnote>
  <w:footnote w:type="continuationSeparator" w:id="0">
    <w:p w14:paraId="0AE4D27F" w14:textId="77777777" w:rsidR="00256BAA" w:rsidRDefault="00256B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35827" w14:textId="77777777" w:rsidR="00CC3835" w:rsidRDefault="00256BAA">
    <w:pPr>
      <w:pStyle w:val="ab"/>
      <w:pBdr>
        <w:bottom w:val="none" w:sz="0" w:space="0" w:color="auto"/>
      </w:pBdr>
    </w:pPr>
    <w:r>
      <w:rPr>
        <w:noProof/>
      </w:rPr>
      <w:drawing>
        <wp:anchor distT="0" distB="0" distL="114300" distR="114300" simplePos="0" relativeHeight="251660288" behindDoc="0" locked="0" layoutInCell="1" allowOverlap="1" wp14:anchorId="7D19F52D" wp14:editId="67DFB1D6">
          <wp:simplePos x="0" y="0"/>
          <wp:positionH relativeFrom="margin">
            <wp:align>left</wp:align>
          </wp:positionH>
          <wp:positionV relativeFrom="paragraph">
            <wp:posOffset>114300</wp:posOffset>
          </wp:positionV>
          <wp:extent cx="2513965" cy="402590"/>
          <wp:effectExtent l="0" t="0" r="635" b="0"/>
          <wp:wrapNone/>
          <wp:docPr id="1551113158" name="图片 155111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13158" name="图片 155111315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13965" cy="4025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68F5"/>
    <w:multiLevelType w:val="multilevel"/>
    <w:tmpl w:val="18B468F5"/>
    <w:lvl w:ilvl="0">
      <w:start w:val="1"/>
      <w:numFmt w:val="bullet"/>
      <w:pStyle w:val="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3F7CC62F"/>
    <w:rsid w:val="91359341"/>
    <w:rsid w:val="972F9F26"/>
    <w:rsid w:val="997F44C0"/>
    <w:rsid w:val="9A7DF76B"/>
    <w:rsid w:val="9B787A8C"/>
    <w:rsid w:val="9EDF53D4"/>
    <w:rsid w:val="9F7F9E8E"/>
    <w:rsid w:val="9FBE0DA8"/>
    <w:rsid w:val="A51FBBD9"/>
    <w:rsid w:val="AF3F6F99"/>
    <w:rsid w:val="AF6FF690"/>
    <w:rsid w:val="AFBDE040"/>
    <w:rsid w:val="AFD5967C"/>
    <w:rsid w:val="AFFBE3A6"/>
    <w:rsid w:val="AFFFB114"/>
    <w:rsid w:val="B2E57C93"/>
    <w:rsid w:val="B65BFCBC"/>
    <w:rsid w:val="B66FB13B"/>
    <w:rsid w:val="B75DF10D"/>
    <w:rsid w:val="BB0F1A39"/>
    <w:rsid w:val="BB5E014A"/>
    <w:rsid w:val="BBA4BB1E"/>
    <w:rsid w:val="BD7348EC"/>
    <w:rsid w:val="BDF56C14"/>
    <w:rsid w:val="BE5E6A86"/>
    <w:rsid w:val="BEE54B2A"/>
    <w:rsid w:val="BEE65021"/>
    <w:rsid w:val="BEEE0D98"/>
    <w:rsid w:val="BFAFC42E"/>
    <w:rsid w:val="BFC888BB"/>
    <w:rsid w:val="BFD7861C"/>
    <w:rsid w:val="BFDFB2DC"/>
    <w:rsid w:val="BFFE34E5"/>
    <w:rsid w:val="C576637D"/>
    <w:rsid w:val="C5ED4539"/>
    <w:rsid w:val="CE67C71F"/>
    <w:rsid w:val="CFFC41D4"/>
    <w:rsid w:val="CFFE33D4"/>
    <w:rsid w:val="CFFFBDD4"/>
    <w:rsid w:val="D3BFA51F"/>
    <w:rsid w:val="D3DE0651"/>
    <w:rsid w:val="D765F584"/>
    <w:rsid w:val="D7F7E922"/>
    <w:rsid w:val="D8CF41FF"/>
    <w:rsid w:val="D9BFD877"/>
    <w:rsid w:val="DB2F6699"/>
    <w:rsid w:val="DB33E1DE"/>
    <w:rsid w:val="DBF121DA"/>
    <w:rsid w:val="DE1A86C4"/>
    <w:rsid w:val="DEFB87E1"/>
    <w:rsid w:val="DFFBBB86"/>
    <w:rsid w:val="DFFDCC4D"/>
    <w:rsid w:val="DFFF0994"/>
    <w:rsid w:val="E1BFCD59"/>
    <w:rsid w:val="E3EF2123"/>
    <w:rsid w:val="E73D1667"/>
    <w:rsid w:val="E7FDB3E5"/>
    <w:rsid w:val="ECEC3B4B"/>
    <w:rsid w:val="ECFD792A"/>
    <w:rsid w:val="EDFF4F05"/>
    <w:rsid w:val="EEFF088B"/>
    <w:rsid w:val="EF7F887C"/>
    <w:rsid w:val="EF91FB5D"/>
    <w:rsid w:val="EFBE0CFC"/>
    <w:rsid w:val="EFDFB430"/>
    <w:rsid w:val="EFFEEB3C"/>
    <w:rsid w:val="EFFFB2AE"/>
    <w:rsid w:val="F2BFD380"/>
    <w:rsid w:val="F3DCB5ED"/>
    <w:rsid w:val="F55AAEB9"/>
    <w:rsid w:val="F5F1A49B"/>
    <w:rsid w:val="F6CAF5A0"/>
    <w:rsid w:val="F6F93954"/>
    <w:rsid w:val="F6FF9A38"/>
    <w:rsid w:val="F7CBE733"/>
    <w:rsid w:val="F7FD9E19"/>
    <w:rsid w:val="F7FFEC0B"/>
    <w:rsid w:val="F7FFF32C"/>
    <w:rsid w:val="F93DB313"/>
    <w:rsid w:val="F97D33E3"/>
    <w:rsid w:val="F9BB4397"/>
    <w:rsid w:val="F9F55F2A"/>
    <w:rsid w:val="FA74EDDB"/>
    <w:rsid w:val="FBBF17D6"/>
    <w:rsid w:val="FBBFBCFC"/>
    <w:rsid w:val="FBEBC1EC"/>
    <w:rsid w:val="FBEE6390"/>
    <w:rsid w:val="FBFEED3F"/>
    <w:rsid w:val="FCD30ED5"/>
    <w:rsid w:val="FDD769F6"/>
    <w:rsid w:val="FDDF4892"/>
    <w:rsid w:val="FDFEB0BF"/>
    <w:rsid w:val="FDFED2CE"/>
    <w:rsid w:val="FEBDEA84"/>
    <w:rsid w:val="FEFEF242"/>
    <w:rsid w:val="FF3F14A3"/>
    <w:rsid w:val="FF3F546D"/>
    <w:rsid w:val="FF3FA703"/>
    <w:rsid w:val="FF67B506"/>
    <w:rsid w:val="FF6874AC"/>
    <w:rsid w:val="FF6D2B9E"/>
    <w:rsid w:val="FF777592"/>
    <w:rsid w:val="FF7B9822"/>
    <w:rsid w:val="FF933992"/>
    <w:rsid w:val="FFAD0FC2"/>
    <w:rsid w:val="FFAFE22C"/>
    <w:rsid w:val="FFAFE3C6"/>
    <w:rsid w:val="FFCE327A"/>
    <w:rsid w:val="FFD28E47"/>
    <w:rsid w:val="FFD3E0AE"/>
    <w:rsid w:val="FFE64069"/>
    <w:rsid w:val="FFEFE505"/>
    <w:rsid w:val="FFF3A98E"/>
    <w:rsid w:val="FFF4415E"/>
    <w:rsid w:val="FFF53EE6"/>
    <w:rsid w:val="FFF73B28"/>
    <w:rsid w:val="FFF78B42"/>
    <w:rsid w:val="FFFA2258"/>
    <w:rsid w:val="FFFB8C6B"/>
    <w:rsid w:val="FFFF22DD"/>
    <w:rsid w:val="00004C0B"/>
    <w:rsid w:val="00005A66"/>
    <w:rsid w:val="00006858"/>
    <w:rsid w:val="00010F39"/>
    <w:rsid w:val="00014448"/>
    <w:rsid w:val="00014BD0"/>
    <w:rsid w:val="00015294"/>
    <w:rsid w:val="00021844"/>
    <w:rsid w:val="000267FA"/>
    <w:rsid w:val="00027066"/>
    <w:rsid w:val="00044F31"/>
    <w:rsid w:val="00046BB7"/>
    <w:rsid w:val="00047AE9"/>
    <w:rsid w:val="0005266C"/>
    <w:rsid w:val="00054035"/>
    <w:rsid w:val="000564A8"/>
    <w:rsid w:val="00063628"/>
    <w:rsid w:val="00076A52"/>
    <w:rsid w:val="00077B81"/>
    <w:rsid w:val="00080B0B"/>
    <w:rsid w:val="00083397"/>
    <w:rsid w:val="00091D04"/>
    <w:rsid w:val="00094B2B"/>
    <w:rsid w:val="000A02A3"/>
    <w:rsid w:val="000A1B14"/>
    <w:rsid w:val="000A5B86"/>
    <w:rsid w:val="000B20D0"/>
    <w:rsid w:val="000B2BB5"/>
    <w:rsid w:val="000B4E2D"/>
    <w:rsid w:val="000B7527"/>
    <w:rsid w:val="000B7BA6"/>
    <w:rsid w:val="000C520B"/>
    <w:rsid w:val="000C5C22"/>
    <w:rsid w:val="000D29D8"/>
    <w:rsid w:val="000D3801"/>
    <w:rsid w:val="000D4654"/>
    <w:rsid w:val="000D7FDE"/>
    <w:rsid w:val="000F1C5C"/>
    <w:rsid w:val="000F53A1"/>
    <w:rsid w:val="00113B86"/>
    <w:rsid w:val="00114E8D"/>
    <w:rsid w:val="00115E4E"/>
    <w:rsid w:val="00116506"/>
    <w:rsid w:val="001219A0"/>
    <w:rsid w:val="00126EFA"/>
    <w:rsid w:val="001308C2"/>
    <w:rsid w:val="00133B05"/>
    <w:rsid w:val="00135D94"/>
    <w:rsid w:val="0013782B"/>
    <w:rsid w:val="00143574"/>
    <w:rsid w:val="00151B44"/>
    <w:rsid w:val="001536E1"/>
    <w:rsid w:val="001543B0"/>
    <w:rsid w:val="00154B6E"/>
    <w:rsid w:val="001660ED"/>
    <w:rsid w:val="00173820"/>
    <w:rsid w:val="00174C5D"/>
    <w:rsid w:val="00176BBC"/>
    <w:rsid w:val="001A4AB9"/>
    <w:rsid w:val="001A684D"/>
    <w:rsid w:val="001B24D8"/>
    <w:rsid w:val="001B49E1"/>
    <w:rsid w:val="001C1368"/>
    <w:rsid w:val="001C3F32"/>
    <w:rsid w:val="001D445D"/>
    <w:rsid w:val="001D7247"/>
    <w:rsid w:val="001D74D0"/>
    <w:rsid w:val="001D7D33"/>
    <w:rsid w:val="001E01FE"/>
    <w:rsid w:val="001E50E7"/>
    <w:rsid w:val="001E6B1E"/>
    <w:rsid w:val="001F6256"/>
    <w:rsid w:val="002017CF"/>
    <w:rsid w:val="00212207"/>
    <w:rsid w:val="0021533C"/>
    <w:rsid w:val="00216C49"/>
    <w:rsid w:val="002176C7"/>
    <w:rsid w:val="0022249E"/>
    <w:rsid w:val="00223C81"/>
    <w:rsid w:val="002254CF"/>
    <w:rsid w:val="00225E8A"/>
    <w:rsid w:val="00226D61"/>
    <w:rsid w:val="00231E3A"/>
    <w:rsid w:val="00235616"/>
    <w:rsid w:val="00241E43"/>
    <w:rsid w:val="002519EE"/>
    <w:rsid w:val="00253BE0"/>
    <w:rsid w:val="00256BAA"/>
    <w:rsid w:val="00260477"/>
    <w:rsid w:val="002612AC"/>
    <w:rsid w:val="00280F13"/>
    <w:rsid w:val="002812E6"/>
    <w:rsid w:val="002823DD"/>
    <w:rsid w:val="00285319"/>
    <w:rsid w:val="00292C62"/>
    <w:rsid w:val="00293192"/>
    <w:rsid w:val="00295111"/>
    <w:rsid w:val="00295D64"/>
    <w:rsid w:val="00297993"/>
    <w:rsid w:val="002A33AA"/>
    <w:rsid w:val="002A6FD4"/>
    <w:rsid w:val="002B02BC"/>
    <w:rsid w:val="002B4C1E"/>
    <w:rsid w:val="002B5FDB"/>
    <w:rsid w:val="002D027D"/>
    <w:rsid w:val="002E261E"/>
    <w:rsid w:val="002F70EC"/>
    <w:rsid w:val="00300BD0"/>
    <w:rsid w:val="00311D0B"/>
    <w:rsid w:val="00313887"/>
    <w:rsid w:val="00314FCF"/>
    <w:rsid w:val="00317B1F"/>
    <w:rsid w:val="003216FD"/>
    <w:rsid w:val="00325AD7"/>
    <w:rsid w:val="003332A0"/>
    <w:rsid w:val="0033376B"/>
    <w:rsid w:val="00333BE3"/>
    <w:rsid w:val="00350ADA"/>
    <w:rsid w:val="003529B5"/>
    <w:rsid w:val="003555AE"/>
    <w:rsid w:val="00357CA5"/>
    <w:rsid w:val="00357EA9"/>
    <w:rsid w:val="00360047"/>
    <w:rsid w:val="0036687B"/>
    <w:rsid w:val="00366BA1"/>
    <w:rsid w:val="00371B90"/>
    <w:rsid w:val="003730EE"/>
    <w:rsid w:val="003746F9"/>
    <w:rsid w:val="003760D1"/>
    <w:rsid w:val="0038530E"/>
    <w:rsid w:val="003938CC"/>
    <w:rsid w:val="0039489D"/>
    <w:rsid w:val="003A4C12"/>
    <w:rsid w:val="003A52F9"/>
    <w:rsid w:val="003A69C4"/>
    <w:rsid w:val="003A7A84"/>
    <w:rsid w:val="003B14CC"/>
    <w:rsid w:val="003B64CB"/>
    <w:rsid w:val="003B68FC"/>
    <w:rsid w:val="003B7513"/>
    <w:rsid w:val="003C27E4"/>
    <w:rsid w:val="003C4888"/>
    <w:rsid w:val="003D419F"/>
    <w:rsid w:val="003D4949"/>
    <w:rsid w:val="003E0609"/>
    <w:rsid w:val="003E0B57"/>
    <w:rsid w:val="003E1047"/>
    <w:rsid w:val="003E5958"/>
    <w:rsid w:val="003E7A7D"/>
    <w:rsid w:val="003E7A94"/>
    <w:rsid w:val="003F11EF"/>
    <w:rsid w:val="003F3826"/>
    <w:rsid w:val="003F750E"/>
    <w:rsid w:val="003F7BC3"/>
    <w:rsid w:val="004009C3"/>
    <w:rsid w:val="00404085"/>
    <w:rsid w:val="0040410F"/>
    <w:rsid w:val="00406A38"/>
    <w:rsid w:val="0041718F"/>
    <w:rsid w:val="00433B98"/>
    <w:rsid w:val="004414A4"/>
    <w:rsid w:val="004425D1"/>
    <w:rsid w:val="00443E81"/>
    <w:rsid w:val="0044425E"/>
    <w:rsid w:val="004452DE"/>
    <w:rsid w:val="004510EC"/>
    <w:rsid w:val="00451738"/>
    <w:rsid w:val="004518A7"/>
    <w:rsid w:val="0045625C"/>
    <w:rsid w:val="004674B9"/>
    <w:rsid w:val="00467561"/>
    <w:rsid w:val="004772ED"/>
    <w:rsid w:val="00486070"/>
    <w:rsid w:val="00486534"/>
    <w:rsid w:val="00493969"/>
    <w:rsid w:val="00493BEA"/>
    <w:rsid w:val="004A21B2"/>
    <w:rsid w:val="004A4497"/>
    <w:rsid w:val="004A5E9D"/>
    <w:rsid w:val="004A6146"/>
    <w:rsid w:val="004A71DC"/>
    <w:rsid w:val="004B2C25"/>
    <w:rsid w:val="004B3EDE"/>
    <w:rsid w:val="004C0B0F"/>
    <w:rsid w:val="004C4422"/>
    <w:rsid w:val="004C70D3"/>
    <w:rsid w:val="004C7330"/>
    <w:rsid w:val="004D19CB"/>
    <w:rsid w:val="004E312A"/>
    <w:rsid w:val="004F023D"/>
    <w:rsid w:val="004F1501"/>
    <w:rsid w:val="004F2232"/>
    <w:rsid w:val="004F4536"/>
    <w:rsid w:val="004F593E"/>
    <w:rsid w:val="004F64A3"/>
    <w:rsid w:val="004F7B77"/>
    <w:rsid w:val="00500147"/>
    <w:rsid w:val="0050066F"/>
    <w:rsid w:val="00501E8E"/>
    <w:rsid w:val="005108CF"/>
    <w:rsid w:val="00520A6A"/>
    <w:rsid w:val="0052777A"/>
    <w:rsid w:val="00537CC3"/>
    <w:rsid w:val="005427D1"/>
    <w:rsid w:val="005537A4"/>
    <w:rsid w:val="005568CC"/>
    <w:rsid w:val="00561536"/>
    <w:rsid w:val="00562682"/>
    <w:rsid w:val="0056284A"/>
    <w:rsid w:val="00570528"/>
    <w:rsid w:val="005712A2"/>
    <w:rsid w:val="00572E35"/>
    <w:rsid w:val="00576612"/>
    <w:rsid w:val="00580973"/>
    <w:rsid w:val="00581651"/>
    <w:rsid w:val="0058390F"/>
    <w:rsid w:val="0059239E"/>
    <w:rsid w:val="0059620A"/>
    <w:rsid w:val="005A1021"/>
    <w:rsid w:val="005A13C4"/>
    <w:rsid w:val="005A62C0"/>
    <w:rsid w:val="005A6D34"/>
    <w:rsid w:val="005A7C99"/>
    <w:rsid w:val="005B6518"/>
    <w:rsid w:val="005B74E9"/>
    <w:rsid w:val="005C3F47"/>
    <w:rsid w:val="005C4B77"/>
    <w:rsid w:val="005C593E"/>
    <w:rsid w:val="005C660B"/>
    <w:rsid w:val="005D04FA"/>
    <w:rsid w:val="005D6364"/>
    <w:rsid w:val="005E0E5B"/>
    <w:rsid w:val="005E335F"/>
    <w:rsid w:val="005F15F0"/>
    <w:rsid w:val="005F32AB"/>
    <w:rsid w:val="005F355A"/>
    <w:rsid w:val="00602FA2"/>
    <w:rsid w:val="00604891"/>
    <w:rsid w:val="00617356"/>
    <w:rsid w:val="00621261"/>
    <w:rsid w:val="00623CE0"/>
    <w:rsid w:val="00627379"/>
    <w:rsid w:val="00627F25"/>
    <w:rsid w:val="00633936"/>
    <w:rsid w:val="006352F2"/>
    <w:rsid w:val="0063753B"/>
    <w:rsid w:val="00637E5B"/>
    <w:rsid w:val="006401F7"/>
    <w:rsid w:val="0065213F"/>
    <w:rsid w:val="0065245E"/>
    <w:rsid w:val="00653BD3"/>
    <w:rsid w:val="006640A5"/>
    <w:rsid w:val="00667FEA"/>
    <w:rsid w:val="00677B9D"/>
    <w:rsid w:val="00685DA8"/>
    <w:rsid w:val="006A0608"/>
    <w:rsid w:val="006A306D"/>
    <w:rsid w:val="006B68B4"/>
    <w:rsid w:val="006B6B46"/>
    <w:rsid w:val="006B6ED0"/>
    <w:rsid w:val="006B6F28"/>
    <w:rsid w:val="006C0E76"/>
    <w:rsid w:val="006D0C3E"/>
    <w:rsid w:val="006D1053"/>
    <w:rsid w:val="006D2166"/>
    <w:rsid w:val="006D5330"/>
    <w:rsid w:val="006E15D9"/>
    <w:rsid w:val="00700AF3"/>
    <w:rsid w:val="00700DFD"/>
    <w:rsid w:val="00701B16"/>
    <w:rsid w:val="00735E41"/>
    <w:rsid w:val="00737F6B"/>
    <w:rsid w:val="00746D52"/>
    <w:rsid w:val="00750EF3"/>
    <w:rsid w:val="00753958"/>
    <w:rsid w:val="0076475C"/>
    <w:rsid w:val="0078224F"/>
    <w:rsid w:val="00787845"/>
    <w:rsid w:val="007970A2"/>
    <w:rsid w:val="007A1125"/>
    <w:rsid w:val="007A3E05"/>
    <w:rsid w:val="007B20F5"/>
    <w:rsid w:val="007B2DFD"/>
    <w:rsid w:val="007B401A"/>
    <w:rsid w:val="007C28FF"/>
    <w:rsid w:val="007C33C6"/>
    <w:rsid w:val="007C483E"/>
    <w:rsid w:val="007C5254"/>
    <w:rsid w:val="007C570B"/>
    <w:rsid w:val="007C5CFD"/>
    <w:rsid w:val="007D287D"/>
    <w:rsid w:val="007D7827"/>
    <w:rsid w:val="007E08B9"/>
    <w:rsid w:val="007E2553"/>
    <w:rsid w:val="007E29F1"/>
    <w:rsid w:val="007E33D6"/>
    <w:rsid w:val="007E33DC"/>
    <w:rsid w:val="007E45B1"/>
    <w:rsid w:val="007E4EF6"/>
    <w:rsid w:val="007E7259"/>
    <w:rsid w:val="007F1FD5"/>
    <w:rsid w:val="00801B55"/>
    <w:rsid w:val="008023D0"/>
    <w:rsid w:val="00804916"/>
    <w:rsid w:val="00816D68"/>
    <w:rsid w:val="00823C66"/>
    <w:rsid w:val="008247D3"/>
    <w:rsid w:val="00843B68"/>
    <w:rsid w:val="00844777"/>
    <w:rsid w:val="00844901"/>
    <w:rsid w:val="008464CA"/>
    <w:rsid w:val="0085172E"/>
    <w:rsid w:val="00860A29"/>
    <w:rsid w:val="00865332"/>
    <w:rsid w:val="008826DE"/>
    <w:rsid w:val="00885978"/>
    <w:rsid w:val="00886632"/>
    <w:rsid w:val="00891FE2"/>
    <w:rsid w:val="00896642"/>
    <w:rsid w:val="00897C34"/>
    <w:rsid w:val="008A6416"/>
    <w:rsid w:val="008B049E"/>
    <w:rsid w:val="008B0B91"/>
    <w:rsid w:val="008B0C26"/>
    <w:rsid w:val="008B1196"/>
    <w:rsid w:val="008B11A5"/>
    <w:rsid w:val="008B3C1C"/>
    <w:rsid w:val="008B7309"/>
    <w:rsid w:val="008C1F81"/>
    <w:rsid w:val="008E164F"/>
    <w:rsid w:val="008F0F60"/>
    <w:rsid w:val="008F684A"/>
    <w:rsid w:val="009035DE"/>
    <w:rsid w:val="009149FA"/>
    <w:rsid w:val="0092546C"/>
    <w:rsid w:val="009300A1"/>
    <w:rsid w:val="0093202F"/>
    <w:rsid w:val="009374C7"/>
    <w:rsid w:val="009441BA"/>
    <w:rsid w:val="00962725"/>
    <w:rsid w:val="00970A25"/>
    <w:rsid w:val="00973F21"/>
    <w:rsid w:val="00974576"/>
    <w:rsid w:val="00982871"/>
    <w:rsid w:val="00983EC6"/>
    <w:rsid w:val="009909EC"/>
    <w:rsid w:val="00992A92"/>
    <w:rsid w:val="009A29DE"/>
    <w:rsid w:val="009A35EA"/>
    <w:rsid w:val="009A3BB9"/>
    <w:rsid w:val="009A58A7"/>
    <w:rsid w:val="009B0D75"/>
    <w:rsid w:val="009C157E"/>
    <w:rsid w:val="009D122A"/>
    <w:rsid w:val="009D18C2"/>
    <w:rsid w:val="009E74AE"/>
    <w:rsid w:val="00A04CA9"/>
    <w:rsid w:val="00A05B6A"/>
    <w:rsid w:val="00A078A8"/>
    <w:rsid w:val="00A12926"/>
    <w:rsid w:val="00A13DAB"/>
    <w:rsid w:val="00A16E14"/>
    <w:rsid w:val="00A17DE1"/>
    <w:rsid w:val="00A2126C"/>
    <w:rsid w:val="00A223E5"/>
    <w:rsid w:val="00A2575F"/>
    <w:rsid w:val="00A26E73"/>
    <w:rsid w:val="00A2758C"/>
    <w:rsid w:val="00A30C5C"/>
    <w:rsid w:val="00A3123F"/>
    <w:rsid w:val="00A33EF4"/>
    <w:rsid w:val="00A355D5"/>
    <w:rsid w:val="00A36940"/>
    <w:rsid w:val="00A44707"/>
    <w:rsid w:val="00A47E9A"/>
    <w:rsid w:val="00A51A6D"/>
    <w:rsid w:val="00A53256"/>
    <w:rsid w:val="00A64A0A"/>
    <w:rsid w:val="00A66B1F"/>
    <w:rsid w:val="00A7601E"/>
    <w:rsid w:val="00A8136E"/>
    <w:rsid w:val="00A830FD"/>
    <w:rsid w:val="00A91E00"/>
    <w:rsid w:val="00A95F22"/>
    <w:rsid w:val="00AA0A49"/>
    <w:rsid w:val="00AA0AF6"/>
    <w:rsid w:val="00AB2F6A"/>
    <w:rsid w:val="00AB42E4"/>
    <w:rsid w:val="00AC3E0F"/>
    <w:rsid w:val="00AC3FB7"/>
    <w:rsid w:val="00AC7C71"/>
    <w:rsid w:val="00AD28C6"/>
    <w:rsid w:val="00AD446E"/>
    <w:rsid w:val="00AD72E5"/>
    <w:rsid w:val="00AF2E5E"/>
    <w:rsid w:val="00AF441D"/>
    <w:rsid w:val="00B03300"/>
    <w:rsid w:val="00B034D3"/>
    <w:rsid w:val="00B05ECF"/>
    <w:rsid w:val="00B23451"/>
    <w:rsid w:val="00B23E5D"/>
    <w:rsid w:val="00B311A8"/>
    <w:rsid w:val="00B3492A"/>
    <w:rsid w:val="00B41E9C"/>
    <w:rsid w:val="00B47AD0"/>
    <w:rsid w:val="00B57711"/>
    <w:rsid w:val="00B63160"/>
    <w:rsid w:val="00B648B7"/>
    <w:rsid w:val="00B66DA2"/>
    <w:rsid w:val="00B75B87"/>
    <w:rsid w:val="00B77571"/>
    <w:rsid w:val="00B80898"/>
    <w:rsid w:val="00B812F9"/>
    <w:rsid w:val="00B87DE4"/>
    <w:rsid w:val="00B90C67"/>
    <w:rsid w:val="00B93783"/>
    <w:rsid w:val="00B951B7"/>
    <w:rsid w:val="00BA2AF1"/>
    <w:rsid w:val="00BB2028"/>
    <w:rsid w:val="00BC021F"/>
    <w:rsid w:val="00BC0262"/>
    <w:rsid w:val="00BD1334"/>
    <w:rsid w:val="00BD7229"/>
    <w:rsid w:val="00BD7329"/>
    <w:rsid w:val="00BD7BDF"/>
    <w:rsid w:val="00BE72F6"/>
    <w:rsid w:val="00BE7E81"/>
    <w:rsid w:val="00BF1540"/>
    <w:rsid w:val="00BF5725"/>
    <w:rsid w:val="00C04E69"/>
    <w:rsid w:val="00C06511"/>
    <w:rsid w:val="00C07965"/>
    <w:rsid w:val="00C11D0A"/>
    <w:rsid w:val="00C128F3"/>
    <w:rsid w:val="00C17B8F"/>
    <w:rsid w:val="00C26F11"/>
    <w:rsid w:val="00C4085F"/>
    <w:rsid w:val="00C44A97"/>
    <w:rsid w:val="00C44D11"/>
    <w:rsid w:val="00C472DC"/>
    <w:rsid w:val="00C5113A"/>
    <w:rsid w:val="00C5142A"/>
    <w:rsid w:val="00C51D0F"/>
    <w:rsid w:val="00C53DE9"/>
    <w:rsid w:val="00C57F14"/>
    <w:rsid w:val="00C65506"/>
    <w:rsid w:val="00C76A7C"/>
    <w:rsid w:val="00C8565F"/>
    <w:rsid w:val="00C8676F"/>
    <w:rsid w:val="00C92C5E"/>
    <w:rsid w:val="00C96AF7"/>
    <w:rsid w:val="00C9734E"/>
    <w:rsid w:val="00CA7B4A"/>
    <w:rsid w:val="00CA7E74"/>
    <w:rsid w:val="00CB48B6"/>
    <w:rsid w:val="00CB5F9D"/>
    <w:rsid w:val="00CB686C"/>
    <w:rsid w:val="00CC0CF1"/>
    <w:rsid w:val="00CC3835"/>
    <w:rsid w:val="00CC6621"/>
    <w:rsid w:val="00CC6993"/>
    <w:rsid w:val="00CD2826"/>
    <w:rsid w:val="00CD316C"/>
    <w:rsid w:val="00CD4985"/>
    <w:rsid w:val="00CE1675"/>
    <w:rsid w:val="00CF50CE"/>
    <w:rsid w:val="00CF623C"/>
    <w:rsid w:val="00D0203C"/>
    <w:rsid w:val="00D0298A"/>
    <w:rsid w:val="00D14126"/>
    <w:rsid w:val="00D16868"/>
    <w:rsid w:val="00D20F12"/>
    <w:rsid w:val="00D215A4"/>
    <w:rsid w:val="00D223FF"/>
    <w:rsid w:val="00D23BFF"/>
    <w:rsid w:val="00D24CAB"/>
    <w:rsid w:val="00D261BE"/>
    <w:rsid w:val="00D40251"/>
    <w:rsid w:val="00D47D00"/>
    <w:rsid w:val="00D53386"/>
    <w:rsid w:val="00D66EA1"/>
    <w:rsid w:val="00D72410"/>
    <w:rsid w:val="00D754C1"/>
    <w:rsid w:val="00D7703F"/>
    <w:rsid w:val="00D7742C"/>
    <w:rsid w:val="00D82F58"/>
    <w:rsid w:val="00D83811"/>
    <w:rsid w:val="00D8426E"/>
    <w:rsid w:val="00D86DEB"/>
    <w:rsid w:val="00D92435"/>
    <w:rsid w:val="00D92D5D"/>
    <w:rsid w:val="00DA2FD7"/>
    <w:rsid w:val="00DB7192"/>
    <w:rsid w:val="00DC413F"/>
    <w:rsid w:val="00DC7745"/>
    <w:rsid w:val="00DC7EE3"/>
    <w:rsid w:val="00DD0338"/>
    <w:rsid w:val="00DD129D"/>
    <w:rsid w:val="00DD401A"/>
    <w:rsid w:val="00DD482E"/>
    <w:rsid w:val="00DD56D5"/>
    <w:rsid w:val="00DD7DED"/>
    <w:rsid w:val="00DE0001"/>
    <w:rsid w:val="00DF037D"/>
    <w:rsid w:val="00DF0E64"/>
    <w:rsid w:val="00DF3EF8"/>
    <w:rsid w:val="00DF42DB"/>
    <w:rsid w:val="00DF4CDF"/>
    <w:rsid w:val="00E2065C"/>
    <w:rsid w:val="00E23379"/>
    <w:rsid w:val="00E33883"/>
    <w:rsid w:val="00E41E17"/>
    <w:rsid w:val="00E43CB3"/>
    <w:rsid w:val="00E451C4"/>
    <w:rsid w:val="00E5083B"/>
    <w:rsid w:val="00E515CF"/>
    <w:rsid w:val="00E52EF9"/>
    <w:rsid w:val="00E5359D"/>
    <w:rsid w:val="00E63E4B"/>
    <w:rsid w:val="00E70543"/>
    <w:rsid w:val="00E71698"/>
    <w:rsid w:val="00E7343E"/>
    <w:rsid w:val="00E77D81"/>
    <w:rsid w:val="00E843A8"/>
    <w:rsid w:val="00E85E41"/>
    <w:rsid w:val="00E87733"/>
    <w:rsid w:val="00E97AE8"/>
    <w:rsid w:val="00E97E11"/>
    <w:rsid w:val="00EA374E"/>
    <w:rsid w:val="00EB5C7B"/>
    <w:rsid w:val="00EC4EDF"/>
    <w:rsid w:val="00ED0882"/>
    <w:rsid w:val="00ED7DD8"/>
    <w:rsid w:val="00EE31D4"/>
    <w:rsid w:val="00EE4323"/>
    <w:rsid w:val="00EF4795"/>
    <w:rsid w:val="00EF71E9"/>
    <w:rsid w:val="00F01923"/>
    <w:rsid w:val="00F04F0E"/>
    <w:rsid w:val="00F05CF8"/>
    <w:rsid w:val="00F1019E"/>
    <w:rsid w:val="00F122B7"/>
    <w:rsid w:val="00F12AB0"/>
    <w:rsid w:val="00F16E97"/>
    <w:rsid w:val="00F2316F"/>
    <w:rsid w:val="00F23982"/>
    <w:rsid w:val="00F23EC1"/>
    <w:rsid w:val="00F30C5E"/>
    <w:rsid w:val="00F40A17"/>
    <w:rsid w:val="00F40BE5"/>
    <w:rsid w:val="00F43D05"/>
    <w:rsid w:val="00F44667"/>
    <w:rsid w:val="00F44A3D"/>
    <w:rsid w:val="00F60775"/>
    <w:rsid w:val="00F61990"/>
    <w:rsid w:val="00F63E2C"/>
    <w:rsid w:val="00F65195"/>
    <w:rsid w:val="00F72A3C"/>
    <w:rsid w:val="00F7409C"/>
    <w:rsid w:val="00F81680"/>
    <w:rsid w:val="00F83D10"/>
    <w:rsid w:val="00F85D8B"/>
    <w:rsid w:val="00F87F60"/>
    <w:rsid w:val="00F94FB1"/>
    <w:rsid w:val="00FA04BA"/>
    <w:rsid w:val="00FA0DDB"/>
    <w:rsid w:val="00FA663D"/>
    <w:rsid w:val="00FA6642"/>
    <w:rsid w:val="00FA7A8C"/>
    <w:rsid w:val="00FA7F91"/>
    <w:rsid w:val="00FB3121"/>
    <w:rsid w:val="00FC0504"/>
    <w:rsid w:val="00FC7274"/>
    <w:rsid w:val="00FF65F7"/>
    <w:rsid w:val="00FF74C2"/>
    <w:rsid w:val="0F9F1BB5"/>
    <w:rsid w:val="10FB0C99"/>
    <w:rsid w:val="137D9559"/>
    <w:rsid w:val="1AEF5D3C"/>
    <w:rsid w:val="1BF68D71"/>
    <w:rsid w:val="1BF998B7"/>
    <w:rsid w:val="1C9FE6DA"/>
    <w:rsid w:val="1D4F0138"/>
    <w:rsid w:val="1FB7DDDE"/>
    <w:rsid w:val="1FEF606B"/>
    <w:rsid w:val="25BF8A08"/>
    <w:rsid w:val="2BE93E1E"/>
    <w:rsid w:val="2F739657"/>
    <w:rsid w:val="2F9C2EF2"/>
    <w:rsid w:val="33EFF2F3"/>
    <w:rsid w:val="34C7BF7B"/>
    <w:rsid w:val="35FFB523"/>
    <w:rsid w:val="36FFD602"/>
    <w:rsid w:val="374B3BE9"/>
    <w:rsid w:val="377F7D16"/>
    <w:rsid w:val="37AF7F18"/>
    <w:rsid w:val="37DDAE7B"/>
    <w:rsid w:val="37EE1C93"/>
    <w:rsid w:val="37F61BD1"/>
    <w:rsid w:val="382F36D6"/>
    <w:rsid w:val="3BCF284A"/>
    <w:rsid w:val="3BDF35DC"/>
    <w:rsid w:val="3CA7DB8D"/>
    <w:rsid w:val="3DABC90B"/>
    <w:rsid w:val="3EF36BC4"/>
    <w:rsid w:val="3EFF93AC"/>
    <w:rsid w:val="3F7AE317"/>
    <w:rsid w:val="3F7CC62F"/>
    <w:rsid w:val="3FA56599"/>
    <w:rsid w:val="3FE8E249"/>
    <w:rsid w:val="3FEDD6A2"/>
    <w:rsid w:val="3FF1CE26"/>
    <w:rsid w:val="3FF74B6A"/>
    <w:rsid w:val="3FFFE119"/>
    <w:rsid w:val="4AF72E61"/>
    <w:rsid w:val="4BEB098A"/>
    <w:rsid w:val="4BFF5BB7"/>
    <w:rsid w:val="4F770A9B"/>
    <w:rsid w:val="4F9E344A"/>
    <w:rsid w:val="51A7B223"/>
    <w:rsid w:val="57BDB363"/>
    <w:rsid w:val="59DDBC96"/>
    <w:rsid w:val="5BDBEE58"/>
    <w:rsid w:val="5CF63D0C"/>
    <w:rsid w:val="5D5DB77B"/>
    <w:rsid w:val="5DDF4281"/>
    <w:rsid w:val="5DE91390"/>
    <w:rsid w:val="5DFFB9D9"/>
    <w:rsid w:val="5EE569FC"/>
    <w:rsid w:val="5F3F42D6"/>
    <w:rsid w:val="5F77687A"/>
    <w:rsid w:val="5F7FCEE2"/>
    <w:rsid w:val="5FA74073"/>
    <w:rsid w:val="5FD75877"/>
    <w:rsid w:val="5FDE9376"/>
    <w:rsid w:val="5FEE8155"/>
    <w:rsid w:val="5FFABA87"/>
    <w:rsid w:val="5FFB3A01"/>
    <w:rsid w:val="5FFB7425"/>
    <w:rsid w:val="61DFA86F"/>
    <w:rsid w:val="67D50741"/>
    <w:rsid w:val="67FF2170"/>
    <w:rsid w:val="6BB957DC"/>
    <w:rsid w:val="6BBB6BD4"/>
    <w:rsid w:val="6BF8747B"/>
    <w:rsid w:val="6D82520F"/>
    <w:rsid w:val="6DA99851"/>
    <w:rsid w:val="6DB6B5B4"/>
    <w:rsid w:val="6DFB456A"/>
    <w:rsid w:val="6DFB8C16"/>
    <w:rsid w:val="6EDE9E52"/>
    <w:rsid w:val="6EFB7FEA"/>
    <w:rsid w:val="6FDD29C8"/>
    <w:rsid w:val="6FDFB847"/>
    <w:rsid w:val="70FF7C63"/>
    <w:rsid w:val="715F1FB2"/>
    <w:rsid w:val="7376CF2F"/>
    <w:rsid w:val="739F3F52"/>
    <w:rsid w:val="77377249"/>
    <w:rsid w:val="773E0E24"/>
    <w:rsid w:val="77771860"/>
    <w:rsid w:val="77BD4C6F"/>
    <w:rsid w:val="77BF5384"/>
    <w:rsid w:val="77EDE5AE"/>
    <w:rsid w:val="77FB487E"/>
    <w:rsid w:val="77FBE2FC"/>
    <w:rsid w:val="79BF8FCD"/>
    <w:rsid w:val="7AFBF17C"/>
    <w:rsid w:val="7AFFA4F3"/>
    <w:rsid w:val="7B7FFA8C"/>
    <w:rsid w:val="7BB34756"/>
    <w:rsid w:val="7BF71256"/>
    <w:rsid w:val="7BFD0A49"/>
    <w:rsid w:val="7CF722C6"/>
    <w:rsid w:val="7D2C4DBB"/>
    <w:rsid w:val="7D71B60D"/>
    <w:rsid w:val="7DAB3B30"/>
    <w:rsid w:val="7DBD7FFF"/>
    <w:rsid w:val="7DC9A61F"/>
    <w:rsid w:val="7DF7453E"/>
    <w:rsid w:val="7DFFBE21"/>
    <w:rsid w:val="7EAD35CA"/>
    <w:rsid w:val="7EB2A64A"/>
    <w:rsid w:val="7EB60025"/>
    <w:rsid w:val="7EBFD842"/>
    <w:rsid w:val="7EF37AD1"/>
    <w:rsid w:val="7F3F61BF"/>
    <w:rsid w:val="7F6F2AB2"/>
    <w:rsid w:val="7F7FC3D5"/>
    <w:rsid w:val="7F7FD732"/>
    <w:rsid w:val="7F9F18F0"/>
    <w:rsid w:val="7FBB043D"/>
    <w:rsid w:val="7FBE58CD"/>
    <w:rsid w:val="7FE69DD2"/>
    <w:rsid w:val="7FEDA00A"/>
    <w:rsid w:val="7FEEE5EE"/>
    <w:rsid w:val="7FF2ADFF"/>
    <w:rsid w:val="7FF7CE61"/>
    <w:rsid w:val="7FFA8F79"/>
    <w:rsid w:val="7FFAB814"/>
    <w:rsid w:val="7FFC1B07"/>
    <w:rsid w:val="7FFDE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AE289"/>
  <w15:docId w15:val="{81782AA7-10DD-F541-88E1-38A02412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qFormat="1"/>
    <w:lsdException w:name="header" w:semiHidden="1" w:uiPriority="99"/>
    <w:lsdException w:name="footer" w:semiHidden="1" w:uiPriority="99"/>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uiPriority="99" w:unhideWhenUsed="1"/>
    <w:lsdException w:name="page number" w:semiHidden="1"/>
    <w:lsdException w:name="endnote reference" w:semiHidden="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qFormat="1"/>
    <w:lsdException w:name="FollowedHyperlink" w:semiHidden="1" w:qFormat="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pPr>
      <w:spacing w:line="260" w:lineRule="atLeast"/>
      <w:jc w:val="both"/>
    </w:pPr>
    <w:rPr>
      <w:rFonts w:ascii="Palatino Linotype" w:hAnsi="Palatino Linotype"/>
      <w:color w:val="000000"/>
    </w:rPr>
  </w:style>
  <w:style w:type="paragraph" w:styleId="1">
    <w:name w:val="heading 1"/>
    <w:basedOn w:val="a"/>
    <w:next w:val="a"/>
    <w:link w:val="10"/>
    <w:uiPriority w:val="9"/>
    <w:qFormat/>
    <w:pPr>
      <w:keepNext/>
      <w:keepLines/>
      <w:adjustRightInd w:val="0"/>
      <w:snapToGrid w:val="0"/>
      <w:spacing w:before="360" w:after="360" w:line="240" w:lineRule="auto"/>
      <w:outlineLvl w:val="0"/>
    </w:pPr>
    <w:rPr>
      <w:rFonts w:ascii="Times New Roman" w:eastAsia="Times New Roman" w:hAnsi="Times New Roman"/>
      <w:b/>
      <w:bCs/>
      <w:kern w:val="44"/>
      <w:sz w:val="24"/>
      <w:szCs w:val="24"/>
    </w:rPr>
  </w:style>
  <w:style w:type="paragraph" w:styleId="2">
    <w:name w:val="heading 2"/>
    <w:basedOn w:val="a"/>
    <w:next w:val="a"/>
    <w:link w:val="20"/>
    <w:uiPriority w:val="9"/>
    <w:qFormat/>
    <w:pPr>
      <w:keepNext/>
      <w:keepLines/>
      <w:adjustRightInd w:val="0"/>
      <w:snapToGrid w:val="0"/>
      <w:spacing w:before="240" w:after="240" w:line="240" w:lineRule="auto"/>
      <w:outlineLvl w:val="1"/>
    </w:pPr>
    <w:rPr>
      <w:rFonts w:ascii="Times New Roman" w:eastAsia="Times New Roman" w:hAnsi="Times New Roman"/>
      <w:b/>
      <w:bCs/>
      <w:i/>
      <w:sz w:val="21"/>
      <w:szCs w:val="21"/>
    </w:rPr>
  </w:style>
  <w:style w:type="paragraph" w:styleId="3">
    <w:name w:val="heading 3"/>
    <w:basedOn w:val="a"/>
    <w:next w:val="a"/>
    <w:link w:val="30"/>
    <w:uiPriority w:val="9"/>
    <w:qFormat/>
    <w:pPr>
      <w:keepNext/>
      <w:keepLines/>
      <w:adjustRightInd w:val="0"/>
      <w:snapToGrid w:val="0"/>
      <w:spacing w:before="160" w:after="160" w:line="240" w:lineRule="auto"/>
      <w:outlineLvl w:val="2"/>
    </w:pPr>
    <w:rPr>
      <w:rFonts w:ascii="Times New Roman" w:eastAsia="Times New Roman" w:hAnsi="Times New Roman"/>
      <w:bCs/>
      <w: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endnote text"/>
    <w:basedOn w:val="a"/>
    <w:link w:val="a6"/>
    <w:semiHidden/>
    <w:unhideWhenUsed/>
    <w:pPr>
      <w:spacing w:line="240" w:lineRule="auto"/>
    </w:pPr>
  </w:style>
  <w:style w:type="paragraph" w:styleId="a7">
    <w:name w:val="Balloon Text"/>
    <w:basedOn w:val="a"/>
    <w:link w:val="a8"/>
    <w:uiPriority w:val="99"/>
    <w:semiHidden/>
    <w:rPr>
      <w:rFonts w:cs="Tahoma"/>
      <w:szCs w:val="18"/>
    </w:rPr>
  </w:style>
  <w:style w:type="paragraph" w:styleId="a9">
    <w:name w:val="footer"/>
    <w:basedOn w:val="a"/>
    <w:link w:val="aa"/>
    <w:uiPriority w:val="99"/>
    <w:semiHidden/>
    <w:pPr>
      <w:tabs>
        <w:tab w:val="center" w:pos="4153"/>
        <w:tab w:val="right" w:pos="8306"/>
      </w:tabs>
      <w:snapToGrid w:val="0"/>
      <w:spacing w:line="240" w:lineRule="atLeast"/>
    </w:pPr>
    <w:rPr>
      <w:szCs w:val="18"/>
    </w:rPr>
  </w:style>
  <w:style w:type="paragraph" w:styleId="ab">
    <w:name w:val="header"/>
    <w:basedOn w:val="a"/>
    <w:link w:val="ac"/>
    <w:uiPriority w:val="99"/>
    <w:semiHidden/>
    <w:pPr>
      <w:pBdr>
        <w:bottom w:val="single" w:sz="6" w:space="1" w:color="auto"/>
      </w:pBdr>
      <w:tabs>
        <w:tab w:val="center" w:pos="4153"/>
        <w:tab w:val="right" w:pos="8306"/>
      </w:tabs>
      <w:snapToGrid w:val="0"/>
      <w:spacing w:line="240" w:lineRule="atLeast"/>
      <w:jc w:val="center"/>
    </w:pPr>
    <w:rPr>
      <w:szCs w:val="18"/>
    </w:rPr>
  </w:style>
  <w:style w:type="paragraph" w:styleId="ad">
    <w:name w:val="Normal (Web)"/>
    <w:basedOn w:val="a"/>
    <w:uiPriority w:val="99"/>
    <w:semiHidden/>
    <w:rPr>
      <w:szCs w:val="24"/>
    </w:rPr>
  </w:style>
  <w:style w:type="paragraph" w:styleId="ae">
    <w:name w:val="annotation subject"/>
    <w:basedOn w:val="a3"/>
    <w:next w:val="a3"/>
    <w:link w:val="af"/>
    <w:semiHidden/>
    <w:pPr>
      <w:jc w:val="both"/>
    </w:pPr>
    <w:rPr>
      <w:b/>
      <w:bCs/>
    </w:rPr>
  </w:style>
  <w:style w:type="table" w:styleId="af0">
    <w:name w:val="Table Grid"/>
    <w:basedOn w:val="a1"/>
    <w:uiPriority w:val="5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semiHidden/>
    <w:qFormat/>
    <w:rPr>
      <w:color w:val="7E1FAD" w:themeColor="followedHyperlink"/>
      <w:u w:val="single"/>
    </w:rPr>
  </w:style>
  <w:style w:type="character" w:styleId="af2">
    <w:name w:val="line number"/>
    <w:basedOn w:val="a0"/>
    <w:uiPriority w:val="99"/>
    <w:semiHidden/>
    <w:unhideWhenUsed/>
  </w:style>
  <w:style w:type="character" w:styleId="af3">
    <w:name w:val="Hyperlink"/>
    <w:basedOn w:val="a0"/>
    <w:uiPriority w:val="99"/>
    <w:semiHidden/>
    <w:qFormat/>
    <w:rPr>
      <w:color w:val="0000FF"/>
      <w:u w:val="single"/>
    </w:rPr>
  </w:style>
  <w:style w:type="character" w:styleId="af4">
    <w:name w:val="annotation reference"/>
    <w:basedOn w:val="a0"/>
    <w:semiHidden/>
    <w:qFormat/>
    <w:rPr>
      <w:sz w:val="21"/>
      <w:szCs w:val="21"/>
    </w:rPr>
  </w:style>
  <w:style w:type="paragraph" w:customStyle="1" w:styleId="Normal1">
    <w:name w:val="Normal1"/>
    <w:semiHidden/>
    <w:qFormat/>
    <w:pPr>
      <w:jc w:val="both"/>
    </w:pPr>
    <w:rPr>
      <w:kern w:val="2"/>
      <w:sz w:val="21"/>
      <w:szCs w:val="21"/>
    </w:rPr>
  </w:style>
  <w:style w:type="paragraph" w:styleId="af5">
    <w:name w:val="List Paragraph"/>
    <w:basedOn w:val="a"/>
    <w:uiPriority w:val="99"/>
    <w:semiHidden/>
    <w:qFormat/>
    <w:pPr>
      <w:ind w:firstLineChars="200" w:firstLine="420"/>
    </w:pPr>
  </w:style>
  <w:style w:type="character" w:customStyle="1" w:styleId="selected">
    <w:name w:val="selected"/>
    <w:basedOn w:val="a0"/>
    <w:semiHidden/>
    <w:qFormat/>
  </w:style>
  <w:style w:type="paragraph" w:customStyle="1" w:styleId="11">
    <w:name w:val="正文1"/>
    <w:semiHidden/>
    <w:pPr>
      <w:widowControl w:val="0"/>
    </w:pPr>
    <w:rPr>
      <w:rFonts w:ascii="Arial" w:eastAsia="Times New Roman" w:hAnsi="Arial" w:cs="Arial"/>
      <w:sz w:val="22"/>
      <w:szCs w:val="22"/>
      <w:lang w:val="zh-CN"/>
    </w:rPr>
  </w:style>
  <w:style w:type="table" w:customStyle="1" w:styleId="TableNormal1">
    <w:name w:val="Table Normal1"/>
    <w:basedOn w:val="a1"/>
    <w:semiHidden/>
    <w:tblPr/>
  </w:style>
  <w:style w:type="paragraph" w:customStyle="1" w:styleId="Bibliography1">
    <w:name w:val="Bibliography1"/>
    <w:basedOn w:val="a"/>
    <w:next w:val="a"/>
    <w:uiPriority w:val="37"/>
    <w:semiHidden/>
    <w:pPr>
      <w:tabs>
        <w:tab w:val="left" w:pos="500"/>
      </w:tabs>
      <w:spacing w:after="240"/>
      <w:ind w:left="504" w:hanging="504"/>
    </w:pPr>
  </w:style>
  <w:style w:type="paragraph" w:customStyle="1" w:styleId="21">
    <w:name w:val="正文2"/>
    <w:pPr>
      <w:widowControl w:val="0"/>
      <w:jc w:val="both"/>
    </w:pPr>
    <w:rPr>
      <w:rFonts w:ascii="Calibri" w:hAnsi="Calibri"/>
      <w:kern w:val="2"/>
      <w:sz w:val="21"/>
      <w:szCs w:val="21"/>
      <w:lang w:val="zh-CN"/>
    </w:rPr>
  </w:style>
  <w:style w:type="character" w:customStyle="1" w:styleId="15">
    <w:name w:val="15"/>
    <w:basedOn w:val="a0"/>
    <w:rPr>
      <w:rFonts w:ascii="Times New Roman" w:hAnsi="Times New Roman" w:cs="Times New Roman" w:hint="default"/>
      <w:color w:val="0000FF"/>
      <w:u w:val="single"/>
    </w:rPr>
  </w:style>
  <w:style w:type="paragraph" w:customStyle="1" w:styleId="Bibliography2">
    <w:name w:val="Bibliography2"/>
    <w:basedOn w:val="a"/>
    <w:next w:val="a"/>
    <w:uiPriority w:val="37"/>
    <w:semiHidden/>
  </w:style>
  <w:style w:type="paragraph" w:customStyle="1" w:styleId="Bibliography3">
    <w:name w:val="Bibliography3"/>
    <w:basedOn w:val="a"/>
    <w:next w:val="a"/>
    <w:uiPriority w:val="37"/>
    <w:semiHidden/>
  </w:style>
  <w:style w:type="paragraph" w:customStyle="1" w:styleId="Bibliography4">
    <w:name w:val="Bibliography4"/>
    <w:basedOn w:val="a"/>
    <w:next w:val="a"/>
    <w:uiPriority w:val="37"/>
    <w:semiHidden/>
  </w:style>
  <w:style w:type="paragraph" w:customStyle="1" w:styleId="Bibliography5">
    <w:name w:val="Bibliography5"/>
    <w:basedOn w:val="a"/>
    <w:next w:val="a"/>
    <w:uiPriority w:val="37"/>
    <w:semiHidden/>
  </w:style>
  <w:style w:type="paragraph" w:customStyle="1" w:styleId="Bibliography6">
    <w:name w:val="Bibliography6"/>
    <w:basedOn w:val="a"/>
    <w:next w:val="a"/>
    <w:uiPriority w:val="37"/>
    <w:semiHidden/>
    <w:pPr>
      <w:tabs>
        <w:tab w:val="left" w:pos="380"/>
      </w:tabs>
      <w:spacing w:after="240"/>
      <w:ind w:left="384" w:hanging="384"/>
    </w:pPr>
  </w:style>
  <w:style w:type="paragraph" w:customStyle="1" w:styleId="Bibliography7">
    <w:name w:val="Bibliography7"/>
    <w:basedOn w:val="a"/>
    <w:next w:val="a"/>
    <w:uiPriority w:val="37"/>
    <w:semiHidden/>
    <w:pPr>
      <w:tabs>
        <w:tab w:val="left" w:pos="0"/>
        <w:tab w:val="left" w:pos="380"/>
      </w:tabs>
      <w:ind w:hanging="504"/>
    </w:pPr>
  </w:style>
  <w:style w:type="paragraph" w:customStyle="1" w:styleId="Bibliography8">
    <w:name w:val="Bibliography8"/>
    <w:basedOn w:val="a"/>
    <w:next w:val="a"/>
    <w:uiPriority w:val="37"/>
    <w:semiHidden/>
    <w:pPr>
      <w:tabs>
        <w:tab w:val="left" w:pos="380"/>
      </w:tabs>
      <w:spacing w:after="240"/>
      <w:ind w:left="384" w:hanging="384"/>
    </w:pPr>
  </w:style>
  <w:style w:type="paragraph" w:customStyle="1" w:styleId="Bibliography9">
    <w:name w:val="Bibliography9"/>
    <w:basedOn w:val="a"/>
    <w:next w:val="a"/>
    <w:uiPriority w:val="37"/>
    <w:semiHidden/>
    <w:pPr>
      <w:tabs>
        <w:tab w:val="left" w:pos="500"/>
      </w:tabs>
      <w:spacing w:after="240"/>
      <w:ind w:left="504" w:hanging="504"/>
    </w:pPr>
  </w:style>
  <w:style w:type="character" w:customStyle="1" w:styleId="UnresolvedMention1">
    <w:name w:val="Unresolved Mention1"/>
    <w:basedOn w:val="a0"/>
    <w:uiPriority w:val="99"/>
    <w:semiHidden/>
    <w:rPr>
      <w:color w:val="605E5C"/>
      <w:shd w:val="clear" w:color="auto" w:fill="E1DFDD"/>
    </w:rPr>
  </w:style>
  <w:style w:type="paragraph" w:customStyle="1" w:styleId="Bibliography10">
    <w:name w:val="Bibliography10"/>
    <w:basedOn w:val="a"/>
    <w:next w:val="a"/>
    <w:uiPriority w:val="37"/>
    <w:semiHidden/>
    <w:pPr>
      <w:tabs>
        <w:tab w:val="left" w:pos="500"/>
      </w:tabs>
      <w:ind w:left="504" w:hanging="504"/>
    </w:pPr>
  </w:style>
  <w:style w:type="paragraph" w:customStyle="1" w:styleId="Bibliography11">
    <w:name w:val="Bibliography11"/>
    <w:basedOn w:val="a"/>
    <w:next w:val="a"/>
    <w:uiPriority w:val="37"/>
    <w:semiHidden/>
  </w:style>
  <w:style w:type="character" w:customStyle="1" w:styleId="math-inline">
    <w:name w:val="math-inline"/>
    <w:basedOn w:val="a0"/>
    <w:semiHidden/>
  </w:style>
  <w:style w:type="paragraph" w:customStyle="1" w:styleId="Bibliography12">
    <w:name w:val="Bibliography12"/>
    <w:basedOn w:val="a"/>
    <w:next w:val="a"/>
    <w:uiPriority w:val="37"/>
    <w:semiHidden/>
  </w:style>
  <w:style w:type="character" w:customStyle="1" w:styleId="a4">
    <w:name w:val="批注文字 字符"/>
    <w:basedOn w:val="a0"/>
    <w:link w:val="a3"/>
    <w:semiHidden/>
    <w:rPr>
      <w:rFonts w:asciiTheme="minorHAnsi" w:eastAsiaTheme="minorEastAsia" w:hAnsiTheme="minorHAnsi" w:cstheme="minorBidi"/>
      <w:kern w:val="2"/>
      <w:sz w:val="21"/>
      <w:szCs w:val="24"/>
      <w:lang w:val="en-US"/>
    </w:rPr>
  </w:style>
  <w:style w:type="character" w:customStyle="1" w:styleId="af">
    <w:name w:val="批注主题 字符"/>
    <w:basedOn w:val="a4"/>
    <w:link w:val="ae"/>
    <w:semiHidden/>
    <w:rPr>
      <w:rFonts w:asciiTheme="minorHAnsi" w:eastAsiaTheme="minorEastAsia" w:hAnsiTheme="minorHAnsi" w:cstheme="minorBidi"/>
      <w:b/>
      <w:bCs/>
      <w:kern w:val="2"/>
      <w:sz w:val="21"/>
      <w:szCs w:val="24"/>
      <w:lang w:val="en-US"/>
    </w:rPr>
  </w:style>
  <w:style w:type="paragraph" w:customStyle="1" w:styleId="Bibliography13">
    <w:name w:val="Bibliography13"/>
    <w:basedOn w:val="a"/>
    <w:next w:val="a"/>
    <w:uiPriority w:val="37"/>
    <w:semiHidden/>
  </w:style>
  <w:style w:type="paragraph" w:customStyle="1" w:styleId="Bibliography14">
    <w:name w:val="Bibliography14"/>
    <w:basedOn w:val="a"/>
    <w:next w:val="a"/>
    <w:uiPriority w:val="37"/>
    <w:semiHidden/>
    <w:pPr>
      <w:tabs>
        <w:tab w:val="left" w:pos="380"/>
      </w:tabs>
      <w:spacing w:after="240"/>
      <w:ind w:left="384" w:hanging="384"/>
    </w:pPr>
  </w:style>
  <w:style w:type="paragraph" w:customStyle="1" w:styleId="Bibliography15">
    <w:name w:val="Bibliography15"/>
    <w:basedOn w:val="a"/>
    <w:next w:val="a"/>
    <w:uiPriority w:val="37"/>
    <w:semiHidden/>
  </w:style>
  <w:style w:type="paragraph" w:customStyle="1" w:styleId="12">
    <w:name w:val="书目1"/>
    <w:basedOn w:val="a"/>
    <w:next w:val="a"/>
    <w:uiPriority w:val="37"/>
    <w:semiHidden/>
    <w:pPr>
      <w:tabs>
        <w:tab w:val="left" w:pos="500"/>
      </w:tabs>
      <w:ind w:left="504" w:hanging="504"/>
    </w:pPr>
  </w:style>
  <w:style w:type="paragraph" w:customStyle="1" w:styleId="Abstract">
    <w:name w:val="Abstract"/>
    <w:next w:val="a"/>
    <w:uiPriority w:val="5"/>
    <w:qFormat/>
    <w:pPr>
      <w:jc w:val="both"/>
    </w:pPr>
    <w:rPr>
      <w:rFonts w:eastAsia="Times New Roman"/>
      <w:color w:val="000000"/>
      <w:sz w:val="21"/>
      <w:szCs w:val="21"/>
      <w:lang w:eastAsia="de-DE" w:bidi="en-US"/>
    </w:rPr>
  </w:style>
  <w:style w:type="paragraph" w:customStyle="1" w:styleId="Academiceditor">
    <w:name w:val="Academic editor"/>
    <w:uiPriority w:val="4"/>
    <w:qFormat/>
    <w:pPr>
      <w:jc w:val="both"/>
    </w:pPr>
    <w:rPr>
      <w:rFonts w:eastAsia="Times New Roman"/>
      <w:color w:val="000000"/>
      <w:sz w:val="21"/>
      <w:szCs w:val="21"/>
      <w:lang w:eastAsia="de-DE" w:bidi="en-US"/>
    </w:rPr>
  </w:style>
  <w:style w:type="paragraph" w:customStyle="1" w:styleId="Affiliation">
    <w:name w:val="Affiliation"/>
    <w:uiPriority w:val="3"/>
    <w:qFormat/>
    <w:pPr>
      <w:jc w:val="both"/>
    </w:pPr>
    <w:rPr>
      <w:rFonts w:eastAsia="Times New Roman"/>
      <w:color w:val="000000"/>
      <w:sz w:val="21"/>
      <w:szCs w:val="21"/>
      <w:lang w:eastAsia="de-DE" w:bidi="en-US"/>
    </w:rPr>
  </w:style>
  <w:style w:type="paragraph" w:customStyle="1" w:styleId="Articletitle">
    <w:name w:val="Article title"/>
    <w:next w:val="a"/>
    <w:uiPriority w:val="1"/>
    <w:qFormat/>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
    <w:qFormat/>
    <w:pPr>
      <w:adjustRightInd w:val="0"/>
      <w:snapToGrid w:val="0"/>
    </w:pPr>
    <w:rPr>
      <w:rFonts w:eastAsia="Times New Roman"/>
      <w:i/>
      <w:snapToGrid w:val="0"/>
      <w:color w:val="000000"/>
      <w:szCs w:val="22"/>
      <w:lang w:eastAsia="de-DE" w:bidi="en-US"/>
    </w:rPr>
  </w:style>
  <w:style w:type="paragraph" w:customStyle="1" w:styleId="Authornames">
    <w:name w:val="Authornames"/>
    <w:next w:val="a"/>
    <w:uiPriority w:val="2"/>
    <w:qFormat/>
    <w:pPr>
      <w:jc w:val="both"/>
    </w:pPr>
    <w:rPr>
      <w:rFonts w:eastAsia="Times New Roman"/>
      <w:color w:val="000000"/>
      <w:sz w:val="21"/>
      <w:szCs w:val="21"/>
      <w:lang w:eastAsia="de-DE" w:bidi="en-US"/>
    </w:rPr>
  </w:style>
  <w:style w:type="paragraph" w:customStyle="1" w:styleId="Backmatter">
    <w:name w:val="Back matter"/>
    <w:uiPriority w:val="18"/>
    <w:qFormat/>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ullet">
    <w:name w:val="Bullet"/>
    <w:uiPriority w:val="16"/>
    <w:qFormat/>
    <w:pPr>
      <w:numPr>
        <w:numId w:val="1"/>
      </w:numPr>
      <w:adjustRightInd w:val="0"/>
      <w:snapToGrid w:val="0"/>
      <w:spacing w:before="40" w:after="40"/>
      <w:ind w:hangingChars="200" w:hanging="200"/>
      <w:jc w:val="both"/>
    </w:pPr>
    <w:rPr>
      <w:rFonts w:eastAsia="Times New Roman"/>
      <w:color w:val="000000"/>
      <w:sz w:val="21"/>
      <w:szCs w:val="21"/>
      <w:lang w:eastAsia="de-DE" w:bidi="en-US"/>
    </w:rPr>
  </w:style>
  <w:style w:type="paragraph" w:customStyle="1" w:styleId="E-mail">
    <w:name w:val="E-mail"/>
    <w:link w:val="E-mail0"/>
    <w:uiPriority w:val="4"/>
    <w:qFormat/>
    <w:rPr>
      <w:rFonts w:eastAsia="Times New Roman"/>
      <w:snapToGrid w:val="0"/>
      <w:color w:val="000000"/>
      <w:sz w:val="21"/>
      <w:szCs w:val="21"/>
      <w:lang w:eastAsia="de-DE" w:bidi="en-US"/>
    </w:rPr>
  </w:style>
  <w:style w:type="character" w:customStyle="1" w:styleId="E-mail0">
    <w:name w:val="E-mail 字符"/>
    <w:basedOn w:val="a0"/>
    <w:link w:val="E-mail"/>
    <w:uiPriority w:val="4"/>
    <w:rPr>
      <w:rFonts w:eastAsia="Times New Roman"/>
      <w:snapToGrid w:val="0"/>
      <w:color w:val="000000"/>
      <w:sz w:val="21"/>
      <w:szCs w:val="21"/>
      <w:lang w:val="en-US" w:eastAsia="de-DE" w:bidi="en-US"/>
    </w:rPr>
  </w:style>
  <w:style w:type="paragraph" w:customStyle="1" w:styleId="Equation">
    <w:name w:val="Equation"/>
    <w:uiPriority w:val="17"/>
    <w:qFormat/>
    <w:pPr>
      <w:adjustRightInd w:val="0"/>
      <w:snapToGrid w:val="0"/>
      <w:spacing w:before="60" w:after="60"/>
      <w:ind w:left="709"/>
      <w:jc w:val="center"/>
    </w:pPr>
    <w:rPr>
      <w:rFonts w:eastAsia="Times New Roman"/>
      <w:snapToGrid w:val="0"/>
      <w:color w:val="000000"/>
      <w:sz w:val="21"/>
      <w:szCs w:val="21"/>
      <w:lang w:eastAsia="de-DE" w:bidi="en-US"/>
    </w:rPr>
  </w:style>
  <w:style w:type="paragraph" w:customStyle="1" w:styleId="Figure">
    <w:name w:val="Figure"/>
    <w:uiPriority w:val="15"/>
    <w:qFormat/>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4"/>
    <w:qFormat/>
    <w:pPr>
      <w:jc w:val="both"/>
    </w:pPr>
    <w:rPr>
      <w:rFonts w:eastAsia="Times New Roman"/>
      <w:color w:val="000000"/>
      <w:sz w:val="21"/>
      <w:szCs w:val="21"/>
      <w:lang w:eastAsia="de-DE" w:bidi="en-US"/>
    </w:rPr>
  </w:style>
  <w:style w:type="paragraph" w:customStyle="1" w:styleId="Figuretitle">
    <w:name w:val="Figure title"/>
    <w:uiPriority w:val="13"/>
    <w:pPr>
      <w:adjustRightInd w:val="0"/>
      <w:snapToGrid w:val="0"/>
      <w:spacing w:after="100" w:afterAutospacing="1"/>
      <w:jc w:val="center"/>
    </w:pPr>
    <w:rPr>
      <w:rFonts w:eastAsia="Times New Roman"/>
      <w:b/>
      <w:color w:val="000000"/>
      <w:sz w:val="21"/>
      <w:szCs w:val="21"/>
      <w:lang w:bidi="en-US"/>
    </w:rPr>
  </w:style>
  <w:style w:type="paragraph" w:customStyle="1" w:styleId="Keywords">
    <w:name w:val="Keywords"/>
    <w:next w:val="a"/>
    <w:link w:val="Keywords0"/>
    <w:uiPriority w:val="6"/>
    <w:qFormat/>
    <w:pPr>
      <w:adjustRightInd w:val="0"/>
      <w:snapToGrid w:val="0"/>
      <w:jc w:val="both"/>
    </w:pPr>
    <w:rPr>
      <w:rFonts w:eastAsia="Times New Roman"/>
      <w:snapToGrid w:val="0"/>
      <w:color w:val="000000"/>
      <w:sz w:val="21"/>
      <w:szCs w:val="21"/>
      <w:lang w:eastAsia="de-DE" w:bidi="en-US"/>
    </w:rPr>
  </w:style>
  <w:style w:type="character" w:customStyle="1" w:styleId="Keywords0">
    <w:name w:val="Keywords 字符"/>
    <w:basedOn w:val="a0"/>
    <w:link w:val="Keywords"/>
    <w:uiPriority w:val="6"/>
    <w:rPr>
      <w:rFonts w:eastAsia="Times New Roman"/>
      <w:snapToGrid w:val="0"/>
      <w:color w:val="000000"/>
      <w:sz w:val="21"/>
      <w:szCs w:val="21"/>
      <w:lang w:val="en-US" w:eastAsia="de-DE" w:bidi="en-US"/>
    </w:rPr>
  </w:style>
  <w:style w:type="paragraph" w:customStyle="1" w:styleId="Reference">
    <w:name w:val="Reference"/>
    <w:link w:val="Reference0"/>
    <w:uiPriority w:val="19"/>
    <w:qFormat/>
    <w:pPr>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rPr>
      <w:rFonts w:eastAsia="Times New Roman"/>
      <w:snapToGrid w:val="0"/>
      <w:color w:val="000000"/>
      <w:sz w:val="18"/>
      <w:szCs w:val="21"/>
      <w:lang w:val="en-US" w:eastAsia="de-DE" w:bidi="en-US"/>
    </w:rPr>
  </w:style>
  <w:style w:type="paragraph" w:customStyle="1" w:styleId="Tablebody">
    <w:name w:val="Table body"/>
    <w:uiPriority w:val="11"/>
    <w:qFormat/>
    <w:pPr>
      <w:jc w:val="both"/>
    </w:pPr>
    <w:rPr>
      <w:rFonts w:eastAsia="Times New Roman"/>
      <w:snapToGrid w:val="0"/>
      <w:color w:val="000000"/>
      <w:sz w:val="21"/>
      <w:szCs w:val="21"/>
      <w:lang w:eastAsia="de-DE" w:bidi="en-US"/>
    </w:rPr>
  </w:style>
  <w:style w:type="paragraph" w:customStyle="1" w:styleId="Tablecaption">
    <w:name w:val="Table caption"/>
    <w:uiPriority w:val="11"/>
    <w:qFormat/>
    <w:pPr>
      <w:adjustRightInd w:val="0"/>
      <w:snapToGrid w:val="0"/>
      <w:spacing w:beforeLines="100" w:before="100" w:afterLines="100" w:after="100"/>
      <w:jc w:val="center"/>
    </w:pPr>
    <w:rPr>
      <w:rFonts w:eastAsia="Times New Roman"/>
      <w:b/>
      <w:color w:val="000000"/>
      <w:sz w:val="21"/>
      <w:szCs w:val="24"/>
      <w:lang w:bidi="en-US"/>
    </w:rPr>
  </w:style>
  <w:style w:type="paragraph" w:customStyle="1" w:styleId="Tablefooter">
    <w:name w:val="Table footer"/>
    <w:next w:val="a"/>
    <w:uiPriority w:val="12"/>
    <w:qFormat/>
    <w:pPr>
      <w:jc w:val="both"/>
    </w:pPr>
    <w:rPr>
      <w:rFonts w:eastAsia="Times New Roman"/>
      <w:color w:val="000000"/>
      <w:sz w:val="21"/>
      <w:szCs w:val="21"/>
      <w:lang w:eastAsia="de-DE" w:bidi="en-US"/>
    </w:rPr>
  </w:style>
  <w:style w:type="paragraph" w:customStyle="1" w:styleId="Text">
    <w:name w:val="Text"/>
    <w:link w:val="Text0"/>
    <w:uiPriority w:val="10"/>
    <w:qFormat/>
    <w:pPr>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0"/>
    <w:link w:val="Text"/>
    <w:uiPriority w:val="10"/>
    <w:rPr>
      <w:rFonts w:eastAsia="Times New Roman"/>
      <w:snapToGrid w:val="0"/>
      <w:color w:val="000000"/>
      <w:sz w:val="21"/>
      <w:szCs w:val="28"/>
      <w:lang w:val="en-US" w:eastAsia="de-DE" w:bidi="en-US"/>
    </w:rPr>
  </w:style>
  <w:style w:type="character" w:customStyle="1" w:styleId="10">
    <w:name w:val="标题 1 字符"/>
    <w:basedOn w:val="a0"/>
    <w:link w:val="1"/>
    <w:uiPriority w:val="9"/>
    <w:rPr>
      <w:rFonts w:eastAsia="Times New Roman"/>
      <w:b/>
      <w:bCs/>
      <w:color w:val="000000"/>
      <w:kern w:val="44"/>
      <w:sz w:val="24"/>
      <w:szCs w:val="24"/>
      <w:lang w:val="en-US"/>
    </w:rPr>
  </w:style>
  <w:style w:type="character" w:customStyle="1" w:styleId="20">
    <w:name w:val="标题 2 字符"/>
    <w:basedOn w:val="a0"/>
    <w:link w:val="2"/>
    <w:uiPriority w:val="9"/>
    <w:rPr>
      <w:rFonts w:eastAsia="Times New Roman"/>
      <w:b/>
      <w:bCs/>
      <w:i/>
      <w:color w:val="000000"/>
      <w:sz w:val="21"/>
      <w:szCs w:val="21"/>
      <w:lang w:val="en-US"/>
    </w:rPr>
  </w:style>
  <w:style w:type="character" w:customStyle="1" w:styleId="30">
    <w:name w:val="标题 3 字符"/>
    <w:basedOn w:val="a0"/>
    <w:link w:val="3"/>
    <w:uiPriority w:val="9"/>
    <w:rPr>
      <w:rFonts w:eastAsia="Times New Roman"/>
      <w:bCs/>
      <w:i/>
      <w:color w:val="000000"/>
      <w:sz w:val="21"/>
      <w:szCs w:val="21"/>
      <w:lang w:val="en-US"/>
    </w:rPr>
  </w:style>
  <w:style w:type="character" w:customStyle="1" w:styleId="a8">
    <w:name w:val="批注框文本 字符"/>
    <w:link w:val="a7"/>
    <w:uiPriority w:val="99"/>
    <w:semiHidden/>
    <w:rPr>
      <w:rFonts w:ascii="Palatino Linotype" w:hAnsi="Palatino Linotype" w:cs="Tahoma"/>
      <w:color w:val="000000"/>
      <w:szCs w:val="18"/>
      <w:lang w:val="en-US"/>
    </w:rPr>
  </w:style>
  <w:style w:type="character" w:customStyle="1" w:styleId="a6">
    <w:name w:val="尾注文本 字符"/>
    <w:link w:val="a5"/>
    <w:semiHidden/>
    <w:rPr>
      <w:rFonts w:ascii="Palatino Linotype" w:hAnsi="Palatino Linotype"/>
      <w:color w:val="000000"/>
      <w:lang w:val="en-US"/>
    </w:rPr>
  </w:style>
  <w:style w:type="table" w:customStyle="1" w:styleId="41">
    <w:name w:val="无格式表格 41"/>
    <w:basedOn w:val="a1"/>
    <w:uiPriority w:val="44"/>
    <w:rPr>
      <w:rFonts w:ascii="Calibri" w:hAnsi="Calibri"/>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a">
    <w:name w:val="页脚 字符"/>
    <w:link w:val="a9"/>
    <w:uiPriority w:val="99"/>
    <w:semiHidden/>
    <w:rPr>
      <w:rFonts w:ascii="Palatino Linotype" w:hAnsi="Palatino Linotype"/>
      <w:color w:val="000000"/>
      <w:szCs w:val="18"/>
      <w:lang w:val="en-US"/>
    </w:rPr>
  </w:style>
  <w:style w:type="character" w:customStyle="1" w:styleId="ac">
    <w:name w:val="页眉 字符"/>
    <w:link w:val="ab"/>
    <w:uiPriority w:val="99"/>
    <w:semiHidden/>
    <w:rPr>
      <w:rFonts w:ascii="Palatino Linotype" w:hAnsi="Palatino Linotype"/>
      <w:color w:val="000000"/>
      <w:szCs w:val="18"/>
      <w:lang w:val="en-US"/>
    </w:rPr>
  </w:style>
  <w:style w:type="character" w:styleId="af6">
    <w:name w:val="Placeholder Text"/>
    <w:uiPriority w:val="99"/>
    <w:semiHidden/>
    <w:rPr>
      <w:color w:val="808080"/>
    </w:rPr>
  </w:style>
  <w:style w:type="paragraph" w:customStyle="1" w:styleId="13">
    <w:name w:val="修订1"/>
    <w:hidden/>
    <w:uiPriority w:val="99"/>
    <w:unhideWhenUsed/>
    <w:rPr>
      <w:rFonts w:ascii="Palatino Linotype" w:hAnsi="Palatino Linotype"/>
      <w:color w:val="000000"/>
    </w:rPr>
  </w:style>
  <w:style w:type="paragraph" w:styleId="af7">
    <w:name w:val="Date"/>
    <w:basedOn w:val="a"/>
    <w:next w:val="a"/>
    <w:link w:val="af8"/>
    <w:semiHidden/>
    <w:rsid w:val="001660ED"/>
    <w:pPr>
      <w:ind w:leftChars="2500" w:left="100"/>
    </w:pPr>
  </w:style>
  <w:style w:type="character" w:customStyle="1" w:styleId="af8">
    <w:name w:val="日期 字符"/>
    <w:basedOn w:val="a0"/>
    <w:link w:val="af7"/>
    <w:semiHidden/>
    <w:rsid w:val="001660ED"/>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38999">
      <w:bodyDiv w:val="1"/>
      <w:marLeft w:val="0"/>
      <w:marRight w:val="0"/>
      <w:marTop w:val="0"/>
      <w:marBottom w:val="0"/>
      <w:divBdr>
        <w:top w:val="none" w:sz="0" w:space="0" w:color="auto"/>
        <w:left w:val="none" w:sz="0" w:space="0" w:color="auto"/>
        <w:bottom w:val="none" w:sz="0" w:space="0" w:color="auto"/>
        <w:right w:val="none" w:sz="0" w:space="0" w:color="auto"/>
      </w:divBdr>
    </w:div>
    <w:div w:id="552933692">
      <w:bodyDiv w:val="1"/>
      <w:marLeft w:val="0"/>
      <w:marRight w:val="0"/>
      <w:marTop w:val="0"/>
      <w:marBottom w:val="0"/>
      <w:divBdr>
        <w:top w:val="none" w:sz="0" w:space="0" w:color="auto"/>
        <w:left w:val="none" w:sz="0" w:space="0" w:color="auto"/>
        <w:bottom w:val="none" w:sz="0" w:space="0" w:color="auto"/>
        <w:right w:val="none" w:sz="0" w:space="0" w:color="auto"/>
      </w:divBdr>
    </w:div>
    <w:div w:id="927542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tif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tiff"/><Relationship Id="rId5" Type="http://schemas.openxmlformats.org/officeDocument/2006/relationships/settings" Target="settings.xml"/><Relationship Id="rId15" Type="http://schemas.openxmlformats.org/officeDocument/2006/relationships/hyperlink" Target="https://doi.org/10.1152/ajplegacy.1957.192.1.148."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zxq@vip.163.com" TargetMode="Externa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C5082C-243D-4247-9A58-2B41065C5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17</Pages>
  <Words>6518</Words>
  <Characters>37155</Characters>
  <Application>Microsoft Office Word</Application>
  <DocSecurity>0</DocSecurity>
  <Lines>309</Lines>
  <Paragraphs>87</Paragraphs>
  <ScaleCrop>false</ScaleCrop>
  <Company/>
  <LinksUpToDate>false</LinksUpToDate>
  <CharactersWithSpaces>43586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鲁棒</dc:creator>
  <cp:lastModifiedBy>Sarah Teoh</cp:lastModifiedBy>
  <cp:revision>4</cp:revision>
  <dcterms:created xsi:type="dcterms:W3CDTF">2026-02-26T16:08:00Z</dcterms:created>
  <dcterms:modified xsi:type="dcterms:W3CDTF">2026-02-28T01:25:00Z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17992233E69579241C1CBE687AA3B822_43</vt:lpwstr>
  </property>
  <property fmtid="{D5CDD505-2E9C-101B-9397-08002B2CF9AE}" pid="4" name="ZOTERO_PREF_1">
    <vt:lpwstr>&lt;data data-version="3" zotero-version="7.0.30"&gt;&lt;session id="vDVfZjvy"/&gt;&lt;style id="http://www.zotero.org/styles/elsevier-vancouver" hasBibliography="1" bibliographyStyleHasBeenSet="1"/&gt;&lt;prefs&gt;&lt;pref name="fieldType" value="Field"/&gt;&lt;/prefs&gt;&lt;/data&gt;</vt:lpwstr>
  </property>
  <property fmtid="{D5CDD505-2E9C-101B-9397-08002B2CF9AE}" pid="5" name="ZOTERO_PREF_2">
    <vt:lpwstr/>
  </property>
  <property fmtid="{D5CDD505-2E9C-101B-9397-08002B2CF9AE}" pid="6" name="KSOTemplateDocerSaveRecord">
    <vt:lpwstr>eyJoZGlkIjoiMTU5Y2MzMDZhNGY5OGUwYTllYTVlMGQ3YTMyNGVlYWQiLCJ1c2VySWQiOiIyOTA2MjMzODkifQ==</vt:lpwstr>
  </property>
</Properties>
</file>