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639D" w14:textId="77777777" w:rsidR="00B544FD" w:rsidRDefault="00B544FD">
      <w:pPr>
        <w:spacing w:line="240" w:lineRule="auto"/>
        <w:ind w:left="709" w:right="805" w:hanging="283"/>
        <w:rPr>
          <w:rFonts w:ascii="Times New Roman" w:hAnsi="Times New Roman" w:cs="Times New Roman"/>
          <w:b/>
          <w:i/>
          <w:sz w:val="24"/>
        </w:rPr>
      </w:pPr>
      <w:r>
        <w:rPr>
          <w:rFonts w:ascii="Times New Roman" w:hAnsi="Times New Roman" w:cs="Times New Roman"/>
          <w:i/>
          <w:sz w:val="21"/>
          <w:szCs w:val="21"/>
          <w:shd w:val="clear" w:color="auto" w:fill="FFFFFF"/>
        </w:rPr>
        <w:t xml:space="preserve">Original Research </w:t>
      </w:r>
    </w:p>
    <w:p w14:paraId="40346882" w14:textId="77777777" w:rsidR="00B544FD" w:rsidRDefault="00B544FD">
      <w:pPr>
        <w:spacing w:line="240" w:lineRule="auto"/>
        <w:ind w:left="709" w:right="805" w:hanging="283"/>
        <w:jc w:val="center"/>
        <w:rPr>
          <w:rFonts w:ascii="Times New Roman" w:hAnsi="Times New Roman" w:cs="Times New Roman"/>
          <w:b/>
          <w:sz w:val="24"/>
        </w:rPr>
      </w:pPr>
      <w:r>
        <w:rPr>
          <w:rFonts w:ascii="Times New Roman" w:hAnsi="Times New Roman" w:cs="Times New Roman"/>
          <w:b/>
          <w:sz w:val="24"/>
        </w:rPr>
        <w:t xml:space="preserve">Investigating the Role of diluent in Nickel (II) Ion Extraction </w:t>
      </w:r>
    </w:p>
    <w:p w14:paraId="359A2156" w14:textId="77777777" w:rsidR="00B544FD" w:rsidRDefault="00B544FD">
      <w:pPr>
        <w:spacing w:line="240" w:lineRule="auto"/>
        <w:ind w:left="709" w:right="805" w:hanging="283"/>
        <w:jc w:val="center"/>
        <w:rPr>
          <w:rFonts w:ascii="Times New Roman" w:hAnsi="Times New Roman" w:cs="Times New Roman"/>
          <w:b/>
          <w:sz w:val="24"/>
        </w:rPr>
      </w:pPr>
      <w:r>
        <w:rPr>
          <w:rFonts w:ascii="Times New Roman" w:hAnsi="Times New Roman" w:cs="Times New Roman"/>
          <w:b/>
          <w:sz w:val="24"/>
        </w:rPr>
        <w:t>Using D2EHPA</w:t>
      </w:r>
    </w:p>
    <w:p w14:paraId="74FDBF79" w14:textId="77777777" w:rsidR="00473764" w:rsidRPr="00FC73F4" w:rsidRDefault="00473764" w:rsidP="00473764">
      <w:pPr>
        <w:spacing w:line="240" w:lineRule="auto"/>
        <w:ind w:left="709" w:right="805" w:hanging="283"/>
        <w:jc w:val="center"/>
        <w:rPr>
          <w:rFonts w:ascii="Times New Roman" w:hAnsi="Times New Roman" w:cs="Times New Roman"/>
          <w:bCs/>
          <w:lang w:val="en-US"/>
        </w:rPr>
      </w:pPr>
      <w:r>
        <w:rPr>
          <w:rFonts w:ascii="Times New Roman" w:hAnsi="Times New Roman" w:cs="Times New Roman"/>
          <w:b/>
          <w:bCs/>
          <w:lang w:val="en-US"/>
        </w:rPr>
        <w:t>F</w:t>
      </w:r>
      <w:r w:rsidRPr="00FC73F4">
        <w:rPr>
          <w:rFonts w:ascii="Times New Roman" w:hAnsi="Times New Roman" w:cs="Times New Roman"/>
          <w:b/>
          <w:bCs/>
          <w:lang w:val="en-US"/>
        </w:rPr>
        <w:t>. Ghebghoub</w:t>
      </w:r>
      <w:r w:rsidRPr="00FC73F4">
        <w:rPr>
          <w:rFonts w:ascii="Times New Roman" w:hAnsi="Times New Roman" w:cs="Times New Roman"/>
          <w:bCs/>
          <w:vertAlign w:val="superscript"/>
          <w:lang w:val="en-US"/>
        </w:rPr>
        <w:t>1*</w:t>
      </w:r>
      <w:r w:rsidRPr="00FC73F4">
        <w:rPr>
          <w:rFonts w:ascii="Times New Roman" w:hAnsi="Times New Roman" w:cs="Times New Roman"/>
          <w:bCs/>
          <w:lang w:val="en-US"/>
        </w:rPr>
        <w:t xml:space="preserve">, </w:t>
      </w:r>
      <w:r w:rsidRPr="00FC73F4">
        <w:rPr>
          <w:rFonts w:ascii="Times New Roman" w:hAnsi="Times New Roman" w:cs="Times New Roman"/>
          <w:b/>
          <w:bCs/>
          <w:lang w:val="en-US"/>
        </w:rPr>
        <w:t>K. Adaika</w:t>
      </w:r>
      <w:r w:rsidRPr="00FC73F4">
        <w:rPr>
          <w:rFonts w:ascii="Times New Roman" w:hAnsi="Times New Roman" w:cs="Times New Roman"/>
          <w:bCs/>
          <w:vertAlign w:val="superscript"/>
          <w:lang w:val="en-US"/>
        </w:rPr>
        <w:t>1</w:t>
      </w:r>
      <w:r w:rsidRPr="00FC73F4">
        <w:rPr>
          <w:rFonts w:ascii="Times New Roman" w:hAnsi="Times New Roman" w:cs="Times New Roman"/>
          <w:bCs/>
          <w:lang w:val="en-US"/>
        </w:rPr>
        <w:t xml:space="preserve">, </w:t>
      </w:r>
      <w:r w:rsidRPr="00FC73F4">
        <w:rPr>
          <w:rFonts w:ascii="Times New Roman" w:hAnsi="Times New Roman" w:cs="Times New Roman"/>
          <w:b/>
          <w:bCs/>
          <w:lang w:val="en-US"/>
        </w:rPr>
        <w:t>N. Malfi</w:t>
      </w:r>
      <w:r w:rsidRPr="00FC73F4">
        <w:rPr>
          <w:rFonts w:ascii="Times New Roman" w:hAnsi="Times New Roman" w:cs="Times New Roman"/>
          <w:bCs/>
          <w:vertAlign w:val="superscript"/>
          <w:lang w:val="en-US"/>
        </w:rPr>
        <w:t>2</w:t>
      </w:r>
      <w:r w:rsidRPr="00FC73F4">
        <w:rPr>
          <w:rFonts w:ascii="Times New Roman" w:hAnsi="Times New Roman" w:cs="Times New Roman"/>
          <w:bCs/>
          <w:lang w:val="en-US"/>
        </w:rPr>
        <w:t xml:space="preserve">, </w:t>
      </w:r>
      <w:r w:rsidRPr="00FC73F4">
        <w:rPr>
          <w:rFonts w:ascii="Times New Roman" w:hAnsi="Times New Roman" w:cs="Times New Roman"/>
          <w:b/>
          <w:bCs/>
          <w:lang w:val="en-US"/>
        </w:rPr>
        <w:t>D. Barkat</w:t>
      </w:r>
      <w:r w:rsidRPr="00264442">
        <w:rPr>
          <w:rFonts w:ascii="Times New Roman" w:hAnsi="Times New Roman" w:cs="Times New Roman"/>
          <w:bCs/>
          <w:vertAlign w:val="superscript"/>
          <w:lang w:val="en-US"/>
        </w:rPr>
        <w:t>1</w:t>
      </w:r>
      <w:r w:rsidRPr="00FC73F4">
        <w:rPr>
          <w:rFonts w:ascii="Times New Roman" w:hAnsi="Times New Roman" w:cs="Times New Roman"/>
          <w:bCs/>
          <w:lang w:val="en-US"/>
        </w:rPr>
        <w:t xml:space="preserve">, </w:t>
      </w:r>
      <w:r w:rsidRPr="00FC73F4">
        <w:rPr>
          <w:rFonts w:ascii="Times New Roman" w:hAnsi="Times New Roman" w:cs="Times New Roman"/>
          <w:b/>
          <w:bCs/>
          <w:lang w:val="en-US"/>
        </w:rPr>
        <w:t>A. Charef</w:t>
      </w:r>
      <w:r w:rsidRPr="00FC73F4">
        <w:rPr>
          <w:rFonts w:ascii="Times New Roman" w:hAnsi="Times New Roman" w:cs="Times New Roman"/>
          <w:bCs/>
          <w:lang w:val="en-US"/>
        </w:rPr>
        <w:t xml:space="preserve"> </w:t>
      </w:r>
      <w:r w:rsidRPr="00264442">
        <w:rPr>
          <w:rFonts w:ascii="Times New Roman" w:hAnsi="Times New Roman" w:cs="Times New Roman"/>
          <w:bCs/>
          <w:vertAlign w:val="superscript"/>
          <w:lang w:val="en-US"/>
        </w:rPr>
        <w:t>3</w:t>
      </w:r>
      <w:r>
        <w:rPr>
          <w:rFonts w:ascii="Times New Roman" w:hAnsi="Times New Roman" w:cs="Times New Roman"/>
          <w:bCs/>
          <w:lang w:val="en-US"/>
        </w:rPr>
        <w:t>.</w:t>
      </w:r>
    </w:p>
    <w:p w14:paraId="45A77FFD" w14:textId="77777777" w:rsidR="00473764" w:rsidRPr="00FC73F4" w:rsidRDefault="00473764" w:rsidP="00473764">
      <w:pPr>
        <w:spacing w:line="240" w:lineRule="auto"/>
        <w:ind w:left="709" w:right="805" w:hanging="283"/>
        <w:jc w:val="center"/>
        <w:rPr>
          <w:rFonts w:ascii="Times New Roman" w:hAnsi="Times New Roman" w:cs="Times New Roman"/>
          <w:bCs/>
          <w:lang w:val="en-US"/>
        </w:rPr>
      </w:pPr>
      <w:r w:rsidRPr="00264442">
        <w:rPr>
          <w:rFonts w:ascii="Times New Roman" w:hAnsi="Times New Roman" w:cs="Times New Roman"/>
          <w:bCs/>
          <w:vertAlign w:val="superscript"/>
          <w:lang w:val="en-US"/>
        </w:rPr>
        <w:t>1</w:t>
      </w:r>
      <w:r w:rsidRPr="00FC73F4">
        <w:rPr>
          <w:rFonts w:ascii="Times New Roman" w:hAnsi="Times New Roman" w:cs="Times New Roman"/>
          <w:bCs/>
          <w:lang w:val="en-US"/>
        </w:rPr>
        <w:t>Department of Industrial Chemistry, University of Biskra, 07000, Biskra, Algeria.</w:t>
      </w:r>
    </w:p>
    <w:p w14:paraId="45E5F0A4" w14:textId="77777777" w:rsidR="00473764" w:rsidRPr="00FC73F4" w:rsidRDefault="00473764" w:rsidP="00473764">
      <w:pPr>
        <w:spacing w:line="240" w:lineRule="auto"/>
        <w:ind w:left="709" w:right="805" w:hanging="283"/>
        <w:jc w:val="center"/>
        <w:rPr>
          <w:rFonts w:ascii="Times New Roman" w:hAnsi="Times New Roman" w:cs="Times New Roman"/>
          <w:bCs/>
          <w:lang w:val="en-US"/>
        </w:rPr>
      </w:pPr>
      <w:r w:rsidRPr="00264442">
        <w:rPr>
          <w:rFonts w:ascii="Times New Roman" w:hAnsi="Times New Roman" w:cs="Times New Roman"/>
          <w:bCs/>
          <w:vertAlign w:val="superscript"/>
          <w:lang w:val="en-US"/>
        </w:rPr>
        <w:t>2</w:t>
      </w:r>
      <w:r w:rsidRPr="00FC73F4">
        <w:rPr>
          <w:rFonts w:ascii="Times New Roman" w:hAnsi="Times New Roman" w:cs="Times New Roman"/>
          <w:bCs/>
          <w:lang w:val="en-US"/>
        </w:rPr>
        <w:t>Department of Process Engineering, University of 20 August 1955, 21000, Skikda, Algeria.</w:t>
      </w:r>
    </w:p>
    <w:p w14:paraId="214D945A" w14:textId="77777777" w:rsidR="00473764" w:rsidRPr="00FC73F4" w:rsidRDefault="00473764" w:rsidP="00473764">
      <w:pPr>
        <w:spacing w:line="240" w:lineRule="auto"/>
        <w:ind w:left="709" w:right="805" w:hanging="283"/>
        <w:jc w:val="center"/>
        <w:rPr>
          <w:rFonts w:ascii="Times New Roman" w:hAnsi="Times New Roman" w:cs="Times New Roman"/>
          <w:bCs/>
          <w:lang w:val="en-US"/>
        </w:rPr>
      </w:pPr>
      <w:r w:rsidRPr="00264442">
        <w:rPr>
          <w:rFonts w:ascii="Times New Roman" w:hAnsi="Times New Roman" w:cs="Times New Roman"/>
          <w:bCs/>
          <w:vertAlign w:val="superscript"/>
          <w:lang w:val="en-US"/>
        </w:rPr>
        <w:t>3</w:t>
      </w:r>
      <w:r w:rsidRPr="00FC73F4">
        <w:rPr>
          <w:rFonts w:ascii="Times New Roman" w:hAnsi="Times New Roman" w:cs="Times New Roman"/>
          <w:bCs/>
          <w:lang w:val="en-US"/>
        </w:rPr>
        <w:t>Physics Department, University Oran1 Ahmed Ben Bella, 31000, Oran, Algeria.</w:t>
      </w:r>
    </w:p>
    <w:p w14:paraId="38411331" w14:textId="77777777" w:rsidR="00473764" w:rsidRPr="00FC73F4" w:rsidRDefault="00473764" w:rsidP="00473764">
      <w:pPr>
        <w:spacing w:line="240" w:lineRule="auto"/>
        <w:ind w:left="709" w:right="805" w:hanging="283"/>
        <w:jc w:val="center"/>
        <w:rPr>
          <w:rFonts w:ascii="Times New Roman" w:hAnsi="Times New Roman" w:cs="Times New Roman"/>
          <w:bCs/>
          <w:lang w:val="en-US"/>
        </w:rPr>
      </w:pPr>
      <w:r w:rsidRPr="00FC73F4">
        <w:rPr>
          <w:rFonts w:ascii="Times New Roman" w:hAnsi="Times New Roman" w:cs="Times New Roman"/>
          <w:bCs/>
          <w:lang w:val="en-US"/>
        </w:rPr>
        <w:t>* Corresponding author: f.ghebghoub@univ-biskra.dz</w:t>
      </w:r>
    </w:p>
    <w:p w14:paraId="338A181E" w14:textId="77777777" w:rsidR="00D833D8" w:rsidRPr="00D833D8" w:rsidRDefault="00D833D8" w:rsidP="00D833D8">
      <w:pPr>
        <w:spacing w:line="240" w:lineRule="auto"/>
        <w:ind w:left="709" w:right="805" w:firstLine="720"/>
        <w:rPr>
          <w:rFonts w:ascii="Times New Roman" w:hAnsi="Times New Roman" w:cs="Times New Roman"/>
          <w:b/>
          <w:bCs/>
          <w:lang w:val="en-US"/>
        </w:rPr>
      </w:pPr>
      <w:r w:rsidRPr="005E4077">
        <w:rPr>
          <w:rFonts w:ascii="等线" w:eastAsia="等线" w:hAnsi="等线" w:cs="Times New Roman"/>
          <w:b/>
          <w:bCs/>
          <w:lang w:val="en-US" w:eastAsia="zh-CN"/>
        </w:rPr>
        <w:t>A</w:t>
      </w:r>
      <w:r w:rsidRPr="005E4077">
        <w:rPr>
          <w:rFonts w:ascii="等线" w:eastAsia="等线" w:hAnsi="等线" w:cs="Times New Roman" w:hint="eastAsia"/>
          <w:b/>
          <w:bCs/>
          <w:lang w:val="en-US" w:eastAsia="zh-CN"/>
        </w:rPr>
        <w:t>cademic</w:t>
      </w:r>
      <w:r>
        <w:rPr>
          <w:rFonts w:ascii="Times New Roman" w:hAnsi="Times New Roman" w:cs="Times New Roman"/>
          <w:b/>
          <w:bCs/>
          <w:lang w:val="en-US"/>
        </w:rPr>
        <w:t xml:space="preserve"> </w:t>
      </w:r>
      <w:r w:rsidRPr="005E4077">
        <w:rPr>
          <w:rFonts w:ascii="等线" w:eastAsia="等线" w:hAnsi="等线" w:cs="Times New Roman" w:hint="eastAsia"/>
          <w:b/>
          <w:bCs/>
          <w:lang w:val="en-US" w:eastAsia="zh-CN"/>
        </w:rPr>
        <w:t>editor</w:t>
      </w:r>
      <w:r>
        <w:rPr>
          <w:rFonts w:ascii="宋体" w:eastAsia="宋体" w:hAnsi="宋体" w:cs="宋体" w:hint="eastAsia"/>
          <w:b/>
          <w:bCs/>
          <w:lang w:val="en-US" w:eastAsia="zh-CN"/>
        </w:rPr>
        <w:t>:</w:t>
      </w:r>
      <w:r>
        <w:rPr>
          <w:rFonts w:ascii="宋体" w:eastAsia="宋体" w:hAnsi="宋体" w:cs="宋体"/>
          <w:b/>
          <w:bCs/>
          <w:lang w:val="en-US" w:eastAsia="zh-CN"/>
        </w:rPr>
        <w:t xml:space="preserve"> </w:t>
      </w:r>
      <w:r w:rsidRPr="00D833D8">
        <w:rPr>
          <w:rFonts w:ascii="Times New Roman" w:hAnsi="Times New Roman" w:cs="Times New Roman"/>
          <w:b/>
          <w:bCs/>
          <w:lang w:val="en-US"/>
        </w:rPr>
        <w:t>Carmen-Georgeta Ristoscu</w:t>
      </w:r>
    </w:p>
    <w:p w14:paraId="53CBFE28" w14:textId="77777777" w:rsidR="00D833D8" w:rsidRPr="00D833D8" w:rsidRDefault="00D833D8" w:rsidP="00D833D8">
      <w:pPr>
        <w:spacing w:line="240" w:lineRule="auto"/>
        <w:ind w:left="709" w:right="805" w:firstLine="720"/>
        <w:rPr>
          <w:rFonts w:ascii="Times New Roman" w:hAnsi="Times New Roman" w:cs="Times New Roman"/>
          <w:b/>
          <w:bCs/>
          <w:lang w:val="en-US"/>
        </w:rPr>
      </w:pPr>
      <w:r w:rsidRPr="00D833D8">
        <w:rPr>
          <w:rFonts w:ascii="Times New Roman" w:hAnsi="Times New Roman" w:cs="Times New Roman"/>
          <w:b/>
          <w:bCs/>
          <w:lang w:val="en-US"/>
        </w:rPr>
        <w:t>Submitted:  19 / 11 / 2025</w:t>
      </w:r>
    </w:p>
    <w:p w14:paraId="53E21467" w14:textId="77777777" w:rsidR="00D833D8" w:rsidRPr="00D833D8" w:rsidRDefault="00D833D8" w:rsidP="00D833D8">
      <w:pPr>
        <w:spacing w:line="240" w:lineRule="auto"/>
        <w:ind w:left="709" w:right="805" w:firstLine="720"/>
        <w:rPr>
          <w:rFonts w:ascii="Times New Roman" w:hAnsi="Times New Roman" w:cs="Times New Roman"/>
          <w:b/>
          <w:bCs/>
          <w:lang w:val="en-US"/>
        </w:rPr>
      </w:pPr>
      <w:r w:rsidRPr="00D833D8">
        <w:rPr>
          <w:rFonts w:ascii="Times New Roman" w:hAnsi="Times New Roman" w:cs="Times New Roman"/>
          <w:b/>
          <w:bCs/>
          <w:lang w:val="en-US"/>
        </w:rPr>
        <w:t>Revised: 12 / 03 / 2026</w:t>
      </w:r>
    </w:p>
    <w:p w14:paraId="2335A563" w14:textId="77777777" w:rsidR="00473764" w:rsidRDefault="00D833D8" w:rsidP="00D833D8">
      <w:pPr>
        <w:spacing w:line="240" w:lineRule="auto"/>
        <w:ind w:left="709" w:right="805" w:firstLine="720"/>
        <w:rPr>
          <w:rFonts w:ascii="Times New Roman" w:hAnsi="Times New Roman" w:cs="Times New Roman"/>
          <w:b/>
          <w:bCs/>
          <w:lang w:val="en-US"/>
        </w:rPr>
      </w:pPr>
      <w:r w:rsidRPr="00D833D8">
        <w:rPr>
          <w:rFonts w:ascii="Times New Roman" w:hAnsi="Times New Roman" w:cs="Times New Roman"/>
          <w:b/>
          <w:bCs/>
          <w:lang w:val="en-US"/>
        </w:rPr>
        <w:t>Accepted:17/ 3/ 2026</w:t>
      </w:r>
    </w:p>
    <w:p w14:paraId="5C168501" w14:textId="77777777" w:rsidR="00B544FD" w:rsidRDefault="00B544FD">
      <w:pPr>
        <w:spacing w:line="240" w:lineRule="auto"/>
        <w:ind w:left="709" w:right="805" w:firstLine="720"/>
        <w:rPr>
          <w:rFonts w:ascii="Times New Roman" w:hAnsi="Times New Roman" w:cs="Times New Roman"/>
          <w:b/>
          <w:bCs/>
          <w:lang w:val="en-US"/>
        </w:rPr>
      </w:pPr>
      <w:r>
        <w:rPr>
          <w:rFonts w:ascii="Times New Roman" w:hAnsi="Times New Roman" w:cs="Times New Roman"/>
          <w:b/>
          <w:bCs/>
          <w:lang w:val="en-US"/>
        </w:rPr>
        <w:t>Abstract</w:t>
      </w:r>
    </w:p>
    <w:p w14:paraId="66F9607C" w14:textId="77777777" w:rsidR="00B544FD" w:rsidRDefault="00B544FD" w:rsidP="000D7916">
      <w:pPr>
        <w:spacing w:line="240" w:lineRule="auto"/>
        <w:ind w:left="709" w:right="805" w:firstLine="720"/>
        <w:jc w:val="both"/>
        <w:rPr>
          <w:rFonts w:ascii="Times New Roman" w:hAnsi="Times New Roman" w:cs="Times New Roman"/>
        </w:rPr>
      </w:pPr>
      <w:r>
        <w:rPr>
          <w:rFonts w:ascii="Times New Roman" w:hAnsi="Times New Roman" w:cs="Times New Roman"/>
        </w:rPr>
        <w:t xml:space="preserve">This work investigates the ability of </w:t>
      </w:r>
      <w:r w:rsidR="000D7916" w:rsidRPr="000D7916">
        <w:rPr>
          <w:rFonts w:ascii="Times New Roman" w:hAnsi="Times New Roman" w:cs="Times New Roman"/>
          <w:highlight w:val="yellow"/>
        </w:rPr>
        <w:t xml:space="preserve">Di(2-ethylhexyl) phosphoric acid </w:t>
      </w:r>
      <w:r>
        <w:rPr>
          <w:rFonts w:ascii="Times New Roman" w:hAnsi="Times New Roman" w:cs="Times New Roman"/>
        </w:rPr>
        <w:t xml:space="preserve">to extract </w:t>
      </w:r>
      <w:r w:rsidR="00126151">
        <w:rPr>
          <w:rFonts w:ascii="Times New Roman" w:hAnsi="Times New Roman" w:cs="Times New Roman"/>
        </w:rPr>
        <w:t>Ni (</w:t>
      </w:r>
      <w:r>
        <w:rPr>
          <w:rFonts w:ascii="Times New Roman" w:hAnsi="Times New Roman" w:cs="Times New Roman"/>
        </w:rPr>
        <w:t xml:space="preserve">II) ions from a </w:t>
      </w:r>
      <w:r w:rsidR="00B5099B">
        <w:rPr>
          <w:rFonts w:ascii="Times New Roman" w:hAnsi="Times New Roman" w:cs="Times New Roman"/>
        </w:rPr>
        <w:t>Sulfate</w:t>
      </w:r>
      <w:r>
        <w:rPr>
          <w:rFonts w:ascii="Times New Roman" w:hAnsi="Times New Roman" w:cs="Times New Roman"/>
        </w:rPr>
        <w:t xml:space="preserve"> solution and examines how various diluents affect the process. The results revealed striking contrasts between solvents: 1-octanol enabled extraction efficiencies exceeding 98.65%, whereas toluene yielded less than 6.12%. The study demonstrates that pH, extractant concentration, and the type of diluent all play critical roles in optimizing solvent-extraction performance. The extracted nickel species were determined to be NiL₂ when using 1-octanol or methyl isobutyl </w:t>
      </w:r>
      <w:r w:rsidR="00126151">
        <w:rPr>
          <w:rFonts w:ascii="Times New Roman" w:hAnsi="Times New Roman" w:cs="Times New Roman"/>
        </w:rPr>
        <w:t>ketone</w:t>
      </w:r>
      <w:r w:rsidR="00126151">
        <w:rPr>
          <w:rFonts w:ascii="Times New Roman" w:hAnsi="Times New Roman" w:cs="Times New Roman"/>
          <w:lang w:val="en-US"/>
        </w:rPr>
        <w:t xml:space="preserve"> (</w:t>
      </w:r>
      <w:r>
        <w:rPr>
          <w:rFonts w:ascii="Times New Roman" w:hAnsi="Times New Roman" w:cs="Times New Roman"/>
          <w:lang w:val="en-US"/>
        </w:rPr>
        <w:t>MIBK)</w:t>
      </w:r>
      <w:r>
        <w:rPr>
          <w:rFonts w:ascii="Times New Roman" w:hAnsi="Times New Roman" w:cs="Times New Roman"/>
        </w:rPr>
        <w:t>, while complexes of the form NiL₂·2HL were formed in toluene, dichloromethane, chloroform, carbon tetrachloride, and cyclohexane. The calculated extraction constants contribute to developing more effective extraction strategies that support a stable and sustainable nickel supply for advanced technology sectors.</w:t>
      </w:r>
      <w:r>
        <w:rPr>
          <w:rFonts w:ascii="Times New Roman" w:hAnsi="Times New Roman" w:cs="Times New Roman"/>
        </w:rPr>
        <w:br/>
      </w:r>
    </w:p>
    <w:p w14:paraId="07F76F2F" w14:textId="77777777" w:rsidR="00B544FD" w:rsidRDefault="00B544FD">
      <w:pPr>
        <w:spacing w:line="240" w:lineRule="auto"/>
        <w:ind w:left="709" w:right="805" w:firstLine="720"/>
        <w:jc w:val="both"/>
        <w:rPr>
          <w:rFonts w:ascii="Times New Roman" w:hAnsi="Times New Roman" w:cs="Times New Roman"/>
          <w:i/>
          <w:iCs/>
        </w:rPr>
      </w:pPr>
      <w:r>
        <w:rPr>
          <w:rFonts w:ascii="Times New Roman" w:hAnsi="Times New Roman" w:cs="Times New Roman"/>
          <w:i/>
          <w:iCs/>
          <w:lang w:val="en-US"/>
        </w:rPr>
        <w:t xml:space="preserve">(Received March </w:t>
      </w:r>
      <w:r>
        <w:rPr>
          <w:rFonts w:ascii="Times New Roman" w:hAnsi="Times New Roman" w:cs="Times New Roman"/>
          <w:i/>
          <w:iCs/>
        </w:rPr>
        <w:t>--</w:t>
      </w:r>
      <w:r>
        <w:rPr>
          <w:rFonts w:ascii="Times New Roman" w:hAnsi="Times New Roman" w:cs="Times New Roman"/>
          <w:i/>
          <w:iCs/>
          <w:lang w:val="en-US"/>
        </w:rPr>
        <w:t>, 202</w:t>
      </w:r>
      <w:r>
        <w:rPr>
          <w:rFonts w:ascii="Times New Roman" w:hAnsi="Times New Roman" w:cs="Times New Roman"/>
          <w:i/>
          <w:iCs/>
        </w:rPr>
        <w:t>5</w:t>
      </w:r>
      <w:r>
        <w:rPr>
          <w:rFonts w:ascii="Times New Roman" w:hAnsi="Times New Roman" w:cs="Times New Roman"/>
          <w:i/>
          <w:iCs/>
          <w:lang w:val="en-US"/>
        </w:rPr>
        <w:t xml:space="preserve">; Accepted July </w:t>
      </w:r>
      <w:r>
        <w:rPr>
          <w:rFonts w:ascii="Times New Roman" w:hAnsi="Times New Roman" w:cs="Times New Roman"/>
          <w:i/>
          <w:iCs/>
        </w:rPr>
        <w:t>--</w:t>
      </w:r>
      <w:r>
        <w:rPr>
          <w:rFonts w:ascii="Times New Roman" w:hAnsi="Times New Roman" w:cs="Times New Roman"/>
          <w:i/>
          <w:iCs/>
          <w:lang w:val="en-US"/>
        </w:rPr>
        <w:t>, 202</w:t>
      </w:r>
      <w:r>
        <w:rPr>
          <w:rFonts w:ascii="Times New Roman" w:hAnsi="Times New Roman" w:cs="Times New Roman"/>
          <w:i/>
          <w:iCs/>
        </w:rPr>
        <w:t>6</w:t>
      </w:r>
      <w:r>
        <w:rPr>
          <w:rFonts w:ascii="Times New Roman" w:hAnsi="Times New Roman" w:cs="Times New Roman"/>
          <w:i/>
          <w:iCs/>
          <w:lang w:val="en-US"/>
        </w:rPr>
        <w:t>)</w:t>
      </w:r>
    </w:p>
    <w:p w14:paraId="3A711466" w14:textId="77777777" w:rsidR="00B544FD" w:rsidRDefault="00B544FD">
      <w:pPr>
        <w:spacing w:line="240" w:lineRule="auto"/>
        <w:ind w:left="709" w:right="805" w:firstLine="720"/>
        <w:jc w:val="both"/>
        <w:rPr>
          <w:rFonts w:ascii="Times New Roman" w:hAnsi="Times New Roman" w:cs="Times New Roman"/>
          <w:i/>
          <w:iCs/>
        </w:rPr>
      </w:pPr>
      <w:r>
        <w:rPr>
          <w:rFonts w:ascii="Times New Roman" w:hAnsi="Times New Roman" w:cs="Times New Roman"/>
          <w:i/>
          <w:iCs/>
        </w:rPr>
        <w:t xml:space="preserve">Keywords: Di(2-ethylhexyl) phosphoric acid, nickel (II) ions, liquid-liquid extraction, </w:t>
      </w:r>
      <w:r w:rsidR="00B5099B">
        <w:rPr>
          <w:rFonts w:ascii="Times New Roman" w:hAnsi="Times New Roman" w:cs="Times New Roman"/>
          <w:i/>
          <w:iCs/>
        </w:rPr>
        <w:t>Sulfate</w:t>
      </w:r>
      <w:r>
        <w:rPr>
          <w:rFonts w:ascii="Times New Roman" w:hAnsi="Times New Roman" w:cs="Times New Roman"/>
          <w:i/>
          <w:iCs/>
        </w:rPr>
        <w:t xml:space="preserve"> medium, pH, extractant concentration, diluent choice.</w:t>
      </w:r>
    </w:p>
    <w:p w14:paraId="1F285AFC" w14:textId="77777777" w:rsidR="00B544FD" w:rsidRDefault="00B544FD">
      <w:pPr>
        <w:pStyle w:val="1"/>
        <w:spacing w:line="240" w:lineRule="auto"/>
        <w:ind w:firstLine="720"/>
        <w:jc w:val="both"/>
        <w:rPr>
          <w:color w:val="000000"/>
        </w:rPr>
      </w:pPr>
      <w:r>
        <w:rPr>
          <w:color w:val="000000"/>
        </w:rPr>
        <w:t>Introduction:</w:t>
      </w:r>
    </w:p>
    <w:p w14:paraId="6A37256C" w14:textId="77777777" w:rsidR="00B544FD" w:rsidRDefault="00B544FD">
      <w:pPr>
        <w:pStyle w:val="a9"/>
        <w:spacing w:before="0" w:beforeAutospacing="0" w:after="0" w:afterAutospacing="0"/>
        <w:ind w:firstLine="720"/>
        <w:jc w:val="both"/>
        <w:rPr>
          <w:color w:val="000000"/>
        </w:rPr>
      </w:pPr>
      <w:r>
        <w:rPr>
          <w:color w:val="000000"/>
        </w:rPr>
        <w:t>Solvent extraction plays a central role in the nickel processing industry, offering an advanced approach for isolating and refining nickel from its raw materials. The need for highly pure nickel continues to rise, particularly due to its essential use in high-performance alloys, modern battery technologies, and a wide range of other technological applications. As industries pursue higher efficiency and more sustainable practices, improving nickel extraction methods has become increasingly important.</w:t>
      </w:r>
    </w:p>
    <w:p w14:paraId="60A3A30F" w14:textId="77777777" w:rsidR="00B544FD" w:rsidRDefault="00B544FD">
      <w:pPr>
        <w:pStyle w:val="a9"/>
        <w:spacing w:before="0" w:beforeAutospacing="0" w:after="0" w:afterAutospacing="0"/>
        <w:ind w:firstLine="720"/>
        <w:jc w:val="both"/>
        <w:rPr>
          <w:color w:val="000000"/>
        </w:rPr>
      </w:pPr>
      <w:r>
        <w:rPr>
          <w:color w:val="000000"/>
        </w:rPr>
        <w:t>Beyond achieving high purity, solvent extraction also supports environmental sustainability. Conventional techniques for obtaining nickel frequently rely on strong chemicals and generate considerable amounts of waste, leading to ecological concerns [1–4].</w:t>
      </w:r>
    </w:p>
    <w:p w14:paraId="00B355D6" w14:textId="77777777" w:rsidR="00B544FD" w:rsidRDefault="00B544FD">
      <w:pPr>
        <w:pStyle w:val="a9"/>
        <w:spacing w:before="0" w:beforeAutospacing="0" w:after="0" w:afterAutospacing="0"/>
        <w:ind w:firstLine="720"/>
        <w:jc w:val="both"/>
        <w:rPr>
          <w:color w:val="000000"/>
        </w:rPr>
      </w:pPr>
      <w:r>
        <w:rPr>
          <w:color w:val="000000"/>
        </w:rPr>
        <w:t xml:space="preserve">Di(2-ethylhexyl) phosphoric acid is a key extractant widely recognized for its strong performance in solvent extraction systems. Within the two-phase extraction environment, its distinctive chemical behavior allows it to selectively bind and separate </w:t>
      </w:r>
      <w:r>
        <w:rPr>
          <w:color w:val="000000"/>
        </w:rPr>
        <w:lastRenderedPageBreak/>
        <w:t xml:space="preserve">Ni(II) ions from sulfate solutions. This selectivity arises from controlled differences in solubility, where the distribution of nickel between phases is intentionally adjusted to achieve high purity. Because </w:t>
      </w:r>
      <w:r w:rsidR="00B5099B" w:rsidRPr="00B5099B">
        <w:rPr>
          <w:color w:val="000000"/>
          <w:highlight w:val="yellow"/>
        </w:rPr>
        <w:t>Di(2-ethylhexyl) phosphoric acid</w:t>
      </w:r>
      <w:r>
        <w:rPr>
          <w:color w:val="000000"/>
        </w:rPr>
        <w:t xml:space="preserve"> can accurately recognize and extract nickel ions, the resulting product can meet the rigorous quality standards demanded by today’s industrial applications [5–10].</w:t>
      </w:r>
    </w:p>
    <w:p w14:paraId="7AF0AEFB" w14:textId="77777777" w:rsidR="00B544FD" w:rsidRDefault="00B544FD">
      <w:pPr>
        <w:pStyle w:val="a9"/>
        <w:spacing w:before="0" w:beforeAutospacing="0" w:after="0" w:afterAutospacing="0"/>
        <w:ind w:firstLine="720"/>
        <w:jc w:val="both"/>
        <w:rPr>
          <w:color w:val="000000"/>
        </w:rPr>
      </w:pPr>
      <w:r>
        <w:rPr>
          <w:color w:val="000000"/>
        </w:rPr>
        <w:t>Diluents play an essential role in shaping the physicochemical conditions surrounding the extractant, which in turn affects both the efficiency and selectivity of the extraction system [8, 11, 12]. Choosing an appropriate diluent can markedly influence the performance of the process, helping to optimize extraction yields while also reducing the overall consumption of chemical reagents [13–16].</w:t>
      </w:r>
    </w:p>
    <w:p w14:paraId="7E75D4E2" w14:textId="77777777" w:rsidR="00B544FD" w:rsidRDefault="00B544FD">
      <w:pPr>
        <w:pStyle w:val="a9"/>
        <w:spacing w:before="0" w:beforeAutospacing="0" w:after="0" w:afterAutospacing="0"/>
        <w:ind w:firstLine="720"/>
        <w:jc w:val="both"/>
        <w:rPr>
          <w:color w:val="000000"/>
        </w:rPr>
      </w:pPr>
      <w:r>
        <w:rPr>
          <w:color w:val="000000"/>
        </w:rPr>
        <w:t>The outcomes of this study hold significance well beyond controlled experimental settings. They provide valuable insights for improving nickel extraction strategies, helping the industry satisfy rising global demand for this critical metal while maintaining commitments to sustainability and operational efficiency. As modern technologies increasingly depend on high-purity nickel, the role of solvent extraction as a dependable and advanced processing method becomes even more vital [9, 17–20].</w:t>
      </w:r>
    </w:p>
    <w:p w14:paraId="0974D7AB" w14:textId="77777777" w:rsidR="00B544FD" w:rsidRDefault="00B544FD">
      <w:pPr>
        <w:pStyle w:val="a9"/>
        <w:spacing w:before="0" w:beforeAutospacing="0" w:after="0" w:afterAutospacing="0"/>
        <w:ind w:firstLine="720"/>
        <w:jc w:val="both"/>
        <w:rPr>
          <w:color w:val="000000"/>
        </w:rPr>
      </w:pPr>
      <w:r>
        <w:rPr>
          <w:color w:val="000000"/>
        </w:rPr>
        <w:t>In this work, we investigated the main parameters that determine the performance of liquid–liquid extraction. A central part of the study involved assessing how solvent selection specifically a solvent that does not mix with the feed phase and exhibits strong affinity for the desired solute can greatly improve extraction outcomes. We also examined the effects of pH and reagent concentration. Through evaluating these factors, our goal was to establish the conditions that deliver the highest efficiency and product purity within a liquid–liquid extraction system.</w:t>
      </w:r>
    </w:p>
    <w:p w14:paraId="62826E72" w14:textId="77777777" w:rsidR="00B544FD" w:rsidRDefault="00B544FD">
      <w:pPr>
        <w:pStyle w:val="1"/>
        <w:spacing w:line="240" w:lineRule="auto"/>
        <w:ind w:firstLine="720"/>
        <w:jc w:val="both"/>
        <w:rPr>
          <w:bCs/>
          <w:color w:val="000000"/>
        </w:rPr>
      </w:pPr>
      <w:r>
        <w:rPr>
          <w:bCs/>
          <w:color w:val="000000"/>
        </w:rPr>
        <w:t>Experimental Section</w:t>
      </w:r>
    </w:p>
    <w:p w14:paraId="40D3F583" w14:textId="77777777" w:rsidR="00B544FD" w:rsidRDefault="00B544FD">
      <w:pPr>
        <w:pStyle w:val="2"/>
        <w:spacing w:line="240" w:lineRule="auto"/>
        <w:ind w:firstLine="720"/>
        <w:jc w:val="both"/>
        <w:rPr>
          <w:color w:val="000000"/>
        </w:rPr>
      </w:pPr>
      <w:r>
        <w:rPr>
          <w:color w:val="000000"/>
        </w:rPr>
        <w:t>Products and Solutions</w:t>
      </w:r>
    </w:p>
    <w:p w14:paraId="1E7E8439" w14:textId="77777777" w:rsidR="00342272" w:rsidRDefault="00B544FD" w:rsidP="00342272">
      <w:pPr>
        <w:pStyle w:val="a9"/>
        <w:ind w:firstLine="720"/>
        <w:jc w:val="both"/>
        <w:rPr>
          <w:color w:val="000000"/>
        </w:rPr>
      </w:pPr>
      <w:r>
        <w:rPr>
          <w:color w:val="000000"/>
          <w:highlight w:val="yellow"/>
        </w:rPr>
        <w:t xml:space="preserve"> Di(2-ethylhexyl) phosphoric acid of analytical grade was obtained from </w:t>
      </w:r>
      <w:r>
        <w:rPr>
          <w:b/>
          <w:bCs/>
          <w:color w:val="000000"/>
          <w:highlight w:val="yellow"/>
        </w:rPr>
        <w:t>Fluka (Buchs, Switzerland)</w:t>
      </w:r>
      <w:r>
        <w:rPr>
          <w:color w:val="000000"/>
          <w:highlight w:val="yellow"/>
        </w:rPr>
        <w:t xml:space="preserve"> and used without further purification. Organic diluents, 1-octanol and chloroform, were supplied by </w:t>
      </w:r>
      <w:r>
        <w:rPr>
          <w:b/>
          <w:bCs/>
          <w:color w:val="000000"/>
          <w:highlight w:val="yellow"/>
        </w:rPr>
        <w:t>Sigma-Aldrich (St. Louis, MO, USA)</w:t>
      </w:r>
      <w:r>
        <w:rPr>
          <w:color w:val="000000"/>
          <w:highlight w:val="yellow"/>
        </w:rPr>
        <w:t xml:space="preserve">. The nickel feed solution was prepared using nickel sulfate (NiSO₄·6H₂O) and sodium sulfate (Na₂SO₄), both obtained from </w:t>
      </w:r>
      <w:r>
        <w:rPr>
          <w:b/>
          <w:bCs/>
          <w:color w:val="000000"/>
          <w:highlight w:val="yellow"/>
        </w:rPr>
        <w:t>Fluka (Buchs, Switzerland)</w:t>
      </w:r>
      <w:r>
        <w:rPr>
          <w:color w:val="000000"/>
          <w:highlight w:val="yellow"/>
        </w:rPr>
        <w:t>.</w:t>
      </w:r>
      <w:r w:rsidR="00342272" w:rsidRPr="00342272">
        <w:rPr>
          <w:color w:val="000000"/>
        </w:rPr>
        <w:t xml:space="preserve"> </w:t>
      </w:r>
      <w:r w:rsidR="00342272">
        <w:rPr>
          <w:color w:val="000000"/>
        </w:rPr>
        <w:t>both obtained from Fluka, which provided the required ionic environment.</w:t>
      </w:r>
    </w:p>
    <w:p w14:paraId="76A34C2E" w14:textId="77777777" w:rsidR="00B544FD" w:rsidRDefault="00B544FD">
      <w:pPr>
        <w:pStyle w:val="2"/>
        <w:spacing w:line="240" w:lineRule="auto"/>
        <w:ind w:firstLine="720"/>
        <w:jc w:val="both"/>
        <w:rPr>
          <w:color w:val="000000"/>
        </w:rPr>
      </w:pPr>
      <w:r>
        <w:rPr>
          <w:color w:val="000000"/>
        </w:rPr>
        <w:t>Techniques and Equipment</w:t>
      </w:r>
    </w:p>
    <w:p w14:paraId="71AE79DE" w14:textId="77777777" w:rsidR="00B544FD" w:rsidRDefault="00B544FD">
      <w:pPr>
        <w:pStyle w:val="a9"/>
        <w:ind w:firstLine="720"/>
        <w:jc w:val="both"/>
        <w:rPr>
          <w:color w:val="000000"/>
        </w:rPr>
      </w:pPr>
      <w:r>
        <w:rPr>
          <w:color w:val="000000"/>
          <w:highlight w:val="yellow"/>
        </w:rPr>
        <w:t xml:space="preserve">The nickel content in the aqueous phase was measured using a </w:t>
      </w:r>
      <w:r>
        <w:rPr>
          <w:b/>
          <w:bCs/>
          <w:color w:val="000000"/>
          <w:highlight w:val="yellow"/>
        </w:rPr>
        <w:t>PYE UNICAM SP6-350 visible spectrophotometer (Pye Unicam Ltd., Cambridge, UK)</w:t>
      </w:r>
      <w:r>
        <w:rPr>
          <w:color w:val="000000"/>
          <w:highlight w:val="yellow"/>
        </w:rPr>
        <w:t xml:space="preserve">. Changes in pH were tracked using a </w:t>
      </w:r>
      <w:r>
        <w:rPr>
          <w:b/>
          <w:bCs/>
          <w:color w:val="000000"/>
          <w:highlight w:val="yellow"/>
        </w:rPr>
        <w:t>NAHITA 903 pH meter (Auxilab S.L., Navarra, Spain)</w:t>
      </w:r>
      <w:r>
        <w:rPr>
          <w:color w:val="000000"/>
          <w:highlight w:val="yellow"/>
        </w:rPr>
        <w:t xml:space="preserve"> fitted with a glass electrode."</w:t>
      </w:r>
    </w:p>
    <w:p w14:paraId="4D862EE9" w14:textId="77777777" w:rsidR="00B544FD" w:rsidRDefault="00B544FD">
      <w:pPr>
        <w:pStyle w:val="2"/>
        <w:spacing w:line="240" w:lineRule="auto"/>
        <w:ind w:firstLine="720"/>
        <w:jc w:val="both"/>
        <w:rPr>
          <w:color w:val="000000"/>
        </w:rPr>
      </w:pPr>
      <w:r>
        <w:rPr>
          <w:color w:val="000000"/>
        </w:rPr>
        <w:t>Analytical Procedure for Extraction</w:t>
      </w:r>
    </w:p>
    <w:p w14:paraId="2FC284D3" w14:textId="77777777" w:rsidR="00DD3AA0" w:rsidRPr="00DD3AA0" w:rsidRDefault="00B544FD" w:rsidP="00DD3AA0">
      <w:pPr>
        <w:pStyle w:val="a9"/>
        <w:ind w:firstLine="720"/>
        <w:jc w:val="both"/>
        <w:rPr>
          <w:color w:val="000000"/>
        </w:rPr>
      </w:pPr>
      <w:r>
        <w:rPr>
          <w:color w:val="000000"/>
        </w:rPr>
        <w:t xml:space="preserve">Extraction </w:t>
      </w:r>
      <w:r w:rsidR="00DD3AA0" w:rsidRPr="00DD3AA0">
        <w:rPr>
          <w:color w:val="000000"/>
        </w:rPr>
        <w:t xml:space="preserve">To rigorously quantify the reliability of the calculated extraction parameters, standard uncertainties were evaluated for all fundamental physical measurements. The thermostatic control apparatus maintained the extraction temperature at </w:t>
      </w:r>
      <w:r w:rsidR="00DD3AA0" w:rsidRPr="008B3AB7">
        <w:rPr>
          <w:position w:val="-10"/>
          <w:highlight w:val="yellow"/>
        </w:rPr>
        <w:object w:dxaOrig="1300" w:dyaOrig="360" w14:anchorId="3EB435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18pt" o:ole="">
            <v:imagedata r:id="rId7" o:title=""/>
          </v:shape>
          <o:OLEObject Type="Embed" ProgID="Equation.DSMT4" ShapeID="_x0000_i1025" DrawAspect="Content" ObjectID="_1847254608" r:id="rId8"/>
        </w:object>
      </w:r>
      <w:r w:rsidR="00DD3AA0" w:rsidRPr="00DD3AA0">
        <w:rPr>
          <w:color w:val="000000"/>
        </w:rPr>
        <w:t xml:space="preserve">. The initial nickel concentration, prepared via class-A volumetric standards, was determined to be </w:t>
      </w:r>
      <w:r w:rsidR="00DD3AA0" w:rsidRPr="008B3AB7">
        <w:rPr>
          <w:position w:val="-10"/>
          <w:highlight w:val="yellow"/>
        </w:rPr>
        <w:object w:dxaOrig="2120" w:dyaOrig="360" w14:anchorId="22635FE1">
          <v:shape id="_x0000_i1026" type="#_x0000_t75" style="width:105.75pt;height:18pt" o:ole="">
            <v:imagedata r:id="rId9" o:title=""/>
          </v:shape>
          <o:OLEObject Type="Embed" ProgID="Equation.DSMT4" ShapeID="_x0000_i1026" DrawAspect="Content" ObjectID="_1847254609" r:id="rId10"/>
        </w:object>
      </w:r>
      <w:r w:rsidR="00DD3AA0" w:rsidRPr="00DD3AA0">
        <w:rPr>
          <w:color w:val="000000"/>
        </w:rPr>
        <w:t xml:space="preserve">. Through the mathematical propagation of instrumental photometric errors (estimated at </w:t>
      </w:r>
      <w:r w:rsidR="00DD3AA0" w:rsidRPr="008B3AB7">
        <w:rPr>
          <w:position w:val="-6"/>
          <w:highlight w:val="yellow"/>
        </w:rPr>
        <w:object w:dxaOrig="740" w:dyaOrig="279" w14:anchorId="59620AC3">
          <v:shape id="_x0000_i1027" type="#_x0000_t75" style="width:36.75pt;height:14.25pt" o:ole="">
            <v:imagedata r:id="rId11" o:title=""/>
          </v:shape>
          <o:OLEObject Type="Embed" ProgID="Equation.DSMT4" ShapeID="_x0000_i1027" DrawAspect="Content" ObjectID="_1847254610" r:id="rId12"/>
        </w:object>
      </w:r>
      <w:r w:rsidR="00DD3AA0" w:rsidRPr="00DD3AA0">
        <w:rPr>
          <w:color w:val="000000"/>
        </w:rPr>
        <w:t xml:space="preserve"> absorbance units at 720 nm), the calculated relative uncertainties for the distribution coefficients (</w:t>
      </w:r>
      <w:r w:rsidR="008B3AB7" w:rsidRPr="00025957">
        <w:rPr>
          <w:position w:val="-4"/>
        </w:rPr>
        <w:object w:dxaOrig="260" w:dyaOrig="260" w14:anchorId="2143B462">
          <v:shape id="_x0000_i1028" type="#_x0000_t75" style="width:12.75pt;height:12.75pt" o:ole="">
            <v:imagedata r:id="rId13" o:title=""/>
          </v:shape>
          <o:OLEObject Type="Embed" ProgID="Equation.DSMT4" ShapeID="_x0000_i1028" DrawAspect="Content" ObjectID="_1847254611" r:id="rId14"/>
        </w:object>
      </w:r>
      <w:r w:rsidR="00DD3AA0" w:rsidRPr="00DD3AA0">
        <w:rPr>
          <w:color w:val="000000"/>
        </w:rPr>
        <w:t xml:space="preserve">) and </w:t>
      </w:r>
      <w:r w:rsidR="00DD3AA0" w:rsidRPr="00DD3AA0">
        <w:rPr>
          <w:color w:val="000000"/>
        </w:rPr>
        <w:lastRenderedPageBreak/>
        <w:t>overall extraction efficiencies (</w:t>
      </w:r>
      <w:r w:rsidR="008B3AB7" w:rsidRPr="008B3AB7">
        <w:rPr>
          <w:position w:val="-6"/>
        </w:rPr>
        <w:object w:dxaOrig="440" w:dyaOrig="279" w14:anchorId="3D6BC967">
          <v:shape id="_x0000_i1029" type="#_x0000_t75" style="width:21.75pt;height:14.25pt" o:ole="">
            <v:imagedata r:id="rId15" o:title=""/>
          </v:shape>
          <o:OLEObject Type="Embed" ProgID="Equation.DSMT4" ShapeID="_x0000_i1029" DrawAspect="Content" ObjectID="_1847254612" r:id="rId16"/>
        </w:object>
      </w:r>
      <w:r w:rsidR="00DD3AA0" w:rsidRPr="00DD3AA0">
        <w:rPr>
          <w:color w:val="000000"/>
        </w:rPr>
        <w:t xml:space="preserve">) were established to range between </w:t>
      </w:r>
      <w:r w:rsidR="008B3AB7" w:rsidRPr="008B3AB7">
        <w:rPr>
          <w:position w:val="-6"/>
        </w:rPr>
        <w:object w:dxaOrig="380" w:dyaOrig="279" w14:anchorId="6B1A37ED">
          <v:shape id="_x0000_i1030" type="#_x0000_t75" style="width:18.75pt;height:14.25pt" o:ole="">
            <v:imagedata r:id="rId17" o:title=""/>
          </v:shape>
          <o:OLEObject Type="Embed" ProgID="Equation.DSMT4" ShapeID="_x0000_i1030" DrawAspect="Content" ObjectID="_1847254613" r:id="rId18"/>
        </w:object>
      </w:r>
      <w:r w:rsidR="00DD3AA0" w:rsidRPr="00DD3AA0">
        <w:rPr>
          <w:color w:val="000000"/>
        </w:rPr>
        <w:t xml:space="preserve"> and </w:t>
      </w:r>
      <w:r w:rsidR="008B3AB7" w:rsidRPr="008B3AB7">
        <w:rPr>
          <w:position w:val="-6"/>
        </w:rPr>
        <w:object w:dxaOrig="400" w:dyaOrig="279" w14:anchorId="67E0722F">
          <v:shape id="_x0000_i1031" type="#_x0000_t75" style="width:20.25pt;height:14.25pt" o:ole="">
            <v:imagedata r:id="rId19" o:title=""/>
          </v:shape>
          <o:OLEObject Type="Embed" ProgID="Equation.DSMT4" ShapeID="_x0000_i1031" DrawAspect="Content" ObjectID="_1847254614" r:id="rId20"/>
        </w:object>
      </w:r>
      <w:r w:rsidR="00DD3AA0" w:rsidRPr="00DD3AA0">
        <w:rPr>
          <w:color w:val="000000"/>
        </w:rPr>
        <w:t xml:space="preserve">. All subsequent data evaluation and stoichiometric modeling </w:t>
      </w:r>
      <w:r w:rsidR="00C65857" w:rsidRPr="00DD3AA0">
        <w:rPr>
          <w:color w:val="000000"/>
        </w:rPr>
        <w:t>incorporate</w:t>
      </w:r>
      <w:r w:rsidR="00DD3AA0" w:rsidRPr="00DD3AA0">
        <w:rPr>
          <w:color w:val="000000"/>
        </w:rPr>
        <w:t xml:space="preserve"> these statistical uncertainty boundaries to ensure empirical robustness.</w:t>
      </w:r>
    </w:p>
    <w:p w14:paraId="546E66DF" w14:textId="77777777" w:rsidR="00B544FD" w:rsidRDefault="00B544FD">
      <w:pPr>
        <w:pStyle w:val="a9"/>
        <w:ind w:firstLine="720"/>
        <w:jc w:val="both"/>
        <w:rPr>
          <w:color w:val="000000"/>
        </w:rPr>
      </w:pPr>
      <w:r>
        <w:rPr>
          <w:color w:val="000000"/>
        </w:rPr>
        <w:t xml:space="preserve">After completing a mixing period of 30 minutes, the two-phase system was considered to have effectively reached a state of extraction equilibrium, ensuring that no significant changes in metal distribution would occur with further agitation. At this stage, carefully measured aliquots of the aqueous phase were withdrawn in order to evaluate the distribution coefficient of </w:t>
      </w:r>
      <w:r w:rsidR="00C65857">
        <w:rPr>
          <w:color w:val="000000"/>
        </w:rPr>
        <w:t>Ni (</w:t>
      </w:r>
      <w:r>
        <w:rPr>
          <w:color w:val="000000"/>
        </w:rPr>
        <w:t>II) at the predetermined pH conditions. These samples allowed for an accurate assessment of the amount of nickel that remained in the aqueous medium after equilibrium had been established.</w:t>
      </w:r>
    </w:p>
    <w:p w14:paraId="2A6D5925" w14:textId="77777777" w:rsidR="00B544FD" w:rsidRDefault="00B544FD">
      <w:pPr>
        <w:pStyle w:val="a9"/>
        <w:ind w:firstLine="720"/>
        <w:jc w:val="both"/>
        <w:rPr>
          <w:color w:val="000000"/>
        </w:rPr>
      </w:pPr>
      <w:r>
        <w:rPr>
          <w:color w:val="000000"/>
        </w:rPr>
        <w:t xml:space="preserve">To quantify the concentration of </w:t>
      </w:r>
      <w:r w:rsidR="00C65857">
        <w:rPr>
          <w:color w:val="000000"/>
        </w:rPr>
        <w:t>Ni (</w:t>
      </w:r>
      <w:r>
        <w:rPr>
          <w:color w:val="000000"/>
        </w:rPr>
        <w:t xml:space="preserve">II) transferred to the organic phase, the initial nickel concentration in the aqueous solution was compared with the concentration measured after extraction. The difference between these two values was used to calculate the amount of nickel loaded into the organic phase, thereby enabling determination of the extraction efficiency. </w:t>
      </w:r>
      <w:r w:rsidRPr="006C2EDC">
        <w:rPr>
          <w:color w:val="000000"/>
          <w:highlight w:val="yellow"/>
        </w:rPr>
        <w:t>This indirect method is commonly employed in solvent-extraction studies, as it provides reliable information on metal partitioning without the need to directly analyze the organic phase, which can sometimes be challenging due to matrix effects</w:t>
      </w:r>
      <w:r w:rsidR="006C2EDC" w:rsidRPr="006C2EDC">
        <w:rPr>
          <w:color w:val="000000"/>
          <w:highlight w:val="yellow"/>
        </w:rPr>
        <w:t>[32]</w:t>
      </w:r>
      <w:r w:rsidRPr="006C2EDC">
        <w:rPr>
          <w:color w:val="000000"/>
          <w:highlight w:val="yellow"/>
        </w:rPr>
        <w:t>.</w:t>
      </w:r>
    </w:p>
    <w:p w14:paraId="4001BC01" w14:textId="77777777" w:rsidR="00B544FD" w:rsidRDefault="00B544FD">
      <w:pPr>
        <w:pStyle w:val="a9"/>
        <w:ind w:firstLine="720"/>
        <w:jc w:val="both"/>
        <w:rPr>
          <w:color w:val="000000"/>
        </w:rPr>
      </w:pPr>
      <w:r>
        <w:rPr>
          <w:color w:val="000000"/>
        </w:rPr>
        <w:t xml:space="preserve">For spectrophotometric measurements, it is important to note that nickel ions display their highest absorbance at a wavelength of approximately 720 nm. This characteristic absorbance peak serves as a basis for quantitative analysis, allowing the use of UV–Vis spectrophotometry to determine </w:t>
      </w:r>
      <w:r w:rsidR="00C65857">
        <w:rPr>
          <w:color w:val="000000"/>
        </w:rPr>
        <w:t>Ni (</w:t>
      </w:r>
      <w:r>
        <w:rPr>
          <w:color w:val="000000"/>
        </w:rPr>
        <w:t>II) concentrations with good precision and reproducibility.</w:t>
      </w:r>
    </w:p>
    <w:p w14:paraId="1D964ADB" w14:textId="77777777" w:rsidR="00B544FD" w:rsidRDefault="00B544FD">
      <w:pPr>
        <w:pStyle w:val="2"/>
      </w:pPr>
      <w:r>
        <w:t>Software</w:t>
      </w:r>
    </w:p>
    <w:p w14:paraId="29C27AE4" w14:textId="77777777" w:rsidR="00B544FD" w:rsidRDefault="00B544FD">
      <w:pPr>
        <w:ind w:firstLine="720"/>
        <w:jc w:val="both"/>
        <w:rPr>
          <w:rFonts w:ascii="Times New Roman" w:hAnsi="Times New Roman" w:cs="Times New Roman"/>
          <w:sz w:val="24"/>
          <w:szCs w:val="24"/>
          <w:lang w:val="en-US"/>
        </w:rPr>
      </w:pPr>
      <w:r>
        <w:rPr>
          <w:rFonts w:ascii="Times New Roman" w:hAnsi="Times New Roman" w:cs="Times New Roman"/>
          <w:sz w:val="24"/>
          <w:szCs w:val="24"/>
          <w:highlight w:val="yellow"/>
          <w:lang w:val="en-US"/>
        </w:rPr>
        <w:t xml:space="preserve">Data analysis and graphical representations were performed using </w:t>
      </w:r>
      <w:r>
        <w:rPr>
          <w:rFonts w:ascii="Times New Roman" w:hAnsi="Times New Roman" w:cs="Times New Roman"/>
          <w:b/>
          <w:bCs/>
          <w:sz w:val="24"/>
          <w:szCs w:val="24"/>
          <w:highlight w:val="yellow"/>
          <w:lang w:val="en-US"/>
        </w:rPr>
        <w:t>OriginPro 8.5 (OriginLab Corporation, Northampton, MA, USA)</w:t>
      </w:r>
      <w:r>
        <w:rPr>
          <w:rFonts w:ascii="Times New Roman" w:hAnsi="Times New Roman" w:cs="Times New Roman"/>
          <w:sz w:val="24"/>
          <w:szCs w:val="24"/>
          <w:highlight w:val="yellow"/>
          <w:lang w:val="en-US"/>
        </w:rPr>
        <w:t xml:space="preserve">. Chemical structures were drawn using </w:t>
      </w:r>
      <w:r>
        <w:rPr>
          <w:rFonts w:ascii="Times New Roman" w:hAnsi="Times New Roman" w:cs="Times New Roman"/>
          <w:b/>
          <w:bCs/>
          <w:sz w:val="24"/>
          <w:szCs w:val="24"/>
          <w:highlight w:val="yellow"/>
          <w:lang w:val="en-US"/>
        </w:rPr>
        <w:t>ChemDraw Ultra 6.0 (CambridgeSoft, Cambridge, MA, USA)</w:t>
      </w:r>
      <w:r>
        <w:rPr>
          <w:rFonts w:ascii="Times New Roman" w:hAnsi="Times New Roman" w:cs="Times New Roman"/>
          <w:sz w:val="24"/>
          <w:szCs w:val="24"/>
          <w:highlight w:val="yellow"/>
          <w:lang w:val="en-US"/>
        </w:rPr>
        <w:t>.</w:t>
      </w:r>
    </w:p>
    <w:p w14:paraId="24F153AC" w14:textId="77777777" w:rsidR="00B544FD" w:rsidRDefault="00B544FD">
      <w:pPr>
        <w:pStyle w:val="1"/>
        <w:spacing w:line="240" w:lineRule="auto"/>
        <w:ind w:firstLine="720"/>
        <w:jc w:val="both"/>
        <w:rPr>
          <w:bCs/>
          <w:color w:val="000000"/>
        </w:rPr>
      </w:pPr>
      <w:r>
        <w:rPr>
          <w:bCs/>
          <w:color w:val="000000"/>
        </w:rPr>
        <w:t>Results and Discussion</w:t>
      </w:r>
    </w:p>
    <w:p w14:paraId="5923B4F7" w14:textId="77777777" w:rsidR="00B544FD" w:rsidRDefault="00B544FD">
      <w:pPr>
        <w:pStyle w:val="2"/>
        <w:spacing w:line="240" w:lineRule="auto"/>
        <w:ind w:firstLine="720"/>
        <w:jc w:val="both"/>
        <w:rPr>
          <w:color w:val="000000"/>
        </w:rPr>
      </w:pPr>
      <w:r>
        <w:rPr>
          <w:color w:val="000000"/>
        </w:rPr>
        <w:t>Effects of pH and Concentration on the Extraction of Nickel (II)</w:t>
      </w:r>
    </w:p>
    <w:p w14:paraId="49E24C82" w14:textId="77777777" w:rsidR="00B544FD" w:rsidRDefault="00B544FD">
      <w:pPr>
        <w:pStyle w:val="a9"/>
        <w:ind w:firstLine="720"/>
        <w:jc w:val="both"/>
        <w:rPr>
          <w:color w:val="000000"/>
        </w:rPr>
      </w:pPr>
      <w:r>
        <w:rPr>
          <w:color w:val="000000"/>
        </w:rPr>
        <w:t xml:space="preserve">The extraction of Ni²⁺ ions from sulfate-based aqueous solutions using D2EHPA dissolved in low-polarity organic solvents such as toluene, benzene, chloroform, kerosene, or other hydrocarbon diluents is controlled by a well-defined chemical equilibrium that characterizes this extraction system. Within these nonpolar environments, molecules of </w:t>
      </w:r>
      <w:r w:rsidR="000079FF" w:rsidRPr="00B85055">
        <w:rPr>
          <w:color w:val="000000"/>
          <w:highlight w:val="yellow"/>
          <w:lang w:val="en-GB"/>
        </w:rPr>
        <w:t>Di(2-ethylhexyl) phosphoric acid</w:t>
      </w:r>
      <w:r>
        <w:rPr>
          <w:color w:val="000000"/>
        </w:rPr>
        <w:t xml:space="preserve"> tend to associate through hydrogen bonding, forming stable dimeric structures represented as (HL)₂ [21]. These dimers act as the active extraction species responsible for transferring nickel ions from the aqueous phase into the organic phase.</w:t>
      </w:r>
    </w:p>
    <w:p w14:paraId="099DFCD5" w14:textId="77777777" w:rsidR="00B544FD" w:rsidRDefault="00B544FD" w:rsidP="00C43453">
      <w:pPr>
        <w:pStyle w:val="a9"/>
        <w:ind w:firstLine="720"/>
        <w:jc w:val="both"/>
        <w:rPr>
          <w:color w:val="000000"/>
        </w:rPr>
      </w:pPr>
      <w:r>
        <w:rPr>
          <w:color w:val="000000"/>
        </w:rPr>
        <w:t xml:space="preserve">When the aqueous and organic phases are shaken or otherwise brought into intimate contact, Ni²⁺ ions encounter the dimeric extractant species residing in the organic layer. The interaction between the nickel ions and the </w:t>
      </w:r>
      <w:r w:rsidR="00C43453" w:rsidRPr="00C43453">
        <w:rPr>
          <w:color w:val="000000"/>
          <w:highlight w:val="yellow"/>
          <w:lang w:val="en-GB"/>
        </w:rPr>
        <w:t xml:space="preserve">Di(2-ethylhexyl) phosphoric acid </w:t>
      </w:r>
      <w:r>
        <w:rPr>
          <w:color w:val="000000"/>
        </w:rPr>
        <w:t xml:space="preserve">dimers leads to the formation of a neutral metal–extractant complex, which is preferentially soluble in the organic phase. This process follows an ion-exchange pathway in which the extractant donates protons to the aqueous medium while simultaneously binding the metal ion. As the neutral complex partitions into the organic phase, protons </w:t>
      </w:r>
      <w:r>
        <w:rPr>
          <w:color w:val="000000"/>
        </w:rPr>
        <w:lastRenderedPageBreak/>
        <w:t xml:space="preserve">are released back into the aqueous solution, causing a shift in solution acidity. Consequently, both the direction and the extent of the extraction equilibrium are strongly dependent on several parameters, including the polarity of the organic solvent, the degree of aggregation of </w:t>
      </w:r>
      <w:r w:rsidR="000079FF" w:rsidRPr="00B85055">
        <w:rPr>
          <w:color w:val="000000"/>
          <w:highlight w:val="yellow"/>
          <w:lang w:val="en-GB"/>
        </w:rPr>
        <w:t>Di(2-ethylhexyl) phosphoric acid</w:t>
      </w:r>
      <w:r>
        <w:rPr>
          <w:color w:val="000000"/>
        </w:rPr>
        <w:t>, and particularly the pH of the aqueous solution. Even small adjustments in pH can significantly modify the driving force of the exchange reaction, thereby altering the overall extraction efficiency.</w:t>
      </w:r>
    </w:p>
    <w:p w14:paraId="0CF9368C" w14:textId="77777777" w:rsidR="00B544FD" w:rsidRDefault="00B544FD">
      <w:pPr>
        <w:pStyle w:val="a9"/>
        <w:ind w:firstLine="720"/>
        <w:jc w:val="both"/>
        <w:rPr>
          <w:color w:val="000000"/>
        </w:rPr>
      </w:pPr>
      <w:r>
        <w:rPr>
          <w:color w:val="000000"/>
        </w:rPr>
        <w:t xml:space="preserve">In solvents with very low polarity, the metal–extractant complex often displays different coordination behavior from that observed in more polar diluents. The reduced dielectric constant of the medium affects not only the stability of the formed complex but also the number of extractant molecules required to surround and coordinate the Ni²⁺ ion. As a result, extraction systems using weakly polar solvents frequently exhibit complex stoichiometries, sometimes involving additional </w:t>
      </w:r>
      <w:r w:rsidR="000079FF" w:rsidRPr="00B85055">
        <w:rPr>
          <w:color w:val="000000"/>
          <w:highlight w:val="yellow"/>
          <w:lang w:val="en-GB"/>
        </w:rPr>
        <w:t>Di(2-ethylhexyl) phosphoric acid</w:t>
      </w:r>
      <w:r>
        <w:rPr>
          <w:color w:val="000000"/>
        </w:rPr>
        <w:t xml:space="preserve"> molecules to compensate for the reduced solvation capacity of the solvent. This variability in solvent environment explains why different structural forms and coordination patterns of the nickel–</w:t>
      </w:r>
      <w:r w:rsidR="000079FF" w:rsidRPr="000079FF">
        <w:rPr>
          <w:color w:val="000000"/>
          <w:highlight w:val="yellow"/>
          <w:lang w:val="en-GB"/>
        </w:rPr>
        <w:t xml:space="preserve"> </w:t>
      </w:r>
      <w:r w:rsidR="000079FF" w:rsidRPr="00B85055">
        <w:rPr>
          <w:color w:val="000000"/>
          <w:highlight w:val="yellow"/>
          <w:lang w:val="en-GB"/>
        </w:rPr>
        <w:t>Di(2-ethylhexyl) phosphoric acid</w:t>
      </w:r>
      <w:r>
        <w:rPr>
          <w:color w:val="000000"/>
        </w:rPr>
        <w:t xml:space="preserve"> complex are commonly reported </w:t>
      </w:r>
      <w:r w:rsidR="000E7D47">
        <w:t>[22]</w:t>
      </w:r>
      <w:r>
        <w:t xml:space="preserve"> </w:t>
      </w:r>
      <w:r>
        <w:rPr>
          <w:color w:val="000000"/>
        </w:rPr>
        <w:t>.</w:t>
      </w:r>
      <w:r>
        <w:rPr>
          <w:color w:val="000000"/>
        </w:rPr>
        <w:br/>
        <w:t xml:space="preserve">     The extraction of Ni²⁺ ions from a sulfate-based aqueous solution by the acidic extractant </w:t>
      </w:r>
      <w:r w:rsidR="000079FF" w:rsidRPr="00B85055">
        <w:rPr>
          <w:color w:val="000000"/>
          <w:highlight w:val="yellow"/>
          <w:lang w:val="en-GB"/>
        </w:rPr>
        <w:t>Di(2-ethylhexyl) phosphoric acid</w:t>
      </w:r>
      <w:r>
        <w:rPr>
          <w:color w:val="000000"/>
        </w:rPr>
        <w:t xml:space="preserve">, when dissolved in organic solvents of low polarity such as toluene, benzene, chloroform, or alkanes, proceeds according to a well-defined equilibrium reaction. In such diluents, molecules of </w:t>
      </w:r>
      <w:r w:rsidR="000079FF" w:rsidRPr="00B85055">
        <w:rPr>
          <w:color w:val="000000"/>
          <w:highlight w:val="yellow"/>
          <w:lang w:val="en-GB"/>
        </w:rPr>
        <w:t>Di(2-ethylhexyl) phosphoric acid</w:t>
      </w:r>
      <w:r>
        <w:rPr>
          <w:color w:val="000000"/>
        </w:rPr>
        <w:t xml:space="preserve"> predominantly exist in a dimeric, hydrogen-bonded form denoted as (HL)₂. These dimers act as the reactive species that participate directly in the formation of the metal–extractant complex during the extraction process.</w:t>
      </w:r>
    </w:p>
    <w:p w14:paraId="4FAE510E" w14:textId="77777777" w:rsidR="00B544FD" w:rsidRDefault="00B544FD">
      <w:pPr>
        <w:pStyle w:val="a9"/>
        <w:ind w:firstLine="720"/>
        <w:jc w:val="both"/>
        <w:rPr>
          <w:color w:val="000000"/>
        </w:rPr>
      </w:pPr>
      <w:r>
        <w:rPr>
          <w:color w:val="000000"/>
        </w:rPr>
        <w:t>The overall extraction reaction can be represented as follows:</w:t>
      </w:r>
    </w:p>
    <w:p w14:paraId="6D6868C4" w14:textId="3285C3B4" w:rsidR="00B544FD" w:rsidRDefault="00E01951">
      <w:pPr>
        <w:pStyle w:val="MTDisplayEquation"/>
        <w:ind w:hanging="1276"/>
        <w:jc w:val="center"/>
      </w:pPr>
      <w:r>
        <w:rPr>
          <w:noProof/>
          <w:lang w:val="en-US" w:eastAsia="zh-CN"/>
        </w:rPr>
        <w:drawing>
          <wp:anchor distT="0" distB="0" distL="114300" distR="114300" simplePos="0" relativeHeight="251658752" behindDoc="0" locked="0" layoutInCell="1" allowOverlap="1" wp14:anchorId="28897547" wp14:editId="48D70262">
            <wp:simplePos x="0" y="0"/>
            <wp:positionH relativeFrom="column">
              <wp:posOffset>2031365</wp:posOffset>
            </wp:positionH>
            <wp:positionV relativeFrom="paragraph">
              <wp:posOffset>198120</wp:posOffset>
            </wp:positionV>
            <wp:extent cx="203835" cy="56515"/>
            <wp:effectExtent l="0" t="0" r="0" b="0"/>
            <wp:wrapNone/>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835" cy="56515"/>
                    </a:xfrm>
                    <a:prstGeom prst="rect">
                      <a:avLst/>
                    </a:prstGeom>
                    <a:noFill/>
                    <a:ln>
                      <a:noFill/>
                    </a:ln>
                  </pic:spPr>
                </pic:pic>
              </a:graphicData>
            </a:graphic>
            <wp14:sizeRelH relativeFrom="page">
              <wp14:pctWidth>0</wp14:pctWidth>
            </wp14:sizeRelH>
            <wp14:sizeRelV relativeFrom="page">
              <wp14:pctHeight>0</wp14:pctHeight>
            </wp14:sizeRelV>
          </wp:anchor>
        </w:drawing>
      </w:r>
      <w:r w:rsidR="00B544FD">
        <w:rPr>
          <w:position w:val="-24"/>
        </w:rPr>
        <w:object w:dxaOrig="4239" w:dyaOrig="639" w14:anchorId="3C64F677">
          <v:shape id="Object 1" o:spid="_x0000_i1032" type="#_x0000_t75" style="width:212.25pt;height:32.25pt;mso-position-horizontal-relative:page;mso-position-vertical-relative:page" o:ole="">
            <v:imagedata r:id="rId22" o:title=""/>
          </v:shape>
          <o:OLEObject Type="Embed" ProgID="Equation.DSMT4" ShapeID="Object 1" DrawAspect="Content" ObjectID="_1847254615" r:id="rId23"/>
        </w:object>
      </w:r>
      <w:r w:rsidR="00B544FD">
        <w:t xml:space="preserve">       (1)</w:t>
      </w:r>
      <w:r w:rsidR="00B544FD">
        <w:rPr>
          <w:lang w:val="en-US" w:eastAsia="zh-CN"/>
        </w:rPr>
        <w:t xml:space="preserve"> </w:t>
      </w:r>
    </w:p>
    <w:p w14:paraId="59880982" w14:textId="77777777" w:rsidR="00B544FD" w:rsidRDefault="00B544FD">
      <w:pPr>
        <w:pStyle w:val="a9"/>
        <w:ind w:firstLine="720"/>
        <w:jc w:val="both"/>
        <w:rPr>
          <w:color w:val="000000"/>
        </w:rPr>
      </w:pPr>
      <w:r>
        <w:rPr>
          <w:color w:val="000000"/>
        </w:rPr>
        <w:t xml:space="preserve">The molecules of the dimeric extractant, forming a neutral organometallic complex that is soluble in the organic phase. At the same time, two protons are released back into the aqueous phase, making the extraction highly sensitive to the solution’s acidity (pH). The parameter </w:t>
      </w:r>
      <w:r>
        <w:rPr>
          <w:i/>
          <w:iCs/>
          <w:color w:val="000000"/>
        </w:rPr>
        <w:t>p</w:t>
      </w:r>
      <w:r>
        <w:rPr>
          <w:color w:val="000000"/>
        </w:rPr>
        <w:t xml:space="preserve"> reflects the number of additional extractant molecules that participate in stabilizing the metal complex, which often increases in less polar solvents due to reduced solvation forces.</w:t>
      </w:r>
    </w:p>
    <w:p w14:paraId="52E1A60E" w14:textId="77777777" w:rsidR="00B544FD" w:rsidRDefault="00B544FD">
      <w:pPr>
        <w:pStyle w:val="a9"/>
        <w:ind w:firstLine="720"/>
        <w:jc w:val="both"/>
        <w:rPr>
          <w:highlight w:val="yellow"/>
          <w:lang w:bidi="ar-DZ"/>
        </w:rPr>
      </w:pPr>
      <w:r>
        <w:rPr>
          <w:highlight w:val="yellow"/>
          <w:lang w:bidi="ar-DZ"/>
        </w:rPr>
        <w:t xml:space="preserve">As the total concentration of nickel(II) is at trace level as employed in this study, it is reasonable to assume that no polynuclear complex are formed </w:t>
      </w:r>
      <w:r>
        <w:rPr>
          <w:b/>
          <w:bCs/>
          <w:highlight w:val="yellow"/>
          <w:lang w:bidi="ar-DZ"/>
        </w:rPr>
        <w:t xml:space="preserve">[6, </w:t>
      </w:r>
      <w:r w:rsidR="000E7D47">
        <w:rPr>
          <w:b/>
          <w:bCs/>
          <w:highlight w:val="yellow"/>
          <w:lang w:bidi="ar-DZ"/>
        </w:rPr>
        <w:t>23</w:t>
      </w:r>
      <w:r>
        <w:rPr>
          <w:b/>
          <w:bCs/>
          <w:highlight w:val="yellow"/>
          <w:lang w:bidi="ar-DZ"/>
        </w:rPr>
        <w:t>]</w:t>
      </w:r>
      <w:r>
        <w:rPr>
          <w:highlight w:val="yellow"/>
          <w:lang w:bidi="ar-DZ"/>
        </w:rPr>
        <w:t>.</w:t>
      </w:r>
    </w:p>
    <w:p w14:paraId="35AC3B28" w14:textId="77777777" w:rsidR="00B544FD" w:rsidRDefault="00B544FD">
      <w:pPr>
        <w:pStyle w:val="a9"/>
        <w:ind w:firstLine="720"/>
        <w:jc w:val="both"/>
        <w:rPr>
          <w:color w:val="000000"/>
        </w:rPr>
      </w:pPr>
      <w:r>
        <w:rPr>
          <w:color w:val="000000"/>
        </w:rPr>
        <w:t>The extraction constant K</w:t>
      </w:r>
      <w:r>
        <w:rPr>
          <w:color w:val="000000"/>
          <w:vertAlign w:val="subscript"/>
        </w:rPr>
        <w:t>ex1</w:t>
      </w:r>
      <w:r>
        <w:rPr>
          <w:color w:val="000000"/>
        </w:rPr>
        <w:t xml:space="preserve"> corresponding to this equilibrium is defined as:</w:t>
      </w:r>
    </w:p>
    <w:p w14:paraId="2B663FBB" w14:textId="77777777" w:rsidR="00B544FD" w:rsidRDefault="00B544FD">
      <w:pPr>
        <w:pStyle w:val="a9"/>
        <w:ind w:firstLine="720"/>
        <w:jc w:val="both"/>
        <w:rPr>
          <w:color w:val="000000"/>
        </w:rPr>
      </w:pPr>
      <w:r>
        <w:rPr>
          <w:color w:val="000000"/>
        </w:rPr>
        <w:t xml:space="preserve">The constant of the extraction:     </w:t>
      </w:r>
      <w:r>
        <w:rPr>
          <w:color w:val="000000"/>
          <w:lang w:val="fr-FR"/>
        </w:rPr>
        <w:pict w14:anchorId="08500CA0">
          <v:shape id="Image 15" o:spid="_x0000_i1033" type="#_x0000_t75" style="width:108.75pt;height:3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DontCompress&quot;/&gt;&lt;w:documentProtection w:enforcement=&quot;off&quot;/&gt;&lt;w:doNotEmbedSystemFonts/&gt;&lt;w:bordersDontSurroundHeader/&gt;&lt;w:bordersDontSurroundFooter/&gt;&lt;w:defaultTabStop w:val=&quot;720&quot;/&gt;&lt;w:displayHorizontalDrawingGridEvery w:val=&quot;1&quot;/&gt;&lt;w:displayVerticalDrawingGridEvery w:val=&quot;1&quot;/&gt;&lt;w:compat&gt;&lt;w:doNotExpandShiftReturn/&gt;&lt;w:wrapTextWithPunct/&gt;&lt;w:breakWrappedTables/&gt;&lt;w:useAsianBreakRules/&gt;&lt;w:dontGrowAutofit/&gt;&lt;/w:compat&gt;&lt;/w:docPr&gt;&lt;w:body&gt;&lt;wx:sect&gt;&lt;w:p&gt;&lt;m:oMathPara&gt;&lt;m:oMath&gt;&lt;m:sSub&gt;&lt;m:sSubPr&gt;&lt;m:ctrlPr&gt;&lt;w:rPr&gt;&lt;w:rFonts w:ascii=&quot;Cambria Math&quot; w:h-ansi=&quot;Cambria Math&quot; w:hint=&quot;default&quot;/&gt;&lt;w:i/&gt;&lt;w:color w:val=&quot;000000&quot;/&gt;&lt;/w:rPr&gt;&lt;/m:ctrlPr&gt;&lt;/m:sSubPr&gt;&lt;m:e&gt;&lt;m:r&gt;&lt;m:rPr&gt;&lt;m:scr m:val=&quot;roman&quot;/&gt;&lt;/m:rPr&gt;&lt;w:rPr&gt;&lt;w:rFonts w:ascii=&quot;Cambria Math&quot; w:h-ansi=&quot;Cambria Math&quot; w:hint=&quot;default&quot;/&gt;&lt;w:color w:val=&quot;000000&quot;/&gt;&lt;/w:rPr&gt;&lt;m:t&gt;K&lt;/m:t&gt;&lt;/m:r&gt;&lt;m:ctrlPr&gt;&lt;w:rPr&gt;&lt;w:rFonts w:ascii=&quot;Cambria Math&quot; w:h-ansi=&quot;Cambria Math&quot; w:hint=&quot;default&quot;/&gt;&lt;w:i/&gt;&lt;w:color w:val=&quot;000000&quot;/&gt;&lt;/w:rPr&gt;&lt;/m:ctrlPr&gt;&lt;/m:e&gt;&lt;m:sub&gt;&lt;m:r&gt;&lt;m:rPr&gt;&lt;m:scr m:val=&quot;roman&quot;/&gt;&lt;/m:rPr&gt;&lt;w:rPr&gt;&lt;w:rFonts w:ascii=&quot;Cambria Math&quot; w:h-ansi=&quot;Cambria Math&quot; w:hint=&quot;default&quot;/&gt;&lt;w:color w:val=&quot;000000&quot;/&gt;&lt;/w:rPr&gt;&lt;m:t&gt;ex1&lt;/m:t&gt;&lt;/m:r&gt;&lt;m:ctrlPr&gt;&lt;w:rPr&gt;&lt;w:rFonts w:ascii=&quot;Cambria Math&quot; w:h-ansi=&quot;Cambria Math&quot; w:hint=&quot;default&quot;/&gt;&lt;w:i/&gt;&lt;w:color w:val=&quot;000000&quot;/&gt;&lt;/w:rPr&gt;&lt;/m:ctrlPr&gt;&lt;/m:sub&gt;&lt;/m:sSub&gt;&lt;m:r&gt;&lt;m:rPr&gt;&lt;m:scr m:val=&quot;roman&quot;/&gt;&lt;/m:rPr&gt;&lt;w:rPr&gt;&lt;w:rFonts w:ascii=&quot;Cambria Math&quot; w:h-ansi=&quot;Cambria Math&quot; w:hint=&quot;default&quot;/&gt;&lt;w:color w:val=&quot;000000&quot;/&gt;&lt;/w:rPr&gt;&lt;m:t&gt;=&lt;/m:t&gt;&lt;/m:r&gt;&lt;m:f&gt;&lt;m:fPr&gt;&lt;m:ctrlPr&gt;&lt;w:rPr&gt;&lt;w:rFonts w:ascii=&quot;Cambria Math&quot; w:h-ansi=&quot;Cambria Math&quot; w:hint=&quot;default&quot;/&gt;&lt;w:i/&gt;&lt;w:color w:val=&quot;000000&quot;/&gt;&lt;/w:rPr&gt;&lt;/m:ctrlPr&gt;&lt;/m:fPr&gt;&lt;m:num&gt;&lt;m:d&gt;&lt;m:dPr&gt;&lt;m:begChr m:val=&quot;[&quot;/&gt;&lt;m:endChr m:val=&quot;]&quot;/&gt;&lt;m:ctrlPr&gt;&lt;w:rPr&gt;&lt;w:rFonts w:ascii=&quot;Cambria Math&quot; w:h-ansi=&quot;Cambria Math&quot; w:hint=&quot;default&quot;/&gt;&lt;w:i/&gt;&lt;w:color w:val=&quot;000000&quot;/&gt;&lt;/w:rPr&gt;&lt;/m:ctrlPr&gt;&lt;/m:dPr&gt;&lt;m:e&gt;&lt;m:d&gt;&lt;m:dPr&gt;&lt;m:ctrlPr&gt;&lt;w:rPr&gt;&lt;w:rFonts w:ascii=&quot;Cambria Math&quot; w:h-ansi=&quot;Cambria Math&quot; w:hint=&quot;default&quot;/&gt;&lt;w:i/&gt;&lt;w:color w:val=&quot;000000&quot;/&gt;&lt;/w:rPr&gt;&lt;/m:ctrlPr&gt;&lt;/m:dPr&gt;&lt;m:e&gt;&lt;m:bar&gt;&lt;m:barPr&gt;&lt;m:pos m:val=&quot;top&quot;/&gt;&lt;m:ctrlPr&gt;&lt;w:rPr&gt;&lt;w:rFonts w:ascii=&quot;Cambria Math&quot; w:h-ansi=&quot;Cambria Math&quot; w:hint=&quot;default&quot;/&gt;&lt;w:i/&gt;&lt;w:color w:val=&quot;000000&quot;/&gt;&lt;/w:rPr&gt;&lt;/m:ctrlPr&gt;&lt;/m:barPr&gt;&lt;m:e&gt;&lt;m:r&gt;&lt;m:rPr&gt;&lt;m:scr m:val=&quot;roman&quot;/&gt;&lt;/m:rPr&gt;&lt;w:rPr&gt;&lt;w:rFonts w:ascii=&quot;Cambria Math&quot; w:h-ansi=&quot;Cambria Math&quot; w:hint=&quot;default&quot;/&gt;&lt;w:color w:val=&quot;000000&quot;/&gt;&lt;/w:rPr&gt;&lt;m:t&gt;Ni&lt;/m:t&gt;&lt;/m:r&gt;&lt;m:sSub&gt;&lt;m:sSubPr&gt;&lt;m:ctrlPr&gt;&lt;w:rPr&gt;&lt;w:rFonts w:ascii=&quot;Cambria Math&quot; w:h-ansi=&quot;Cambria Math&quot; w:hint=&quot;default&quot;/&gt;&lt;w:i/&gt;&lt;w:color w:val=&quot;000000&quot;/&gt;&lt;/w:rPr&gt;&lt;/m:ctrlPr&gt;&lt;/m:sSubPr&gt;&lt;m:e&gt;&lt;m:r&gt;&lt;m:rPr&gt;&lt;m:scr m:val=&quot;roman&quot;/&gt;&lt;/m:rPr&gt;&lt;w:rPr&gt;&lt;w:rFonts w:ascii=&quot;Cambria Math&quot; w:h-ansi=&quot;Cambria Math&quot; w:hint=&quot;default&quot;/&gt;&lt;w:color w:val=&quot;000000&quot;/&gt;&lt;/w:rPr&gt;&lt;m:t&gt;L&lt;/m:t&gt;&lt;/m:r&gt;&lt;m:ctrlPr&gt;&lt;w:rPr&gt;&lt;w:rFonts w:ascii=&quot;Cambria Math&quot; w:h-ansi=&quot;Cambria Math&quot; w:hint=&quot;default&quot;/&gt;&lt;w:i/&gt;&lt;w:color w:val=&quot;000000&quot;/&gt;&lt;/w:rPr&gt;&lt;/m:ctrlPr&gt;&lt;/m:e&gt;&lt;m:sub&gt;&lt;m:r&gt;&lt;m:rPr&gt;&lt;m:scr m:val=&quot;roman&quot;/&gt;&lt;/m:rPr&gt;&lt;w:rPr&gt;&lt;w:rFonts w:ascii=&quot;Cambria Math&quot; w:h-ansi=&quot;Cambria Math&quot; w:hint=&quot;default&quot;/&gt;&lt;w:color w:val=&quot;000000&quot;/&gt;&lt;/w:rPr&gt;&lt;m:t&gt;2&lt;/m:t&gt;&lt;/m:r&gt;&lt;m:ctrlPr&gt;&lt;w:rPr&gt;&lt;w:rFonts w:ascii=&quot;Cambria Math&quot; w:h-ansi=&quot;Cambria Math&quot; w:hint=&quot;default&quot;/&gt;&lt;w:i/&gt;&lt;w:color w:val=&quot;000000&quot;/&gt;&lt;/w:rPr&gt;&lt;/m:ctrlPr&gt;&lt;/m:sub&gt;&lt;/m:sSub&gt;&lt;m:r&gt;&lt;m:rPr&gt;&lt;m:scr m:val=&quot;roman&quot;/&gt;&lt;/m:rPr&gt;&lt;w:rPr&gt;&lt;w:rFonts w:ascii=&quot;Cambria Math&quot; w:h-ansi=&quot;Cambria Math&quot; w:hint=&quot;default&quot;/&gt;&lt;w:color w:val=&quot;000000&quot;/&gt;&lt;/w:rPr&gt;&lt;m:t&gt;p(HL)&lt;/m:t&gt;&lt;/m:r&gt;&lt;m:ctrlPr&gt;&lt;w:rPr&gt;&lt;w:rFonts w:ascii=&quot;Cambria Math&quot; w:h-ansi=&quot;Cambria Math&quot; w:hint=&quot;default&quot;/&gt;&lt;w:i/&gt;&lt;w:color w:val=&quot;000000&quot;/&gt;&lt;/w:rPr&gt;&lt;/m:ctrlPr&gt;&lt;/m:e&gt;&lt;/m:bar&gt;&lt;m:ctrlPr&gt;&lt;w:rPr&gt;&lt;w:rFonts w:ascii=&quot;Cambria Math&quot; w:h-ansi=&quot;Cambria Math&quot; w:hint=&quot;default&quot;/&gt;&lt;w:i/&gt;&lt;w:color w:val=&quot;000000&quot;/&gt;&lt;/w:rPr&gt;&lt;/m:ctrlPr&gt;&lt;/m:e&gt;&lt;/m:d&gt;&lt;m:ctrlPr&gt;&lt;w:rPr&gt;&lt;w:rFonts w:ascii=&quot;Cambria Math&quot; w:h-ansi=&quot;Cambria Math&quot; w:hint=&quot;default&quot;/&gt;&lt;w:i/&gt;&lt;w:color w:val=&quot;000000&quot;/&gt;&lt;/w:rPr&gt;&lt;/m:ctrlPr&gt;&lt;/m:e&gt;&lt;/m:d&gt;&lt;m:sSup&gt;&lt;m:sSupPr&gt;&lt;m:ctrlPr&gt;&lt;w:rPr&gt;&lt;w:rFonts w:ascii=&quot;Cambria Math&quot; w:h-ansi=&quot;Cambria Math&quot; w:hint=&quot;default&quot;/&gt;&lt;w:i/&gt;&lt;w:color w:val=&quot;000000&quot;/&gt;&lt;/w:rPr&gt;&lt;/m:ctrlPr&gt;&lt;/m:sSupPr&gt;&lt;m:e&gt;&lt;m:d&gt;&lt;m:dPr&gt;&lt;m:begChr m:val=&quot;[&quot;/&gt;&lt;m:endChr m:val=&quot;]&quot;/&gt;&lt;m:ctrlPr&gt;&lt;w:rPr&gt;&lt;w:rFonts w:ascii=&quot;Cambria Math&quot; w:h-ansi=&quot;Cambria Math&quot; w:hint=&quot;default&quot;/&gt;&lt;w:i/&gt;&lt;w:color w:val=&quot;000000&quot;/&gt;&lt;/w:rPr&gt;&lt;/m:ctrlPr&gt;&lt;/m:dPr&gt;&lt;m:e&gt;&lt;m:sSup&gt;&lt;m:sSupPr&gt;&lt;m:ctrlPr&gt;&lt;w:rPr&gt;&lt;w:rFonts w:ascii=&quot;Cambria Math&quot; w:h-ansi=&quot;Cambria Math&quot; w:hint=&quot;default&quot;/&gt;&lt;w:i/&gt;&lt;w:color w:val=&quot;000000&quot;/&gt;&lt;/w:rPr&gt;&lt;/m:ctrlPr&gt;&lt;/m:sSupPr&gt;&lt;m:e&gt;&lt;m:r&gt;&lt;m:rPr&gt;&lt;m:scr m:val=&quot;roman&quot;/&gt;&lt;/m:rPr&gt;&lt;w:rPr&gt;&lt;w:rFonts w:ascii=&quot;Cambria Math&quot; w:h-ansi=&quot;Cambria Math&quot; w:hint=&quot;default&quot;/&gt;&lt;w:color w:val=&quot;000000&quot;/&gt;&lt;/w:rPr&gt;&lt;m:t&gt;H&lt;/m:t&gt;&lt;/m:r&gt;&lt;m:ctrlPr&gt;&lt;w:rPr&gt;&lt;w:rFonts w:ascii=&quot;Cambria Math&quot; w:h-ansi=&quot;Cambria Math&quot; w:hint=&quot;default&quot;/&gt;&lt;w:i/&gt;&lt;w:color w:val=&quot;000000&quot;/&gt;&lt;/w:rPr&gt;&lt;/m:ctrlPr&gt;&lt;/m:e&gt;&lt;m:sup&gt;&lt;m:r&gt;&lt;m:rPr&gt;&lt;m:scr m:val=&quot;roman&quot;/&gt;&lt;/m:rPr&gt;&lt;w:rPr&gt;&lt;w:rFonts w:ascii=&quot;Cambria Math&quot; w:h-ansi=&quot;Cambria Math&quot; w:hint=&quot;default&quot;/&gt;&lt;w:color w:val=&quot;000000&quot;/&gt;&lt;/w:rPr&gt;&lt;m:t&gt;+&lt;/m:t&gt;&lt;/m:r&gt;&lt;m:ctrlPr&gt;&lt;w:rPr&gt;&lt;w:rFonts w:ascii=&quot;Cambria Math&quot; w:h-ansi=&quot;Cambria Math&quot; w:hint=&quot;default&quot;/&gt;&lt;w:i/&gt;&lt;w:color w:val=&quot;000000&quot;/&gt;&lt;/w:rPr&gt;&lt;/m:ctrlPr&gt;&lt;/m:sup&gt;&lt;/m:sSup&gt;&lt;m:ctrlPr&gt;&lt;w:rPr&gt;&lt;w:rFonts w:ascii=&quot;Cambria Math&quot; w:h-ansi=&quot;Cambria Math&quot; w:hint=&quot;default&quot;/&gt;&lt;w:i/&gt;&lt;w:color w:val=&quot;000000&quot;/&gt;&lt;/w:rPr&gt;&lt;/m:ctrlPr&gt;&lt;/m:e&gt;&lt;/m:d&gt;&lt;m:ctrlPr&gt;&lt;w:rPr&gt;&lt;w:rFonts w:ascii=&quot;Cambria Math&quot; w:h-ansi=&quot;Cambria Math&quot; w:hint=&quot;default&quot;/&gt;&lt;w:i/&gt;&lt;w:color w:val=&quot;000000&quot;/&gt;&lt;/w:rPr&gt;&lt;/m:ctrlPr&gt;&lt;/m:e&gt;&lt;m:sup&gt;&lt;m:r&gt;&lt;m:rPr&gt;&lt;m:scr m:val=&quot;roman&quot;/&gt;&lt;/m:rPr&gt;&lt;w:rPr&gt;&lt;w:rFonts w:ascii=&quot;Cambria Math&quot; w:h-ansi=&quot;Cambria Math&quot; w:hint=&quot;default&quot;/&gt;&lt;w:color w:val=&quot;000000&quot;/&gt;&lt;/w:rPr&gt;&lt;m:t&gt;2&lt;/m:t&gt;&lt;/m:r&gt;&lt;m:ctrlPr&gt;&lt;w:rPr&gt;&lt;w:rFonts w:ascii=&quot;Cambria Math&quot; w:h-ansi=&quot;Cambria Math&quot; w:hint=&quot;default&quot;/&gt;&lt;w:i/&gt;&lt;w:color w:val=&quot;000000&quot;/&gt;&lt;/w:rPr&gt;&lt;/m:ctrlPr&gt;&lt;/m:sup&gt;&lt;/m:sSup&gt;&lt;m:ctrlPr&gt;&lt;w:rPr&gt;&lt;w:rFonts w:ascii=&quot;Cambria Math&quot; w:h-ansi=&quot;Cambria Math&quot; w:hint=&quot;default&quot;/&gt;&lt;w:i/&gt;&lt;w:color w:val=&quot;000000&quot;/&gt;&lt;/w:rPr&gt;&lt;/m:ctrlPr&gt;&lt;/m:num&gt;&lt;m:den&gt;&lt;m:d&gt;&lt;m:dPr&gt;&lt;m:begChr m:val=&quot;[&quot;/&gt;&lt;m:endChr m:val=&quot;]&quot;/&gt;&lt;m:ctrlPr&gt;&lt;w:rPr&gt;&lt;w:rFonts w:ascii=&quot;Cambria Math&quot; w:h-ansi=&quot;Cambria Math&quot; w:hint=&quot;default&quot;/&gt;&lt;w:i/&gt;&lt;w:color w:val=&quot;000000&quot;/&gt;&lt;/w:rPr&gt;&lt;/m:ctrlPr&gt;&lt;/m:dPr&gt;&lt;m:e&gt;&lt;m:r&gt;&lt;m:rPr&gt;&lt;m:scr m:val=&quot;roman&quot;/&gt;&lt;/m:rPr&gt;&lt;w:rPr&gt;&lt;w:rFonts w:ascii=&quot;Cambria Math&quot; w:h-ansi=&quot;Cambria Math&quot; w:hint=&quot;default&quot;/&gt;&lt;w:color w:val=&quot;000000&quot;/&gt;&lt;/w:rPr&gt;&lt;m:t&gt;N&lt;/m:t&gt;&lt;/m:r&gt;&lt;m:sSup&gt;&lt;m:sSupPr&gt;&lt;m:ctrlPr&gt;&lt;w:rPr&gt;&lt;w:rFonts w:ascii=&quot;Cambria Math&quot; w:h-ansi=&quot;Cambria Math&quot; w:hint=&quot;default&quot;/&gt;&lt;w:i/&gt;&lt;w:color w:val=&quot;000000&quot;/&gt;&lt;/w:rPr&gt;&lt;/m:ctrlPr&gt;&lt;/m:sSupPr&gt;&lt;m:e&gt;&lt;m:r&gt;&lt;m:rPr&gt;&lt;m:scr m:val=&quot;roman&quot;/&gt;&lt;/m:rPr&gt;&lt;w:rPr&gt;&lt;w:rFonts w:ascii=&quot;Cambria Math&quot; w:h-ansi=&quot;Cambria Math&quot; w:hint=&quot;default&quot;/&gt;&lt;w:color w:val=&quot;000000&quot;/&gt;&lt;/w:rPr&gt;&lt;m:t&gt;i&lt;/m:t&gt;&lt;/m:r&gt;&lt;m:ctrlPr&gt;&lt;w:rPr&gt;&lt;w:rFonts w:ascii=&quot;Cambria Math&quot; w:h-ansi=&quot;Cambria Math&quot; w:hint=&quot;default&quot;/&gt;&lt;w:i/&gt;&lt;w:color w:val=&quot;000000&quot;/&gt;&lt;/w:rPr&gt;&lt;/m:ctrlPr&gt;&lt;/m:e&gt;&lt;m:sup&gt;&lt;m:r&gt;&lt;m:rPr&gt;&lt;m:scr m:val=&quot;roman&quot;/&gt;&lt;/m:rPr&gt;&lt;w:rPr&gt;&lt;w:rFonts w:ascii=&quot;Cambria Math&quot; w:h-ansi=&quot;Cambria Math&quot; w:hint=&quot;default&quot;/&gt;&lt;w:color w:val=&quot;000000&quot;/&gt;&lt;/w:rPr&gt;&lt;m:t&gt;+2&lt;/m:t&gt;&lt;/m:r&gt;&lt;m:ctrlPr&gt;&lt;w:rPr&gt;&lt;w:rFonts w:ascii=&quot;Cambria Math&quot; w:h-ansi=&quot;Cambria Math&quot; w:hint=&quot;default&quot;/&gt;&lt;w:i/&gt;&lt;w:color w:val=&quot;000000&quot;/&gt;&lt;/w:rPr&gt;&lt;/m:ctrlPr&gt;&lt;/m:sup&gt;&lt;/m:sSup&gt;&lt;m:ctrlPr&gt;&lt;w:rPr&gt;&lt;w:rFonts w:ascii=&quot;Cambria Math&quot; w:h-ansi=&quot;Cambria Math&quot; w:hint=&quot;default&quot;/&gt;&lt;w:i/&gt;&lt;w:color w:val=&quot;000000&quot;/&gt;&lt;/w:rPr&gt;&lt;/m:ctrlPr&gt;&lt;/m:e&gt;&lt;/m:d&gt;&lt;m:sSup&gt;&lt;m:sSupPr&gt;&lt;m:ctrlPr&gt;&lt;w:rPr&gt;&lt;w:rFonts w:ascii=&quot;Cambria Math&quot; w:h-ansi=&quot;Cambria Math&quot; w:hint=&quot;default&quot;/&gt;&lt;w:i/&gt;&lt;w:color w:val=&quot;000000&quot;/&gt;&lt;/w:rPr&gt;&lt;/m:ctrlPr&gt;&lt;/m:sSupPr&gt;&lt;m:e&gt;&lt;m:d&gt;&lt;m:dPr&gt;&lt;m:begChr m:val=&quot;[&quot;/&gt;&lt;m:endChr m:val=&quot;]&quot;/&gt;&lt;m:ctrlPr&gt;&lt;w:rPr&gt;&lt;w:rFonts w:ascii=&quot;Cambria Math&quot; w:h-ansi=&quot;Cambria Math&quot; w:hint=&quot;default&quot;/&gt;&lt;w:i/&gt;&lt;w:color w:val=&quot;000000&quot;/&gt;&lt;/w:rPr&gt;&lt;/m:ctrlPr&gt;&lt;/m:dPr&gt;&lt;m:e&gt;&lt;m:bar&gt;&lt;m:barPr&gt;&lt;m:pos m:val=&quot;top&quot;/&gt;&lt;m:ctrlPr&gt;&lt;w:rPr&gt;&lt;w:rFonts w:ascii=&quot;Cambria Math&quot; w:h-ansi=&quot;Cambria Math&quot; w:hint=&quot;default&quot;/&gt;&lt;w:i/&gt;&lt;w:color w:val=&quot;000000&quot;/&gt;&lt;/w:rPr&gt;&lt;/m:ctrlPr&gt;&lt;/m:barPr&gt;&lt;m:e&gt;&lt;m:r&gt;&lt;m:rPr&gt;&lt;m:scr m:val=&quot;roman&quot;/&gt;&lt;/m:rPr&gt;&lt;w:rPr&gt;&lt;w:rFonts w:ascii=&quot;Cambria Math&quot; w:h-ansi=&quot;Cambria Math&quot; w:hint=&quot;default&quot;/&gt;&lt;w:color w:val=&quot;000000&quot;/&gt;&lt;/w:rPr&gt;&lt;m:t&gt;(HL&lt;/m:t&gt;&lt;/m:r&gt;&lt;m:ctrlPr&gt;&lt;w:rPr&gt;&lt;w:rFonts w:ascii=&quot;Cambria Math&quot; w:h-ansi=&quot;Cambria Math&quot; w:hint=&quot;default&quot;/&gt;&lt;w:i/&gt;&lt;w:color w:val=&quot;000000&quot;/&gt;&lt;/w:rPr&gt;&lt;/m:ctrlPr&gt;&lt;/m:e&gt;&lt;/m:bar&gt;&lt;m:sSub&gt;&lt;m:sSubPr&gt;&lt;m:ctrlPr&gt;&lt;w:rPr&gt;&lt;w:rFonts w:ascii=&quot;Cambria Math&quot; w:h-ansi=&quot;Cambria Math&quot; w:hint=&quot;default&quot;/&gt;&lt;w:i/&gt;&lt;w:color w:val=&quot;000000&quot;/&gt;&lt;/w:rPr&gt;&lt;/m:ctrlPr&gt;&lt;/m:sSubPr&gt;&lt;m:e&gt;&lt;m:r&gt;&lt;m:rPr&gt;&lt;m:scr m:val=&quot;roman&quot;/&gt;&lt;/m:rPr&gt;&lt;w:rPr&gt;&lt;w:rFonts w:ascii=&quot;Cambria Math&quot; w:h-ansi=&quot;Cambria Math&quot; w:hint=&quot;default&quot;/&gt;&lt;w:color w:val=&quot;000000&quot;/&gt;&lt;/w:rPr&gt;&lt;m:t&gt;)&lt;/m:t&gt;&lt;/m:r&gt;&lt;m:ctrlPr&gt;&lt;w:rPr&gt;&lt;w:rFonts w:ascii=&quot;Cambria Math&quot; w:h-ansi=&quot;Cambria Math&quot; w:hint=&quot;default&quot;/&gt;&lt;w:i/&gt;&lt;w:color w:val=&quot;000000&quot;/&gt;&lt;/w:rPr&gt;&lt;/m:ctrlPr&gt;&lt;/m:e&gt;&lt;m:sub&gt;&lt;m:r&gt;&lt;m:rPr&gt;&lt;m:scr m:val=&quot;roman&quot;/&gt;&lt;/m:rPr&gt;&lt;w:rPr&gt;&lt;w:rFonts w:ascii=&quot;Cambria Math&quot; w:h-ansi=&quot;Cambria Math&quot; w:hint=&quot;default&quot;/&gt;&lt;w:color w:val=&quot;000000&quot;/&gt;&lt;/w:rPr&gt;&lt;m:t&gt;2&lt;/m:t&gt;&lt;/m:r&gt;&lt;m:ctrlPr&gt;&lt;w:rPr&gt;&lt;w:rFonts w:ascii=&quot;Cambria Math&quot; w:h-ansi=&quot;Cambria Math&quot; w:hint=&quot;default&quot;/&gt;&lt;w:i/&gt;&lt;w:color w:val=&quot;000000&quot;/&gt;&lt;/w:rPr&gt;&lt;/m:ctrlPr&gt;&lt;/m:sub&gt;&lt;/m:sSub&gt;&lt;m:ctrlPr&gt;&lt;w:rPr&gt;&lt;w:rFonts w:ascii=&quot;Cambria Math&quot; w:h-ansi=&quot;Cambria Math&quot; w:hint=&quot;default&quot;/&gt;&lt;w:i/&gt;&lt;w:color w:val=&quot;000000&quot;/&gt;&lt;/w:rPr&gt;&lt;/m:ctrlPr&gt;&lt;/m:e&gt;&lt;/m:d&gt;&lt;m:ctrlPr&gt;&lt;w:rPr&gt;&lt;w:rFonts w:ascii=&quot;Cambria Math&quot; w:h-ansi=&quot;Cambria Math&quot; w:hint=&quot;default&quot;/&gt;&lt;w:i/&gt;&lt;w:color w:val=&quot;000000&quot;/&gt;&lt;/w:rPr&gt;&lt;/m:ctrlPr&gt;&lt;/m:e&gt;&lt;m:sup&gt;&lt;m:r&gt;&lt;m:rPr&gt;&lt;m:scr m:val=&quot;roman&quot;/&gt;&lt;/m:rPr&gt;&lt;w:rPr&gt;&lt;w:rFonts w:ascii=&quot;Cambria Math&quot; w:h-ansi=&quot;Cambria Math&quot; w:hint=&quot;default&quot;/&gt;&lt;w:color w:val=&quot;000000&quot;/&gt;&lt;/w:rPr&gt;&lt;m:t&gt;(2+p)/2&lt;/m:t&gt;&lt;/m:r&gt;&lt;m:ctrlPr&gt;&lt;w:rPr&gt;&lt;w:rFonts w:ascii=&quot;Cambria Math&quot; w:h-ansi=&quot;Cambria Math&quot; w:hint=&quot;default&quot;/&gt;&lt;w:i/&gt;&lt;w:color w:val=&quot;000000&quot;/&gt;&lt;/w:rPr&gt;&lt;/m:ctrlPr&gt;&lt;/m:sup&gt;&lt;/m:sSup&gt;&lt;m:ctrlPr&gt;&lt;w:rPr&gt;&lt;w:rFonts w:ascii=&quot;Cambria Math&quot; w:h-ansi=&quot;Cambria Math&quot; w:hint=&quot;default&quot;/&gt;&lt;w:i/&gt;&lt;w:color w:val=&quot;000000&quot;/&gt;&lt;/w:rPr&gt;&lt;/m:ctrlPr&gt;&lt;/m:den&gt;&lt;/m:f&gt;&lt;/m:oMath&gt;&lt;/m:oMathPara&gt;&lt;/w:p&gt;&lt;/wx:sect&gt;&lt;/w:body&gt;&lt;/w:wordDocumen">
            <v:fill o:detectmouseclick="t"/>
            <v:imagedata r:id="rId24" o:title=""/>
            <o:lock v:ext="edit" aspectratio="f"/>
          </v:shape>
        </w:pict>
      </w:r>
      <w:r>
        <w:rPr>
          <w:color w:val="000000"/>
        </w:rPr>
        <w:t xml:space="preserve">                                      (2)                                     </w:t>
      </w:r>
    </w:p>
    <w:p w14:paraId="0CA7A661" w14:textId="77777777" w:rsidR="00B544FD" w:rsidRDefault="00B544FD">
      <w:pPr>
        <w:pStyle w:val="a9"/>
        <w:ind w:firstLine="720"/>
        <w:jc w:val="both"/>
        <w:rPr>
          <w:color w:val="000000"/>
          <w:lang w:bidi="ar-DZ"/>
        </w:rPr>
      </w:pPr>
      <w:r>
        <w:rPr>
          <w:color w:val="000000"/>
          <w:lang w:bidi="ar-DZ"/>
        </w:rPr>
        <w:t xml:space="preserve">This expression quantitatively describes how the equilibrium position depends on the concentration of nickel in the aqueous phase, the amount of dimeric </w:t>
      </w:r>
      <w:r w:rsidR="00050612" w:rsidRPr="00B85055">
        <w:rPr>
          <w:color w:val="000000"/>
          <w:highlight w:val="yellow"/>
          <w:lang w:val="en-GB"/>
        </w:rPr>
        <w:t>Di(2-ethylhexyl) phosphoric acid</w:t>
      </w:r>
      <w:r>
        <w:rPr>
          <w:color w:val="000000"/>
          <w:lang w:bidi="ar-DZ"/>
        </w:rPr>
        <w:t xml:space="preserve"> available in the organic phase, and the concentration of hydrogen ions produced during extraction. A larger value of K</w:t>
      </w:r>
      <w:r>
        <w:rPr>
          <w:color w:val="000000"/>
          <w:vertAlign w:val="subscript"/>
          <w:lang w:bidi="ar-DZ"/>
        </w:rPr>
        <w:t>ex1</w:t>
      </w:r>
      <w:r>
        <w:rPr>
          <w:color w:val="000000"/>
          <w:lang w:bidi="ar-DZ"/>
        </w:rPr>
        <w:t>​ indicates a stronger tendency for nickel to transfer into the organic phase.</w:t>
      </w:r>
    </w:p>
    <w:p w14:paraId="16A6889E" w14:textId="77777777" w:rsidR="00B544FD" w:rsidRDefault="00B544FD">
      <w:pPr>
        <w:pStyle w:val="a9"/>
        <w:ind w:firstLine="720"/>
        <w:jc w:val="both"/>
        <w:rPr>
          <w:color w:val="000000"/>
          <w:lang w:bidi="ar-DZ"/>
        </w:rPr>
      </w:pPr>
      <w:r>
        <w:rPr>
          <w:color w:val="000000"/>
          <w:lang w:bidi="ar-DZ"/>
        </w:rPr>
        <w:lastRenderedPageBreak/>
        <w:t xml:space="preserve">To evaluate the efficiency of extraction, the distribution coefficient </w:t>
      </w:r>
      <w:r>
        <w:rPr>
          <w:i/>
          <w:iCs/>
          <w:color w:val="000000"/>
          <w:lang w:bidi="ar-DZ"/>
        </w:rPr>
        <w:t>D</w:t>
      </w:r>
      <w:r>
        <w:rPr>
          <w:color w:val="000000"/>
          <w:lang w:bidi="ar-DZ"/>
        </w:rPr>
        <w:t xml:space="preserve"> is introduced:</w:t>
      </w:r>
    </w:p>
    <w:p w14:paraId="0DD3E3C7" w14:textId="77777777" w:rsidR="00B544FD" w:rsidRDefault="00B544FD">
      <w:pPr>
        <w:pStyle w:val="a9"/>
        <w:ind w:firstLine="720"/>
        <w:jc w:val="both"/>
        <w:rPr>
          <w:color w:val="000000"/>
          <w:position w:val="-42"/>
          <w:lang w:bidi="ar-DZ"/>
        </w:rPr>
      </w:pPr>
      <w:r>
        <w:rPr>
          <w:color w:val="000000"/>
          <w:lang w:bidi="ar-DZ"/>
        </w:rPr>
        <w:t>The distribution coefficient of metal:</w:t>
      </w:r>
      <w:r>
        <w:rPr>
          <w:color w:val="000000"/>
          <w:position w:val="-42"/>
          <w:lang w:bidi="ar-DZ"/>
        </w:rPr>
        <w:t xml:space="preserve"> </w:t>
      </w:r>
      <w:r>
        <w:rPr>
          <w:color w:val="000000"/>
          <w:position w:val="-42"/>
          <w:lang w:bidi="ar-DZ"/>
        </w:rPr>
        <w:object w:dxaOrig="1859" w:dyaOrig="959" w14:anchorId="0200FDFE">
          <v:shape id="_x0000_i1034" type="#_x0000_t75" style="width:99.75pt;height:50.25pt;mso-position-horizontal-relative:page;mso-position-vertical-relative:page" o:ole="">
            <v:imagedata r:id="rId25" o:title=""/>
          </v:shape>
          <o:OLEObject Type="Embed" ProgID="Equation.3" ShapeID="_x0000_i1034" DrawAspect="Content" ObjectID="_1847254616" r:id="rId26"/>
        </w:object>
      </w:r>
      <w:r>
        <w:rPr>
          <w:color w:val="000000"/>
          <w:position w:val="-42"/>
          <w:lang w:bidi="ar-DZ"/>
        </w:rPr>
        <w:t xml:space="preserve">                               </w:t>
      </w:r>
      <w:r>
        <w:rPr>
          <w:color w:val="000000"/>
          <w:lang w:bidi="ar-DZ"/>
        </w:rPr>
        <w:t xml:space="preserve">  </w:t>
      </w:r>
      <w:r>
        <w:rPr>
          <w:color w:val="000000"/>
          <w:position w:val="-42"/>
          <w:lang w:bidi="ar-DZ"/>
        </w:rPr>
        <w:t>(3)</w:t>
      </w:r>
      <w:r>
        <w:rPr>
          <w:color w:val="000000"/>
          <w:lang w:bidi="ar-DZ"/>
        </w:rPr>
        <w:t xml:space="preserve">   </w:t>
      </w:r>
      <w:r>
        <w:rPr>
          <w:color w:val="000000"/>
          <w:position w:val="-42"/>
          <w:lang w:bidi="ar-DZ"/>
        </w:rPr>
        <w:t xml:space="preserve">                                 </w:t>
      </w:r>
    </w:p>
    <w:p w14:paraId="14D5FC9F" w14:textId="77777777" w:rsidR="00B544FD" w:rsidRDefault="00B544FD">
      <w:pPr>
        <w:pStyle w:val="a9"/>
        <w:ind w:firstLine="720"/>
        <w:jc w:val="both"/>
        <w:rPr>
          <w:color w:val="000000"/>
        </w:rPr>
      </w:pPr>
      <w:r>
        <w:rPr>
          <w:color w:val="000000"/>
        </w:rPr>
        <w:t xml:space="preserve">This coefficient represents the ratio between the concentration of nickel present in the organic phase as part of the extracted complex and that remaining unextracted in the aqueous phase. Higher </w:t>
      </w:r>
      <w:r>
        <w:rPr>
          <w:i/>
          <w:iCs/>
          <w:color w:val="000000"/>
        </w:rPr>
        <w:t>D</w:t>
      </w:r>
      <w:r>
        <w:rPr>
          <w:color w:val="000000"/>
        </w:rPr>
        <w:t xml:space="preserve"> values correspond to greater extraction efficiency.</w:t>
      </w:r>
    </w:p>
    <w:p w14:paraId="7049237F" w14:textId="77777777" w:rsidR="00B544FD" w:rsidRDefault="00B544FD">
      <w:pPr>
        <w:pStyle w:val="a9"/>
        <w:ind w:firstLine="720"/>
        <w:jc w:val="both"/>
        <w:rPr>
          <w:color w:val="000000"/>
        </w:rPr>
      </w:pPr>
      <w:r>
        <w:rPr>
          <w:color w:val="000000"/>
        </w:rPr>
        <w:t xml:space="preserve">By combining the definitions of </w:t>
      </w:r>
      <w:r>
        <w:rPr>
          <w:i/>
          <w:iCs/>
          <w:color w:val="000000"/>
        </w:rPr>
        <w:t>D</w:t>
      </w:r>
      <w:r>
        <w:rPr>
          <w:color w:val="000000"/>
        </w:rPr>
        <w:t xml:space="preserve"> and K</w:t>
      </w:r>
      <w:r>
        <w:rPr>
          <w:color w:val="000000"/>
          <w:vertAlign w:val="subscript"/>
        </w:rPr>
        <w:t>ex1</w:t>
      </w:r>
      <w:r>
        <w:rPr>
          <w:color w:val="000000"/>
        </w:rPr>
        <w:t>​, and reorganizing the terms through logarithmic transformation, the following linearized expression is obtained:</w:t>
      </w:r>
    </w:p>
    <w:p w14:paraId="40E3A0C5" w14:textId="77777777" w:rsidR="00B544FD" w:rsidRDefault="00B544FD">
      <w:pPr>
        <w:pStyle w:val="a9"/>
        <w:ind w:firstLine="720"/>
        <w:jc w:val="both"/>
        <w:rPr>
          <w:color w:val="000000"/>
        </w:rPr>
      </w:pPr>
      <w:r>
        <w:rPr>
          <w:color w:val="000000"/>
        </w:rPr>
        <w:t>From this, we get the following:</w:t>
      </w:r>
    </w:p>
    <w:p w14:paraId="779B731D" w14:textId="77777777" w:rsidR="00B544FD" w:rsidRDefault="00B544FD">
      <w:pPr>
        <w:pStyle w:val="a9"/>
        <w:ind w:firstLine="720"/>
        <w:jc w:val="both"/>
        <w:rPr>
          <w:color w:val="000000"/>
        </w:rPr>
      </w:pPr>
      <w:r>
        <w:rPr>
          <w:color w:val="000000"/>
          <w:lang w:val="fr-FR"/>
        </w:rPr>
        <w:pict w14:anchorId="7B1C9EA9">
          <v:shape id="Image 16" o:spid="_x0000_i1035" type="#_x0000_t75" style="width:286.5pt;height:3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DontCompress&quot;/&gt;&lt;w:documentProtection w:enforcement=&quot;off&quot;/&gt;&lt;w:doNotEmbedSystemFonts/&gt;&lt;w:bordersDontSurroundHeader/&gt;&lt;w:bordersDontSurroundFooter/&gt;&lt;w:defaultTabStop w:val=&quot;720&quot;/&gt;&lt;w:displayHorizontalDrawingGridEvery w:val=&quot;1&quot;/&gt;&lt;w:displayVerticalDrawingGridEvery w:val=&quot;1&quot;/&gt;&lt;w:compat&gt;&lt;w:doNotExpandShiftReturn/&gt;&lt;w:wrapTextWithPunct/&gt;&lt;w:breakWrappedTables/&gt;&lt;w:useAsianBreakRules/&gt;&lt;w:dontGrowAutofit/&gt;&lt;/w:compat&gt;&lt;/w:docPr&gt;&lt;w:body&gt;&lt;wx:sect&gt;&lt;w:p&gt;&lt;m:oMathPara&gt;&lt;m:oMath&gt;&lt;m:r&gt;&lt;m:rPr&gt;&lt;m:scr m:val=&quot;roman&quot;/&gt;&lt;/m:rPr&gt;&lt;w:rPr&gt;&lt;w:rFonts w:ascii=&quot;Cambria Math&quot; w:h-ansi=&quot;Cambria Math&quot; w:hint=&quot;default&quot;/&gt;&lt;w:color w:val=&quot;000000&quot;/&gt;&lt;/w:rPr&gt;&lt;m:t&gt;LogD=Log&lt;/m:t&gt;&lt;/m:r&gt;&lt;m:sSub&gt;&lt;m:sSubPr&gt;&lt;m:ctrlPr&gt;&lt;w:rPr&gt;&lt;w:rFonts w:ascii=&quot;Cambria Math&quot; w:h-ansi=&quot;Cambria Math&quot; w:hint=&quot;default&quot;/&gt;&lt;w:i/&gt;&lt;w:color w:val=&quot;000000&quot;/&gt;&lt;/w:rPr&gt;&lt;/m:ctrlPr&gt;&lt;/m:sSubPr&gt;&lt;m:e&gt;&lt;m:r&gt;&lt;m:rPr&gt;&lt;m:scr m:val=&quot;roman&quot;/&gt;&lt;/m:rPr&gt;&lt;w:rPr&gt;&lt;w:rFonts w:ascii=&quot;Cambria Math&quot; w:h-ansi=&quot;Cambria Math&quot; w:hint=&quot;default&quot;/&gt;&lt;w:color w:val=&quot;000000&quot;/&gt;&lt;/w:rPr&gt;&lt;m:t&gt;K&lt;/m:t&gt;&lt;/m:r&gt;&lt;m:ctrlPr&gt;&lt;w:rPr&gt;&lt;w:rFonts w:ascii=&quot;Cambria Math&quot; w:h-ansi=&quot;Cambria Math&quot; w:hint=&quot;default&quot;/&gt;&lt;w:i/&gt;&lt;w:color w:val=&quot;000000&quot;/&gt;&lt;/w:rPr&gt;&lt;/m:ctrlPr&gt;&lt;/m:e&gt;&lt;m:sub&gt;&lt;m:r&gt;&lt;m:rPr&gt;&lt;m:scr m:val=&quot;roman&quot;/&gt;&lt;/m:rPr&gt;&lt;w:rPr&gt;&lt;w:rFonts w:ascii=&quot;Cambria Math&quot; w:h-ansi=&quot;Cambria Math&quot; w:hint=&quot;default&quot;/&gt;&lt;w:color w:val=&quot;000000&quot;/&gt;&lt;/w:rPr&gt;&lt;m:t&gt;ex1&lt;/m:t&gt;&lt;/m:r&gt;&lt;m:ctrlPr&gt;&lt;w:rPr&gt;&lt;w:rFonts w:ascii=&quot;Cambria Math&quot; w:h-ansi=&quot;Cambria Math&quot; w:hint=&quot;default&quot;/&gt;&lt;w:i/&gt;&lt;w:color w:val=&quot;000000&quot;/&gt;&lt;/w:rPr&gt;&lt;/m:ctrlPr&gt;&lt;/m:sub&gt;&lt;/m:sSub&gt;&lt;m:r&gt;&lt;m:rPr&gt;&lt;m:scr m:val=&quot;roman&quot;/&gt;&lt;/m:rPr&gt;&lt;w:rPr&gt;&lt;w:rFonts w:ascii=&quot;Cambria Math&quot; w:h-ansi=&quot;Cambria Math&quot; w:hint=&quot;default&quot;/&gt;&lt;w:color w:val=&quot;000000&quot;/&gt;&lt;/w:rPr&gt;&lt;m:t&gt;+&lt;/m:t&gt;&lt;/m:r&gt;&lt;m:f&gt;&lt;m:fPr&gt;&lt;m:type m:val=&quot;lin&quot;/&gt;&lt;m:ctrlPr&gt;&lt;w:rPr&gt;&lt;w:rFonts w:ascii=&quot;Cambria Math&quot; w:h-ansi=&quot;Cambria Math&quot; w:hint=&quot;default&quot;/&gt;&lt;w:i/&gt;&lt;w:color w:val=&quot;000000&quot;/&gt;&lt;/w:rPr&gt;&lt;/m:ctrlPr&gt;&lt;/m:fPr&gt;&lt;m:num&gt;&lt;m:d&gt;&lt;m:dPr&gt;&lt;m:ctrlPr&gt;&lt;w:rPr&gt;&lt;w:rFonts w:ascii=&quot;Cambria Math&quot; w:h-ansi=&quot;Cambria Math&quot; w:hint=&quot;default&quot;/&gt;&lt;w:i/&gt;&lt;w:color w:val=&quot;000000&quot;/&gt;&lt;/w:rPr&gt;&lt;/m:ctrlPr&gt;&lt;/m:dPr&gt;&lt;m:e&gt;&lt;m:r&gt;&lt;m:rPr&gt;&lt;m:scr m:val=&quot;roman&quot;/&gt;&lt;/m:rPr&gt;&lt;w:rPr&gt;&lt;w:rFonts w:ascii=&quot;Cambria Math&quot; w:h-ansi=&quot;Cambria Math&quot; w:hint=&quot;default&quot;/&gt;&lt;w:color w:val=&quot;000000&quot;/&gt;&lt;w:lang/&gt;&lt;/w:rPr&gt;&lt;m:t&gt;2&lt;/m:t&gt;&lt;/m:r&gt;&lt;m:r&gt;&lt;m:rPr&gt;&lt;m:scr m:val=&quot;roman&quot;/&gt;&lt;/m:rPr&gt;&lt;w:rPr&gt;&lt;w:rFonts w:ascii=&quot;Cambria Math&quot; w:h-ansi=&quot;Cambria Math&quot; w:hint=&quot;default&quot;/&gt;&lt;w:color w:val=&quot;000000&quot;/&gt;&lt;/w:rPr&gt;&lt;m:t&gt;+p&lt;/m:t&gt;&lt;/m:r&gt;&lt;m:ctrlPr&gt;&lt;w:rPr&gt;&lt;w:rFonts w:ascii=&quot;Cambria Math&quot; w:h-ansi=&quot;Cambria Math&quot; w:hint=&quot;default&quot;/&gt;&lt;w:i/&gt;&lt;w:color w:val=&quot;000000&quot;/&gt;&lt;/w:rPr&gt;&lt;/m:ctrlPr&gt;&lt;/m:e&gt;&lt;/m:d&gt;&lt;m:ctrlPr&gt;&lt;w:rPr&gt;&lt;w:rFonts w:ascii=&quot;Cambria Math&quot; w:h-ansi=&quot;Cambria Math&quot; w:hint=&quot;default&quot;/&gt;&lt;w:i/&gt;&lt;w:color w:val=&quot;000000&quot;/&gt;&lt;/w:rPr&gt;&lt;/m:ctrlPr&gt;&lt;/m:num&gt;&lt;m:den&gt;&lt;m:r&gt;&lt;m:rPr&gt;&lt;m:scr m:val=&quot;roman&quot;/&gt;&lt;/m:rPr&gt;&lt;w:rPr&gt;&lt;w:rFonts w:ascii=&quot;Cambria Math&quot; w:h-ansi=&quot;Cambria Math&quot; w:hint=&quot;default&quot;/&gt;&lt;w:color w:val=&quot;000000&quot;/&gt;&lt;/w:rPr&gt;&lt;m:t&gt;2&lt;/m:t&gt;&lt;/m:r&gt;&lt;m:ctrlPr&gt;&lt;w:rPr&gt;&lt;w:rFonts w:ascii=&quot;Cambria Math&quot; w:h-ansi=&quot;Cambria Math&quot; w:hint=&quot;default&quot;/&gt;&lt;w:i/&gt;&lt;w:color w:val=&quot;000000&quot;/&gt;&lt;/w:rPr&gt;&lt;/m:ctrlPr&gt;&lt;/m:den&gt;&lt;/m:f&gt;&lt;m:r&gt;&lt;m:rPr&gt;&lt;m:scr m:val=&quot;roman&quot;/&gt;&lt;/m:rPr&gt;&lt;w:rPr&gt;&lt;w:rFonts w:ascii=&quot;Cambria Math&quot; w:h-ansi=&quot;Cambria Math&quot; w:hint=&quot;default&quot;/&gt;&lt;w:color w:val=&quot;000000&quot;/&gt;&lt;/w:rPr&gt;&lt;m:t&gt;Log?&lt;/m:t&gt;&lt;/m:r&gt;&lt;m:d&gt;&lt;m:dPr&gt;&lt;m:begChr m:val=&quot;[&quot;/&gt;&lt;m:endChr m:val=&quot;]&quot;/&gt;&lt;m:ctrlPr&gt;&lt;w:rPr&gt;&lt;w:rFonts w:ascii=&quot;Cambria Math&quot; w:h-ansi=&quot;Cambria Math&quot; w:hint=&quot;default&quot;/&gt;&lt;w:i/&gt;&lt;w:color w:val=&quot;000000&quot;/&gt;&lt;/w:rPr&gt;&lt;/m:ctrlPaur&gt;&lt;/m:dPr&gt;&lt;m:e&gt;&lt;m:r&gt;&lt;m:rPr&gt;&lt;m:scr m:val=&quot;roman&quot;/&gt;&lt;/m:rPr&gt;&lt;w:rPr&gt;&lt;w:rFonts w:ascii=&quot;Cambria Math&quot; w:h-ansi=&quot;Cambria Math&quot; w:hint=&quot;default&quot;/&gt;&lt;w:color w:val=&quot;000000&quot;/&gt;&lt;/w:rPr&gt;&lt;m:t&gt;(&lt;/m:t&gt;&lt;/m:r&gt;&lt;m:bar&gt;&lt;m:barPr&gt;&lt;m:pos m:val=&quot;top&quot;/&gt;&lt;m:ctrlPr&gt;&lt;w:rPr&gt;&lt;w:rFonts w:ascii=&quot;Cambria Math&quot; w:h-ansi=&quot;Cambria Math&quot; w:hint=&quot;default&quot;/&gt;&lt;w:i/&gt;&lt;w:color w:val=&quot;000000&quot;/&gt;&lt;/w:rPr&gt;&lt;/m:ctrlPr&gt;&lt;/m:barPr&gt;&lt;m:e&gt;&lt;m:r&gt;&lt;m:rPr&gt;&lt;m:scr m:val=&quot;roman&quot;/&gt;&lt;/m:rPr&gt;&lt;w:rPr&gt;&lt;w:rFonts w:ascii=&quot;Cambria Math&quot; w:h-ansi=&quot;Cambria Math&quot; w:hint=&quot;default&quot;/&gt;&lt;w:color w:val=&quot;000000&quot;/&gt;&lt;/w:rPr&gt;&lt;m:t&gt;HL&lt;/m:t&gt;&lt;/m:r&gt;&lt;m:ctrlPr&gt;&lt;w:rPr&gt;&lt;w:rFonts w:ascii=&quot;Cambria Math&quot; w:h-ansi=&quot;Cambria Math&quot; w:hint=&quot;default&quot;/&gt;&lt;w:i/&gt;&lt;w:color w:val=&quot;000000&quot;/&gt;&lt;/w:rPr&gt;&lt;/m:ctrlPr&gt;&lt;/m:e&gt;&lt;/m:bar&gt;&lt;m:sSub&gt;&lt;m:sSubPr&gt;&lt;m:ctrlPr&gt;&lt;w:rPr&gt;&lt;w:rFonts w:ascii=&quot;Cambria Math&quot; w:h-ansi=&quot;Cambria Math&quot; w:hint=&quot;default&quot;/&gt;&lt;w:i/&gt;&lt;w:color w:val=&quot;000000&quot;/&gt;&lt;/w:rPr&gt;&lt;/m:ctrlPr&gt;&lt;/m:sSubPr&gt;&lt;m:e&gt;&lt;m:r&gt;&lt;m:rPr&gt;&lt;m:scr m:val=&quot;roman&quot;/&gt;&lt;/m:rPr&gt;&lt;w:rPr&gt;&lt;w:rFonts w:ascii=&quot;Cambria Math&quot; w:h-ansi=&quot;Cambria Math&quot; w:hint=&quot;default&quot;/&gt;&lt;w:color w:val=&quot;000000&quot;/&gt;&lt;/w:rPr&gt;&lt;m:t&gt;)&lt;/m:t&gt;&lt;/m:r&gt;&lt;m:ctrlPr&gt;&lt;w:rPr&gt;&lt;w:rFonts w:ascii=&quot;Cambria Math&quot; w:h-ansi=&quot;Cambria Math&quot; w:hint=&quot;default&quot;/&gt;&lt;w:i/&gt;&lt;w:color w:val=&quot;000000&quot;/&gt;&lt;/w:rPr&gt;&lt;/m:ctrlPr&gt;&lt;/m:e&gt;&lt;m:sub&gt;&lt;m:r&gt;&lt;m:rPr&gt;&lt;m:scr m:val=&quot;roman&quot;/&gt;&lt;/m:rPr&gt;&lt;w:rPr&gt;&lt;w:rFonts w:ascii=&quot;Cambria Math&quot; w:h-ansi=&quot;Cambria Math&quot; w:hint=&quot;default&quot;/&gt;&lt;w:color w:val=&quot;000000&quot;/&gt;&lt;/w:rPr&gt;&lt;m:t&gt;2&lt;/m:t&gt;&lt;/m:r&gt;&lt;m:ctrlPr&gt;&lt;w:rPr&gt;&lt;w:rFonts w:ascii=&quot;Cambria Math&quot; w:h-ansi=&quot;Cambria Math&quot; w:hint=&quot;default&quot;/&gt;&lt;w:i/&gt;&lt;w:color w:val=&quot;000000&quot;/&gt;&lt;/w:rPr&gt;&lt;/m:ctrlPr&gt;&lt;/m:sub&gt;&lt;/m:sSub&gt;&lt;m:ctrlPr&gt;&lt;w:rPr&gt;&lt;w:rFonts w:ascii=&quot;Cambria Math&quot; w:h-ansi=&quot;Cambria Math&quot; w:hint=&quot;default&quot;/&gt;&lt;w:i/&gt;&lt;w:color w:val=&quot;000000&quot;/&gt;&lt;/w:rPr&gt;&lt;/m:ctrlPr&gt;&lt;/m:e&gt;&lt;/m:d&gt;&lt;m:r&gt;&lt;m:rPr&gt;&lt;m:scr m:val=&quot;roman&quot;/&gt;&lt;/m:rPr&gt;&lt;w:rPr&gt;&lt;w:rFonts w:ascii=&quot;Cambria Math&quot; w:h-ansi=&quot;Cambria Math&quot; w:hint=&quot;default&quot;/&gt;&lt;w:color w:val=&quot;000000&quot;/&gt;&lt;/w:rPr&gt;&lt;m:t&gt;+&lt;/m:t&gt;&lt;/m:r&gt;&lt;m:r&gt;&lt;m:rPr&gt;&lt;m:scr m:val=&quot;roman&quot;/&gt;&lt;/m:rPr&gt;&lt;w:rPr&gt;&lt;w:rFonts w:ascii=&quot;Cambria Math&quot; w:h-ansi=&quot;Cambria Math&quot; w:hint=&quot;default&quot;/&gt;&lt;w:color w:val=&quot;000000&quot;/&gt;&lt;w:lang/&gt;&lt;/w:rPr&gt;&lt;m:t&gt;2&lt;/m:t&gt;&lt;/m:r&gt;&lt;m:r&gt;&lt;m:rPr&gt;&lt;m:scr m:val=&quot;roman&quot;/&gt;&lt;/m:rPr&gt;&lt;w:rPr&gt;&lt;w:rFonts w:ascii=&quot;Cambria Math&quot; w:h-ansi=&quot;Cambria Math&quot; w:hint=&quot;default&quot;/&gt;&lt;w:color w:val=&quot;000000&quot;/&gt;&lt;/w:rPr&gt;&lt;m:t&gt;pH&lt;/m:t&gt;&lt;/m:r&gt;&lt;/m:oMath&gt;&lt;/m:oMathPara&gt;&lt;/w:p&gt;&lt;/wx:sect&gt;&lt;/w:body&gt;&lt;/w:wordDocumen">
            <v:fill o:detectmouseclick="t"/>
            <v:imagedata r:id="rId27" o:title=""/>
            <o:lock v:ext="edit" aspectratio="f"/>
          </v:shape>
        </w:pict>
      </w:r>
      <w:r>
        <w:rPr>
          <w:color w:val="000000"/>
        </w:rPr>
        <w:t xml:space="preserve">                </w:t>
      </w:r>
      <w:r>
        <w:rPr>
          <w:rFonts w:hint="cs"/>
          <w:color w:val="000000"/>
          <w:rtl/>
          <w:cs/>
          <w:lang w:bidi="ar-DZ"/>
        </w:rPr>
        <w:t xml:space="preserve">              </w:t>
      </w:r>
      <w:r>
        <w:rPr>
          <w:color w:val="000000"/>
        </w:rPr>
        <w:t xml:space="preserve">   (4) In polar solvents such as Decanol and 1-octanol, the extraction equilibrium for the divalent metal is described by: </w:t>
      </w:r>
    </w:p>
    <w:p w14:paraId="219C1FAA" w14:textId="77777777" w:rsidR="00B544FD" w:rsidRDefault="00B544FD">
      <w:pPr>
        <w:pStyle w:val="a9"/>
        <w:ind w:firstLine="720"/>
        <w:jc w:val="center"/>
        <w:rPr>
          <w:color w:val="000000"/>
          <w:lang w:bidi="ar-DZ"/>
        </w:rPr>
      </w:pPr>
      <w:r>
        <w:rPr>
          <w:color w:val="000000"/>
        </w:rPr>
        <w:object w:dxaOrig="6107" w:dyaOrig="486" w14:anchorId="13FFABBE">
          <v:shape id="Object 2" o:spid="_x0000_i1036" type="#_x0000_t75" style="width:511.5pt;height:39.75pt;mso-position-horizontal-relative:page;mso-position-vertical-relative:page" o:ole="">
            <v:imagedata r:id="rId28" o:title=""/>
          </v:shape>
          <o:OLEObject Type="Embed" ProgID="ChemDraw.Document.6.0" ShapeID="Object 2" DrawAspect="Content" ObjectID="_1847254617" r:id="rId29"/>
        </w:object>
      </w:r>
      <w:r>
        <w:rPr>
          <w:color w:val="000000"/>
        </w:rPr>
        <w:t xml:space="preserve">         </w:t>
      </w:r>
      <w:r>
        <w:rPr>
          <w:rFonts w:hint="cs"/>
          <w:color w:val="000000"/>
          <w:rtl/>
          <w:cs/>
          <w:lang w:bidi="ar-DZ"/>
        </w:rPr>
        <w:t xml:space="preserve">               </w:t>
      </w:r>
      <w:r>
        <w:rPr>
          <w:color w:val="000000"/>
        </w:rPr>
        <w:t xml:space="preserve">                          </w:t>
      </w:r>
      <w:r>
        <w:rPr>
          <w:color w:val="000000"/>
          <w:lang w:val="fr-FR"/>
        </w:rPr>
        <w:pict w14:anchorId="526C4342">
          <v:shape id="Image 17" o:spid="_x0000_i1037" type="#_x0000_t75" style="width:107.25pt;height:33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DontCompress&quot;/&gt;&lt;w:documentProtection w:enforcement=&quot;off&quot;/&gt;&lt;w:doNotEmbedSystemFonts/&gt;&lt;w:bordersDontSurroundHeader/&gt;&lt;w:bordersDontSurroundFooter/&gt;&lt;w:defaultTabStop w:val=&quot;720&quot;/&gt;&lt;w:displayHorizontalDrawingGridEvery w:val=&quot;1&quot;/&gt;&lt;w:displayVerticalDrawingGridEvery w:val=&quot;1&quot;/&gt;&lt;w:compat&gt;&lt;w:doNotExpandShiftReturn/&gt;&lt;w:wrapTextWithPunct/&gt;&lt;w:breakWrappedTables/&gt;&lt;w:useAsianBreakRules/&gt;&lt;w:dontGrowAutofit/&gt;&lt;/w:compat&gt;&lt;/w:docPr&gt;&lt;w:body&gt;&lt;wx:sect&gt;&lt;w:p&gt;&lt;m:oMathPara&gt;&lt;m:oMath&gt;&lt;m:sSub&gt;&lt;m:sSubPr&gt;&lt;m:ctrlPr&gt;&lt;w:rPr&gt;&lt;w:rFonts w:ascii=&quot;Cambria Math&quot; w:h-ansi=&quot;Cambria Math&quot; w:hint=&quot;default&quot;/&gt;&lt;w:i/&gt;&lt;w:color w:val=&quot;000000&quot;/&gt;&lt;/w:rPr&gt;&lt;/m:ctrlPr&gt;&lt;/m:sSubPr&gt;&lt;m:e&gt;&lt;m:r&gt;&lt;m:rPr&gt;&lt;m:scr m:val=&quot;roman&quot;/&gt;&lt;/m:rPr&gt;&lt;w:rPr&gt;&lt;w:rFonts w:ascii=&quot;Cambria Math&quot; w:h-ansi=&quot;Cambria Math&quot; w:hint=&quot;default&quot;/&gt;&lt;w:color w:val=&quot;000000&quot;/&gt;&lt;/w:rPr&gt;&lt;m:t&gt;K&lt;/m:t&gt;&lt;/m:r&gt;&lt;m:ctrlPr&gt;&lt;w:rPr&gt;&lt;w:rFonts w:ascii=&quot;Cambria Math&quot; w:h-ansi=&quot;Cambria Math&quot; w:hint=&quot;default&quot;/&gt;&lt;w:i/&gt;&lt;w:color w:val=&quot;000000&quot;/&gt;&lt;/w:rPr&gt;&lt;/m:ctrlPr&gt;&lt;/m:e&gt;&lt;m:sub&gt;&lt;m:r&gt;&lt;m:rPr&gt;&lt;m:scr m:val=&quot;roman&quot;/&gt;&lt;/m:rPr&gt;&lt;w:rPr&gt;&lt;w:rFonts w:ascii=&quot;Cambria Math&quot; w:h-ansi=&quot;Cambria Math&quot; w:hint=&quot;default&quot;/&gt;&lt;w:color w:val=&quot;000000&quot;/&gt;&lt;/w:rPr&gt;&lt;m:t&gt;ex2&lt;/m:t&gt;&lt;/m:r&gt;&lt;m:ctrlPr&gt;&lt;w:rPr&gt;&lt;w:rFonts w:ascii=&quot;Cambria Math&quot; w:h-ansi=&quot;Cambria Math&quot; w:hint=&quot;default&quot;/&gt;&lt;w:i/&gt;&lt;w:color w:val=&quot;000000&quot;/&gt;&lt;/w:rPr&gt;&lt;/m:ctrlPr&gt;&lt;/m:sub&gt;&lt;/m:sSub&gt;&lt;m:r&gt;&lt;m:rPr&gt;&lt;m:scr m:val=&quot;roman&quot;/&gt;&lt;/m:rPr&gt;&lt;w:rPr&gt;&lt;w:rFonts w:ascii=&quot;Cambria Math&quot; w:h-ansi=&quot;Cambria Math&quot; w:hint=&quot;default&quot;/&gt;&lt;w:color w:val=&quot;000000&quot;/&gt;&lt;/w:rPr&gt;&lt;m:t&gt;=&lt;/m:t&gt;&lt;/m:r&gt;&lt;m:f&gt;&lt;m:fPr&gt;&lt;m:ctrlPr&gt;&lt;w:rPr&gt;&lt;w:rFonts w:ascii=&quot;Cambria Math&quot; w:h-ansi=&quot;Cambria Math&quot; w:hint=&quot;default&quot;/&gt;&lt;w:i/&gt;&lt;w:color w:val=&quot;000000&quot;/&gt;&lt;/w:rPr&gt;&lt;/m:ctrlPr&gt;&lt;/m:fPr&gt;&lt;m:num&gt;&lt;m:d&gt;&lt;m:dPr&gt;&lt;m:begChr m:val=&quot;[&quot;/&gt;&lt;m:endChr m:val=&quot;]&quot;/&gt;&lt;m:ctrlPr&gt;&lt;w:rPr&gt;&lt;w:rFonts w:ascii=&quot;Cambria Math&quot; w:h-ansi=&quot;Cambria Math&quot; w:hint=&quot;default&quot;/&gt;&lt;w:i/&gt;&lt;w:color w:val=&quot;000000&quot;/&gt;&lt;/w:rPr&gt;&lt;/m:ctrlPr&gt;&lt;/m:dPr&gt;&lt;m:e&gt;&lt;m:bar&gt;&lt;m:barPr&gt;&lt;m:pos m:val=&quot;top&quot;/&gt;&lt;m:ctrlPr&gt;&lt;w:rPr&gt;&lt;w:rFonts w:ascii=&quot;Cambria Math&quot; w:h-ansi=&quot;Cambria Math&quot; w:hint=&quot;default&quot;/&gt;&lt;w:i/&gt;&lt;w:color w:val=&quot;000000&quot;/&gt;&lt;/w:rPr&gt;&lt;/m:ctrlPr&gt;&lt;/m:barPr&gt;&lt;m:e&gt;&lt;m:r&gt;&lt;m:rPr&gt;&lt;m:scr m:val=&quot;roman&quot;/&gt;&lt;/m:rPr&gt;&lt;w:rPr&gt;&lt;w:rFonts w:ascii=&quot;Cambria Math&quot; w:h-ansi=&quot;Cambria Math&quot; w:hint=&quot;default&quot;/&gt;&lt;w:color w:val=&quot;000000&quot;/&gt;&lt;/w:rPr&gt;&lt;m:t&gt;Ni&lt;/m:t&gt;&lt;/m:r&gt;&lt;m:sSub&gt;&lt;m:sSubPr&gt;&lt;m:ctrlPr&gt;&lt;w:rPr&gt;&lt;w:rFonts w:ascii=&quot;Cambria Math&quot; w:h-ansi=&quot;Cambria Math&quot; w:hint=&quot;default&quot;/&gt;&lt;w:i/&gt;&lt;w:color w:val=&quot;000000&quot;/&gt;&lt;/w:rPr&gt;&lt;/m:ctrlPr&gt;&lt;/m:sSubPr&gt;&lt;m:e&gt;&lt;m:r&gt;&lt;m:rPr&gt;&lt;m:scr m:val=&quot;roman&quot;/&gt;&lt;/m:rPr&gt;&lt;w:rPr&gt;&lt;w:rFonts w:ascii=&quot;Cambria Math&quot; w:h-ansi=&quot;Cambria Math&quot; w:hint=&quot;default&quot;/&gt;&lt;w:color w:val=&quot;000000&quot;/&gt;&lt;/w:rPr&gt;&lt;m:t&gt;L&lt;/m:t&gt;&lt;/m:r&gt;&lt;m:ctrlPr&gt;&lt;w:rPr&gt;&lt;w:rFonts w:ascii=&quot;Cambria Math&quot; w:h-ansi=&quot;Cambria Math&quot; w:hint=&quot;default&quot;/&gt;&lt;w:i/&gt;&lt;w:color w:val=&quot;000000&quot;/&gt;&lt;/w:rPr&gt;&lt;/m:ctrlPr&gt;&lt;/m:e&gt;&lt;m:sub&gt;&lt;m:r&gt;&lt;m:rPr&gt;&lt;m:scr m:val=&quot;roman&quot;/&gt;&lt;/m:rPr&gt;&lt;w:rPr&gt;&lt;w:rFonts w:ascii=&quot;Cambria Math&quot; w:h-ansi=&quot;Cambria Math&quot; w:hint=&quot;default&quot;/&gt;&lt;w:color w:val=&quot;000000&quot;/&gt;&lt;w:lang/&gt;&lt;/w:rPr&gt;&lt;m:t&gt;2&lt;/m:t&gt;&lt;/m:r&gt;&lt;m:ctrlPr&gt;&lt;w:rPr&gt;&lt;w:rFonts w:ascii=&quot;Cambria Math&quot; w:h-ansi=&quot;Cambria Math&quot; w:hint=&quot;default&quot;/&gt;&lt;w:i/&gt;&lt;w:color w:val=&quot;000000&quot;/&gt;&lt;/w:rPr&gt;&lt;/m:ctrlPr&gt;&lt;/m:sub&gt;&lt;/m:sSub&gt;&lt;m:r&gt;&lt;m:rPr&gt;&lt;m:scr m:val=&quot;roman&quot;/&gt;&lt;/m:rPr&gt;&lt;w:rPr&gt;&lt;w:rFonts w:ascii=&quot;Cambria Math&quot; w:h-ansi=&quot;Cambria Math&quot; w:hint=&quot;default&quot;/&gt;&lt;w:color w:val=&quot;000000&quot;/&gt;&lt;/w:rPr&gt;&lt;m:t&gt;p&lt;/m:t&gt;&lt;/m:r&gt;&lt;m:d&gt;&lt;m:dPr&gt;&lt;m:ctrlPr&gt;&lt;w:rPr&gt;&lt;w:rFonts w:ascii=&quot;Cambria Math&quot; w:h-ansi=&quot;Cambria Math&quot; w:hint=&quot;default&quot;/&gt;&lt;w:i/&gt;&lt;w:color w:val=&quot;000000&quot;/&gt;&lt;/w:rPr&gt;&lt;/m:ctrlPr&gt;&lt;/m:dPr&gt;&lt;m:e&gt;&lt;m:r&gt;&lt;m:rPr&gt;&lt;m:scr m:val=&quot;roman&quot;/&gt;&lt;/m:rPr&gt;&lt;w:rPr&gt;&lt;w:rFonts w:ascii=&quot;Cambria Math&quot; w:h-ansi=&quot;Cambria Math&quot; w:hint=&quot;default&quot;/&gt;&lt;w:color w:val=&quot;000000&quot;/&gt;&lt;/w:rPr&gt;&lt;m:t&gt;HL&lt;/m:t&gt;&lt;/m:r&gt;&lt;m:ctrlPr&gt;&lt;w:rPr&gt;&lt;w:rFonts w:ascii=&quot;Cambria Math&quot; w:h-ansi=&quot;Cambria Math&quot; w:hint=&quot;default&quot;/&gt;&lt;w:i/&gt;&lt;w:color w:val=&quot;000000&quot;/&gt;&lt;/w:rPr&gt;&lt;/m:ctrlPr&gt;&lt;/m:e&gt;&lt;/m:d&gt;&lt;m:ctrlPr&gt;&lt;w:rPr&gt;&lt;w:rFonts w:ascii=&quot;Cambria Math&quot; w:h-ansi=&quot;Cambria Math&quot; w:hint=&quot;default&quot;/&gt;&lt;w:i/&gt;&lt;w:color w:val=&quot;000000&quot;/&gt;&lt;/w:rPr&gt;&lt;/m:ctrlPr&gt;&lt;/m:e&gt;&lt;/m:bar&gt;&lt;m:ctrlPr&gt;&lt;w:rPr&gt;&lt;w:rFonts w:ascii=&quot;Cambria Math&quot; w:h-ansi=&quot;Cambria Math&quot; w:hint=&quot;default&quot;/&gt;&lt;w:i/&gt;&lt;w:color w:val=&quot;000000&quot;/&gt;&lt;/w:rPr&gt;&lt;/m:ctrlPr&gt;&lt;/m:e&gt;&lt;/m:d&gt;&lt;m:sSup&gt;&lt;m:sSupPr&gt;&lt;m:ctrlPr&gt;&lt;w:rPr&gt;&lt;w:rFonts w:ascii=&quot;Cambria Math&quot; w:h-ansi=&quot;Cambria Math&quot; w:hint=&quot;default&quot;/&gt;&lt;w:i/&gt;&lt;w:color w:val=&quot;000000&quot;/&gt;&lt;/w:rPr&gt;&lt;/m:ctrlPr&gt;&lt;/m:sSupPr&gt;&lt;m:e&gt;&lt;m:d&gt;&lt;m:dPr&gt;&lt;m:begChr m:val=&quot;[&quot;/&gt;&lt;m:endChr m:val=&quot;]&quot;/&gt;&lt;m:ctrlPr&gt;&lt;w:rPr&gt;&lt;w:rFonts w:ascii=&quot;Cambria Math&quot; w:h-ansi=&quot;Cambria Math&quot; w:hint=&quot;default&quot;/&gt;&lt;w:i/&gt;&lt;w:color w:val=&quot;000000&quot;/&gt;&lt;/w:rPr&gt;&lt;/m:ctrlPr&gt;&lt;/m:dPr&gt;&lt;m:e&gt;&lt;m:sSup&gt;&lt;m:sSupPr&gt;&lt;m:ctrlPr&gt;&lt;w:rPr&gt;&lt;w:rFonts w:ascii=&quot;Cambria Math&quot; w:h-ansi=&quot;Cambria Math&quot; w:hint=&quot;default&quot;/&gt;&lt;w:i/&gt;&lt;w:color w:val=&quot;000000&quot;/&gt;&lt;/w:rPr&gt;&lt;/m:ctrlPr&gt;&lt;/m:sSupPr&gt;&lt;m:e&gt;&lt;m:r&gt;&lt;m:rPr&gt;&lt;m:scr m:val=&quot;roman&quot;/&gt;&lt;/m:rPr&gt;&lt;w:rPr&gt;&lt;w:rFonts w:ascii=&quot;Cambria Math&quot; w:h-ansi=&quot;Cambria Math&quot; w:hint=&quot;default&quot;/&gt;&lt;w:color w:val=&quot;000000&quot;/&gt;&lt;/w:rPr&gt;&lt;m:t&gt;H&lt;/m:t&gt;&lt;/m:r&gt;&lt;m:ctrlPr&gt;&lt;w:rPr&gt;&lt;w:rFonts w:ascii=&quot;Cambria Math&quot; w:h-ansi=&quot;Cambria Math&quot; w:hint=&quot;default&quot;/&gt;&lt;w:i/&gt;&lt;w:color w:val=&quot;000000&quot;/&gt;&lt;/w:rPr&gt;&lt;/m:ctrlPr&gt;&lt;/m:e&gt;&lt;m:sup&gt;&lt;m:r&gt;&lt;m:rPr&gt;&lt;m:scr m:val=&quot;roman&quot;/&gt;&lt;/m:rPr&gt;&lt;w:rPr&gt;&lt;w:rFonts w:ascii=&quot;Cambria Math&quot; w:h-ansi=&quot;Cambria Math&quot; w:hint=&quot;default&quot;/&gt;&lt;w:color w:val=&quot;000000&quot;/&gt;&lt;/w:rPr&gt;&lt;m:t&gt;+&lt;/m:t&gt;&lt;/m:r&gt;&lt;m:ctrlPr&gt;&lt;w:rPr&gt;&lt;w:rFonts w:ascii=&quot;Cambria Math&quot; w:h-ansi=&quot;Cambria Math&quot; w:hint=&quot;default&quot;/&gt;&lt;w:i/&gt;&lt;w:color w:val=&quot;000000&quot;/&gt;&lt;/w:rPr&gt;&lt;/m:ctrlPr&gt;&lt;/m:sup&gt;&lt;/m:sSup&gt;&lt;m:ctrlPr&gt;&lt;w:rPr&gt;&lt;w:rFonts w:ascii=&quot;Cambria Math&quot; w:h-ansi=&quot;Cambria Math&quot; w:hint=&quot;default&quot;/&gt;&lt;w:i/&gt;&lt;w:color w:val=&quot;000000&quot;/&gt;&lt;/w:rPr&gt;&lt;/m:ctrlPr&gt;&lt;/m:e&gt;&lt;/m:d&gt;&lt;m:ctrlPr&gt;&lt;w:rPr&gt;&lt;w:rFonts w:ascii=&quot;Cambria Math&quot; w:h-ansi=&quot;Cambria Math&quot; w:hint=&quot;default&quot;/&gt;&lt;w:i/&gt;&lt;w:color w:val=&quot;000000&quot;/&gt;&lt;/w:rPr&gt;&lt;/m:ctrlPr&gt;&lt;/m:e&gt;&lt;m:sup&gt;&lt;m:r&gt;&lt;m:rPr&gt;&lt;m:scr m:val=&quot;roman&quot;/&gt;&lt;/m:rPr&gt;&lt;w:rPr&gt;&lt;w:rFonts w:ascii=&quot;Cambria Math&quot; w:h-ansi=&quot;Cambria Math&quot; w:hint=&quot;default&quot;/&gt;&lt;w:color w:val=&quot;000000&quot;/&gt;&lt;w:lang/&gt;&lt;/w:rPr&gt;&lt;m:t&gt;2&lt;/m:t&gt;&lt;/m:r&gt;&lt;m:ctrlPr&gt;&lt;w:rPr&gt;&lt;w:rFonts w:ascii=&quot;Cambria Math&quot; w:h-ansi=&quot;Cambria Math&quot; w:hint=&quot;default&quot;/&gt;&lt;w:i/&gt;&lt;w:color w:val=&quot;000000&quot;/&gt;&lt;/w:rPr&gt;&lt;/m:ctrlPr&gt;&lt;/m:sup&gt;&lt;/m:sSup&gt;&lt;m:ctrlPr&gt;&lt;w:rPr&gt;&lt;w:rFonts w:ascii=&quot;Cambria Math&quot; w:h-ansi=&quot;Cambria Math&quot; w:hint=&quot;default&quot;/&gt;&lt;w:i/&gt;&lt;w:color w:val=&quot;000000&quot;/&gt;&lt;/w:rPr&gt;&lt;/m:ctrlPr&gt;&lt;/m:num&gt;&lt;m:den&gt;&lt;m:d&gt;&lt;m:dPr&gt;&lt;m:begChr m:val=&quot;[&quot;/&gt;&lt;m:endChr m:val=&quot;]&quot;/&gt;&lt;m:ctrlPr&gt;&lt;w:rPr&gt;&lt;w:rFonts w:ascii=&quot;Cambria Math&quot; w:h-ansi=&quot;Cambria Math&quot; w:hint=&quot;default&quot;/&gt;&lt;w:i/&gt;&lt;w:color w:val=&quot;000000&quot;/&gt;&lt;/w:rPr&gt;&lt;/m:ctrlPr&gt;&lt;/m:dPr&gt;&lt;m:e&gt;&lt;m:r&gt;&lt;m:rPr&gt;&lt;m:scr m:val=&quot;roman&quot;/&gt;&lt;/m:rPr&gt;&lt;w:rPr&gt;&lt;w:rFonts w:ascii=&quot;Cambria Math&quot; w:h-ansi=&quot;Cambria Math&quot; w:hint=&quot;default&quot;/&gt;&lt;w:color w:val=&quot;000000&quot;/&gt;&lt;/w:rPr&gt;&lt;m:t&gt;N&lt;/m:t&gt;&lt;/m:r&gt;&lt;m:sSup&gt;&lt;m:sSupPr&gt;&lt;m:ctrlPr&gt;&lt;w:rPr&gt;&lt;w:rFonts w:ascii=&quot;Cambria Math&quot; w:h-ansi=&quot;Cambria Math&quot; w:hint=&quot;default&quot;/&gt;&lt;w:i/&gt;&lt;w:color w:val=&quot;000000&quot;/&gt;&lt;/w:rPr&gt;&lt;/m:ctrlPr&gt;&lt;/m:sSupPr&gt;&lt;m:e&gt;&lt;m:r&gt;&lt;m:rPr&gt;&lt;m:scr m:val=&quot;roman&quot;/&gt;&lt;/m:rPr&gt;&lt;w:rPr&gt;&lt;w:rFonts w:ascii=&quot;Cambria Math&quot; w:h-ansi=&quot;Cambria Math&quot; w:hint=&quot;default&quot;/&gt;&lt;w:color w:val=&quot;000000&quot;/&gt;&lt;/w:rPr&gt;&lt;m:t&gt;i&lt;/m:t&gt;&lt;/m:r&gt;&lt;m:ctrlPr&gt;&lt;w:rPr&gt;&lt;w:rFonts w:ascii=&quot;Cambria Math&quot; w:h-ansi=&quot;Cambria Math&quot; w:hint=&quot;default&quot;/&gt;&lt;w:i/&gt;&lt;w:color w:val=&quot;000000&quot;/&gt;&lt;/w:rPr&gt;&lt;/m:ctrlPr&gt;&lt;/m:e&gt;&lt;m:sup&gt;&lt;m:r&gt;&lt;m:rPr&gt;&lt;m:scr m:val=&quot;roman&quot;/&gt;&lt;/m:rPr&gt;&lt;w:rPr&gt;&lt;w:rFonts w:ascii=&quot;Cambria Math&quot; w:h-ansi=&quot;Cambria Math&quot; w:hint=&quot;default&quot;/&gt;&lt;w:color w:val=&quot;000000&quot;/&gt;&lt;/w:rPr&gt;&lt;m:t&gt;+2&lt;/m:t&gt;&lt;/m:r&gt;&lt;m:ctrlPr&gt;&lt;w:rPr&gt;&lt;w:rFonts w:ascii=&quot;Cambria Math&quot; w:h-ansi=&quot;Cambria Math&quot; w:hint=&quot;default&quot;/&gt;&lt;w:i/&gt;&lt;w:color w:val=&quot;000000&quot;/&gt;&lt;/w:rPr&gt;&lt;/m:ctrlPr&gt;&lt;/m:sup&gt;&lt;/m:sSup&gt;&lt;m:ctrlPr&gt;&lt;w:rPr&gt;&lt;w:rFonts w:ascii=&quot;Cambria Math&quot; w:h-ansi=&quot;Cambria Math&quot; w:hint=&quot;default&quot;/&gt;&lt;w:i/&gt;&lt;w:color w:val=&quot;000000&quot;/&gt;&lt;/w:rPr&gt;&lt;/m:ctrlPr&gt;&lt;/m:e&gt;&lt;/m:d&gt;&lt;m:sSup&gt;&lt;m:sSupPr&gt;&lt;m:ctrlPr&gt;&lt;w:rPr&gt;&lt;w:rFonts w:ascii=&quot;Cambria Math&quot; w:h-ansi=&quot;Cambria Math&quot; w:hint=&quot;default&quot;/&gt;&lt;w:i/&gt;&lt;w:color w:val=&quot;000000&quot;/&gt;&lt;/w:rPr&gt;&lt;/m:ctrlPr&gt;&lt;/m:sSupPr&gt;&lt;m:e&gt;&lt;m:d&gt;&lt;m:dPr&gt;&lt;m:begChr m:val=&quot;[&quot;/&gt;&lt;m:endChr m:val=&quot;]&quot;/&gt;&lt;m:ctrlPr&gt;&lt;w:rPr&gt;&lt;w:rFonts w:ascii=&quot;Cambria Math&quot; w:h-ansi=&quot;Cambria Math&quot; w:hint=&quot;default&quot;/&gt;&lt;w:i/&gt;&lt;w:color w:val=&quot;000000&quot;/&gt;&lt;/w:rPr&gt;&lt;/m:ctrlPr&gt;&lt;/m:dPr&gt;&lt;m:e&gt;&lt;m:bar&gt;&lt;m:barPr&gt;&lt;m:pos m:val=&quot;top&quot;/&gt;&lt;m:ctrlPr&gt;&lt;w:rPr&gt;&lt;w:rFonts w:ascii=&quot;Cambria Math&quot; w:h-ansi=&quot;Cambria Math&quot; w:hint=&quot;default&quot;/&gt;&lt;w:i/&gt;&lt;w:color w:val=&quot;000000&quot;/&gt;&lt;/w:rPr&gt;&lt;/m:ctrlPr&gt;&lt;/m:barPr&gt;&lt;m:e&gt;&lt;m:r&gt;&lt;m:rPr&gt;&lt;m:scr m:val=&quot;roman&quot;/&gt;&lt;/m:rPr&gt;&lt;w:rPr&gt;&lt;w:rFonts w:ascii=&quot;Cambria Math&quot; w:h-ansi=&quot;Cambria Math&quot; w:hint=&quot;default&quot;/&gt;&lt;w:color w:val=&quot;000000&quot;/&gt;&lt;/w:rPr&gt;&lt;m:t&gt;HL&lt;/m:t&gt;&lt;/m:r&gt;&lt;m:ctrlPr&gt;&lt;w:rPr&gt;&lt;w:rFonts w:ascii=&quot;Cambria Math&quot; w:h-ansi=&quot;Cambria Math&quot; w:hint=&quot;default&quot;/&gt;&lt;w:i/&gt;&lt;w:color w:val=&quot;000000&quot;/&gt;&lt;/w:rPr&gt;&lt;/m:ctrlPr&gt;&lt;/m:e&gt;&lt;/m:bar&gt;&lt;m:ctrlPr&gt;&lt;w:rPr&gt;&lt;w:rFonts w:ascii=&quot;Cambria Math&quot; w:h-ansi=&quot;Cambria Math&quot; w:hint=&quot;default&quot;/&gt;&lt;w:i/&gt;&lt;w:color w:val=&quot;000000&quot;/&gt;&lt;/w:rPr&gt;&lt;/m:ctrlPr&gt;&lt;/m:e&gt;&lt;/m:d&gt;&lt;m:ctrlPr&gt;&lt;w:rPr&gt;&lt;w:rFonts w:ascii=&quot;Cambria Math&quot; w:h-ansi=&quot;Cambria Math&quot; w:hint=&quot;default&quot;/&gt;&lt;w:i/&gt;&lt;w:color w:val=&quot;000000&quot;/&gt;&lt;/w:rPr&gt;&lt;/m:ctrlPr&gt;&lt;/m:e&gt;&lt;m:sup&gt;&lt;m:d&gt;&lt;m:dPr&gt;&lt;m:ctrlPr&gt;&lt;w:rPr&gt;&lt;w:rFonts w:ascii=&quot;Cambria Math&quot; w:h-ansi=&quot;Cambria Math&quot; w:hint=&quot;default&quot;/&gt;&lt;w:i/&gt;&lt;w:color w:val=&quot;000000&quot;/&gt;&lt;/w:rPr&gt;&lt;/m:ctrlPr&gt;&lt;/m:dPr&gt;&lt;m:e&gt;&lt;m:r&gt;&lt;m:rPr&gt;&lt;m:scr m:val=&quot;roman&quot;/&gt;&lt;/m:rPr&gt;&lt;w:rPr&gt;&lt;w:rFonts w:ascii=&quot;Cambria Math&quot; w:h-ansi=&quot;Cambria Math&quot; w:hint=&quot;default&quot;/&gt;&lt;w:color w:val=&quot;000000&quot;/&gt;&lt;w:lang/&gt;&lt;/w:rPr&gt;&lt;m:t&gt;2&lt;/m:t&gt;&lt;/m:r&gt;&lt;m:r&gt;&lt;m:rPr&gt;&lt;m:scr m:val=&quot;roman&quot;/&gt;&lt;/m:rPr&gt;&lt;w:rPr&gt;&lt;w:rFonts w:ascii=&quot;Cambria Math&quot; w:h-ansi=&quot;Cambria Math&quot; w:hint=&quot;default&quot;/&gt;&lt;w:color w:val=&quot;000000&quot;/&gt;&lt;/w:rPr&gt;&lt;m:t&gt;+p&lt;/m:t&gt;&lt;/m:r&gt;&lt;m:ctrlPr&gt;&lt;w:rPr&gt;&lt;w:rFonts w:ascii=&quot;Cambria Math&quot; w:h-ansi=&quot;Cambria Math&quot; w:hint=&quot;default&quot;/&gt;&lt;w:i/&gt;&lt;w:color w:val=&quot;000000&quot;/&gt;&lt;/w:rPr&gt;&lt;/m:ctrlPr&gt;&lt;/m:e&gt;&lt;/m:d&gt;&lt;m:ctrlPr&gt;&lt;w:rPr&gt;&lt;w:rFonts w:ascii=&quot;Cambria Math&quot; w:h-ansi=&quot;Cambria Math&quot; w:hint=&quot;default&quot;/&gt;&lt;w:i/&gt;&lt;w:color w:val=&quot;000000&quot;/&gt;&lt;/w:rPr&gt;&lt;/m:ctrlPr&gt;&lt;/m:sup&gt;&lt;/m:sSup&gt;&lt;m:ctrlPr&gt;&lt;w:rPr&gt;&lt;w:rFonts w:ascii=&quot;Cambria Math&quot; w:h-ansi=&quot;Cambria Math&quot; w:hint=&quot;default&quot;/&gt;&lt;w:i/&gt;&lt;w:color w:val=&quot;000000&quot;/&gt;&lt;/w:rPr&gt;&lt;/m:ctrlPr&gt;&lt;/m:den&gt;&lt;/m:f&gt;&lt;/m:oMath&gt;&lt;/m:oMathPara&gt;&lt;/w:p&gt;&lt;/wx:sect&gt;&lt;/w:body&gt;&lt;/w:wordDocumen">
            <v:imagedata r:id="rId30" o:title=""/>
            <o:lock v:ext="edit" aspectratio="f"/>
          </v:shape>
        </w:pict>
      </w:r>
      <w:r>
        <w:rPr>
          <w:color w:val="000000"/>
        </w:rPr>
        <w:t xml:space="preserve">          </w:t>
      </w:r>
      <w:r w:rsidR="00A60D4A">
        <w:rPr>
          <w:color w:val="000000"/>
        </w:rPr>
        <w:t xml:space="preserve">       </w:t>
      </w:r>
      <w:r>
        <w:rPr>
          <w:color w:val="000000"/>
        </w:rPr>
        <w:t xml:space="preserve">    </w:t>
      </w:r>
      <w:r>
        <w:rPr>
          <w:rFonts w:hint="cs"/>
          <w:color w:val="000000"/>
          <w:rtl/>
          <w:cs/>
          <w:lang w:bidi="ar-DZ"/>
        </w:rPr>
        <w:t xml:space="preserve">       </w:t>
      </w:r>
      <w:r>
        <w:rPr>
          <w:color w:val="000000"/>
        </w:rPr>
        <w:t xml:space="preserve">                           (6)</w:t>
      </w:r>
    </w:p>
    <w:p w14:paraId="7D77879C" w14:textId="77777777" w:rsidR="00B544FD" w:rsidRDefault="00B544FD">
      <w:pPr>
        <w:pStyle w:val="a9"/>
        <w:ind w:firstLine="720"/>
        <w:jc w:val="both"/>
        <w:rPr>
          <w:color w:val="000000"/>
        </w:rPr>
      </w:pPr>
      <w:r>
        <w:rPr>
          <w:color w:val="000000"/>
        </w:rPr>
        <w:t>The logarithmic expression of the distribution coefficient:</w:t>
      </w:r>
    </w:p>
    <w:p w14:paraId="6D9A571E" w14:textId="77777777" w:rsidR="00B544FD" w:rsidRDefault="00B544FD">
      <w:pPr>
        <w:pStyle w:val="a9"/>
        <w:ind w:firstLine="720"/>
        <w:jc w:val="center"/>
        <w:rPr>
          <w:color w:val="000000"/>
        </w:rPr>
      </w:pPr>
      <w:r>
        <w:rPr>
          <w:color w:val="000000"/>
        </w:rPr>
        <w:t xml:space="preserve"> </w:t>
      </w:r>
      <w:r>
        <w:rPr>
          <w:rFonts w:hint="cs"/>
          <w:color w:val="000000"/>
          <w:rtl/>
          <w:cs/>
          <w:lang w:bidi="ar-DZ"/>
        </w:rPr>
        <w:t xml:space="preserve">              </w:t>
      </w:r>
      <w:r>
        <w:rPr>
          <w:color w:val="000000"/>
        </w:rPr>
        <w:t xml:space="preserve">             </w:t>
      </w:r>
      <w:r>
        <w:rPr>
          <w:color w:val="000000"/>
          <w:lang w:val="fr-FR"/>
        </w:rPr>
        <w:pict w14:anchorId="1E5D0D66">
          <v:shape id="Image 18" o:spid="_x0000_i1038" type="#_x0000_t75" style="width:218.25pt;height:31.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DontCompress&quot;/&gt;&lt;w:documentProtection w:enforcement=&quot;off&quot;/&gt;&lt;w:doNotEmbedSystemFonts/&gt;&lt;w:bordersDontSurroundHeader/&gt;&lt;w:bordersDontSurroundFooter/&gt;&lt;w:defaultTabStop w:val=&quot;720&quot;/&gt;&lt;w:displayHorizontalDrawingGridEvery w:val=&quot;1&quot;/&gt;&lt;w:displayVerticalDrawingGridEvery w:val=&quot;1&quot;/&gt;&lt;w:compat&gt;&lt;w:doNotExpandShiftReturn/&gt;&lt;w:wrapTextWithPunct/&gt;&lt;w:breakWrappedTables/&gt;&lt;w:useAsianBreakRules/&gt;&lt;w:dontGrowAutofit/&gt;&lt;/w:compat&gt;&lt;/w:docPr&gt;&lt;w:body&gt;&lt;wx:sect&gt;&lt;w:p&gt;&lt;m:oMathPara&gt;&lt;m:oMath&gt;&lt;m:r&gt;&lt;m:rPr&gt;&lt;m:scr m:val=&quot;roman&quot;/&gt;&lt;/m:rPr&gt;&lt;w:rPr&gt;&lt;w:rFonts w:ascii=&quot;Cambria Math&quot; w:h-ansi=&quot;Cambria Math&quot; w:hint=&quot;default&quot;/&gt;&lt;w:color w:val=&quot;000000&quot;/&gt;&lt;/w:rPr&gt;&lt;m:t&gt;LogD=Log&lt;/m:t&gt;&lt;/m:r&gt;&lt;m:sSub&gt;&lt;m:sSubPr&gt;&lt;m:ctrlPr&gt;&lt;w:rPr&gt;&lt;w:rFonts w:ascii=&quot;Cambria Math&quot; w:h-ansi=&quot;Cambria Math&quot; w:hint=&quot;default&quot;/&gt;&lt;w:i/&gt;&lt;w:color w:val=&quot;000000&quot;/&gt;&lt;/w:rPr&gt;&lt;/m:ctrlPr&gt;&lt;/m:sSubPr&gt;&lt;m:e&gt;&lt;m:r&gt;&lt;m:rPr&gt;&lt;m:scr m:val=&quot;roman&quot;/&gt;&lt;/m:rPr&gt;&lt;w:rPr&gt;&lt;w:rFonts w:ascii=&quot;Cambria Math&quot; w:h-ansi=&quot;Cambria Math&quot; w:hint=&quot;default&quot;/&gt;&lt;w:color w:val=&quot;000000&quot;/&gt;&lt;/w:rPr&gt;&lt;m:t&gt;K&lt;/m:t&gt;&lt;/m:r&gt;&lt;m:ctrlPr&gt;&lt;w:rPr&gt;&lt;w:rFonts w:ascii=&quot;Cambria Math&quot; w:h-ansi=&quot;Cambria Math&quot; w:hint=&quot;default&quot;/&gt;&lt;w:i/&gt;&lt;w:color w:val=&quot;000000&quot;/&gt;&lt;/w:rPr&gt;&lt;/m:ctrlPr&gt;&lt;/m:e&gt;&lt;m:sub&gt;&lt;m:r&gt;&lt;m:rPr&gt;&lt;m:scr m:val=&quot;roman&quot;/&gt;&lt;/m:rPr&gt;&lt;w:rPr&gt;&lt;w:rFonts w:ascii=&quot;Cambria Math&quot; w:h-ansi=&quot;Cambria Math&quot; w:hint=&quot;default&quot;/&gt;&lt;w:color w:val=&quot;000000&quot;/&gt;&lt;/w:rPr&gt;&lt;m:t&gt;ex2&lt;/m:t&gt;&lt;/m:r&gt;&lt;m:ctrlPr&gt;&lt;w:rPr&gt;&lt;w:rFonts w:ascii=&quot;Cambria Math&quot; w:h-ansi=&quot;Cambria Math&quot; w:hint=&quot;default&quot;/&gt;&lt;w:i/&gt;&lt;w:color w:val=&quot;000000&quot;/&gt;&lt;/w:rPr&gt;&lt;/m:ctrlPr&gt;&lt;/m:sub&gt;&lt;/m:sSub&gt;&lt;m:r&gt;&lt;m:rPr&gt;&lt;m:scr m:val=&quot;roman&quot;/&gt;&lt;/m:rPr&gt;&lt;w:rPr&gt;&lt;w:rFonts w:ascii=&quot;Cambria Math&quot; w:h-ansi=&quot;Cambria Math&quot; w:hint=&quot;default&quot;/&gt;&lt;w:color w:val=&quot;000000&quot;/&gt;&lt;/w:rPr&gt;&lt;m:t&gt;+&lt;/m:t&gt;&lt;/m:r&gt;&lt;m:d&gt;&lt;m:dPr&gt;&lt;m:ctrlPr&gt;&lt;w:rPr&gt;&lt;w:rFonts w:ascii=&quot;Cambria Math&quot; w:h-ansi=&quot;Cambria Math&quot; w:hint=&quot;default&quot;/&gt;&lt;w:i/&gt;&lt;w:color w:val=&quot;000000&quot;/&gt;&lt;/w:rPr&gt;&lt;/m:ctrlPr&gt;&lt;/m:dPr&gt;&lt;m:e&gt;&lt;m:r&gt;&lt;m:rPr&gt;&lt;m:scr m:val=&quot;roman&quot;/&gt;&lt;/m:rPr&gt;&lt;w:rPr&gt;&lt;w:rFonts w:ascii=&quot;Cambria Math&quot; w:h-ansi=&quot;Cambria Math&quot; w:hint=&quot;default&quot;/&gt;&lt;w:color w:val=&quot;000000&quot;/&gt;&lt;w:lang/&gt;&lt;/w:rPr&gt;&lt;m:t&gt;2&lt;/m:t&gt;&lt;/m:r&gt;&lt;m:r&gt;&lt;m:rPr&gt;&lt;m:scr m:val=&quot;roman&quot;/&gt;&lt;/m:rPr&gt;&lt;w:rPr&gt;&lt;w:rFonts w:ascii=&quot;Cambria Math&quot; w:h-ansi=&quot;Cambria Math&quot; w:hint=&quot;default&quot;/&gt;&lt;w:color w:val=&quot;000000&quot;/&gt;&lt;/w:rPr&gt;&lt;m:t&gt;+p&lt;/m:t&gt;&lt;/m:r&gt;&lt;m:ctrlPr&gt;&lt;w:rPr&gt;&lt;w:rFonts w:ascii=&quot;Cambria Math&quot; w:h-ansi=&quot;Cambria Math&quot; w:hint=&quot;default&quot;/&gt;&lt;w:i/&gt;&lt;w:color w:val=&quot;000000&quot;/&gt;&lt;/w:rPr&gt;&lt;/m:ctrlPr&gt;&lt;/m:e&gt;&lt;/m:d&gt;&lt;m:r&gt;&lt;m:rPr&gt;&lt;m:scr m:val=&quot;roman&quot;/&gt;&lt;/m:rPr&gt;&lt;w:rPr&gt;&lt;w:rFonts w:ascii=&quot;Cambria Math&quot; w:h-ansi=&quot;Cambria Math&quot; w:hint=&quot;default&quot;/&gt;&lt;w:color w:val=&quot;000000&quot;/&gt;&lt;/w:rPr&gt;&lt;m:t&gt;Log&lt;/m:t&gt;&lt;/m:r&gt;&lt;m:d&gt;&lt;m:dPr&gt;&lt;m:begChr m:val=&quot;[&quot;/&gt;&lt;m:endChr m:val=&quot;]&quot;/&gt;&lt;m:ctrlPr&gt;&lt;w:rPr&gt;&lt;w:rFonts w:ascii=&quot;Cambria Math&quot; w:h-ansi=&quot;Cambria Math&quot; w:hint=&quot;default&quot;/&gt;&lt;w:i/&gt;&lt;w:color w:val=&quot;000000&quot;/&gt;&lt;/w:rPr&gt;&lt;/m:ctrlPr&gt;&lt;/m:dPr&gt;&lt;m:e&gt;&lt;m:bar&gt;&lt;m:barPr&gt;&lt;m:pos m:val=&quot;top&quot;/&gt;&lt;m:ctrlPr&gt;&lt;w:rPr&gt;&lt;w:rFonts w:ascii=&quot;Cambria Math&quot; w:h-ansi=&quot;Cambria Math&quot; w:hint=&quot;default&quot;/&gt;&lt;w:i/&gt;&lt;w:color w:val=&quot;000000&quot;/&gt;&lt;/w:rPr&gt;&lt;/m:ctrlPr&gt;&lt;/m:barPr&gt;&lt;m:e&gt;&lt;m:r&gt;&lt;m:rPr&gt;&lt;m:scr m:val=&quot;roman&quot;/&gt;&lt;/m:rPr&gt;&lt;w:rPr&gt;&lt;w:rFonts w:ascii=&quot;Cambria Math&quot; w:h-ansi=&quot;Cambria Math&quot; w:hint=&quot;default&quot;/&gt;&lt;w:color w:val=&quot;000000&quot;/&gt;&lt;/w:rPr&gt;&lt;m:t&gt;HL&lt;/m:t&gt;&lt;/m:r&gt;&lt;m:ctrlPr&gt;&lt;w:rPr&gt;&lt;w:rFonts w:ascii=&quot;Cambria Math&quot; w:h-ansi=&quot;Cambria Math&quot; w:hint=&quot;default&quot;/&gt;&lt;w:i/&gt;&lt;w:color w:val=&quot;000000&quot;/&gt;&lt;/w:rPr&gt;&lt;/m:ctrlPr&gt;&lt;/m:e&gt;&lt;/m:bar&gt;&lt;m:ctrlPr&gt;&lt;w:rPr&gt;&lt;w:rFonts w:ascii=&quot;Cambria Math&quot; w:h-ansi=&quot;Cambria Math&quot; w:hint=&quot;default&quot;/&gt;&lt;w:i/&gt;&lt;w:color w:val=&quot;000000&quot;/&gt;&lt;/w:rPr&gt;&lt;/m:ctrlPr&gt;&lt;/m:e&gt;&lt;/m:d&gt;&lt;m:r&gt;&lt;m:rPr&gt;&lt;m:scr m:val=&quot;roman&quot;/&gt;&lt;/m:rPr&gt;&lt;w:rPr&gt;&lt;w:rFonts w:ascii=&quot;Cambria Math&quot; w:h-ansi=&quot;Cambria Math&quot; w:hint=&quot;default&quot;/&gt;&lt;w:color w:val=&quot;000000&quot;/&gt;&lt;/w:rPr&gt;&lt;m:t&gt;+&lt;/m:t&gt;&lt;/m:r&gt;&lt;m:r&gt;&lt;m:rPr&gt;&lt;m:scr m:val=&quot;roman&quot;/&gt;&lt;/m:rPr&gt;&lt;w:rPr&gt;&lt;w:rFonts w:ascii=&quot;Cambria Math&quot; w:h-ansi=&quot;Cambria Math&quot; w:hint=&quot;default&quot;/&gt;&lt;w:color w:val=&quot;000000&quot;/&gt;&lt;w:lang/&gt;&lt;/w:rPr&gt;&lt;m:t&gt;2&lt;/m:t&gt;&lt;/m:r&gt;&lt;m:r&gt;&lt;m:rPr&gt;&lt;m:scr m:val=&quot;roman&quot;/&gt;&lt;/m:rPr&gt;&lt;w:rPr&gt;&lt;w:rFonts w:ascii=&quot;Cambria Math&quot; w:h-ansi=&quot;Cambria Math&quot; w:hint=&quot;default&quot;/&gt;&lt;w:color w:val=&quot;000000&quot;/&gt;&lt;/w:rPr&gt;&lt;m:t&gt;pH&lt;/m:t&gt;&lt;/m:r&gt;&lt;/m:oMath&gt;&lt;/m:oMathPara&gt;&lt;/w:p&gt;&lt;/wx:sect&gt;&lt;/w:body&gt;&lt;/w:wordDocumen">
            <v:imagedata r:id="rId31" o:title=""/>
            <o:lock v:ext="edit" aspectratio="f"/>
          </v:shape>
        </w:pict>
      </w:r>
      <w:r>
        <w:rPr>
          <w:color w:val="000000"/>
        </w:rPr>
        <w:t xml:space="preserve">  </w:t>
      </w:r>
      <w:r>
        <w:rPr>
          <w:rFonts w:hint="cs"/>
          <w:color w:val="000000"/>
          <w:rtl/>
          <w:cs/>
          <w:lang w:bidi="ar-DZ"/>
        </w:rPr>
        <w:t xml:space="preserve"> </w:t>
      </w:r>
      <w:r w:rsidR="00A60D4A">
        <w:rPr>
          <w:color w:val="000000"/>
          <w:lang w:bidi="ar-DZ"/>
        </w:rPr>
        <w:t xml:space="preserve">                 </w:t>
      </w:r>
      <w:r>
        <w:rPr>
          <w:color w:val="000000"/>
        </w:rPr>
        <w:t xml:space="preserve"> </w:t>
      </w:r>
      <w:r>
        <w:rPr>
          <w:rFonts w:hint="cs"/>
          <w:color w:val="000000"/>
          <w:rtl/>
          <w:cs/>
          <w:lang w:bidi="ar-DZ"/>
        </w:rPr>
        <w:t xml:space="preserve"> </w:t>
      </w:r>
      <w:r>
        <w:rPr>
          <w:color w:val="000000"/>
        </w:rPr>
        <w:t xml:space="preserve">  ( 7)</w:t>
      </w:r>
    </w:p>
    <w:p w14:paraId="550D0605" w14:textId="07F368A5" w:rsidR="00B544FD" w:rsidRDefault="00E01951">
      <w:pPr>
        <w:pStyle w:val="a9"/>
        <w:ind w:firstLine="720"/>
        <w:jc w:val="both"/>
        <w:rPr>
          <w:color w:val="000000"/>
          <w:lang w:bidi="ar-DZ"/>
        </w:rPr>
      </w:pPr>
      <w:r>
        <w:rPr>
          <w:noProof/>
          <w:color w:val="000000"/>
          <w:lang w:bidi="ar-DZ"/>
        </w:rPr>
        <w:drawing>
          <wp:anchor distT="0" distB="0" distL="114300" distR="114300" simplePos="0" relativeHeight="251656704" behindDoc="0" locked="0" layoutInCell="1" allowOverlap="1" wp14:anchorId="72D7D466" wp14:editId="52C919E6">
            <wp:simplePos x="0" y="0"/>
            <wp:positionH relativeFrom="column">
              <wp:posOffset>1659890</wp:posOffset>
            </wp:positionH>
            <wp:positionV relativeFrom="paragraph">
              <wp:posOffset>174625</wp:posOffset>
            </wp:positionV>
            <wp:extent cx="1557020" cy="459740"/>
            <wp:effectExtent l="0" t="0" r="0" b="0"/>
            <wp:wrapNone/>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57020" cy="45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B544FD">
        <w:rPr>
          <w:color w:val="000000"/>
          <w:lang w:bidi="ar-DZ"/>
        </w:rPr>
        <w:t xml:space="preserve">The percentage extractions (% E) </w:t>
      </w:r>
      <w:r w:rsidR="00C65857">
        <w:rPr>
          <w:color w:val="000000"/>
          <w:lang w:bidi="ar-DZ"/>
        </w:rPr>
        <w:t>of Nickel</w:t>
      </w:r>
      <w:r w:rsidR="00B544FD">
        <w:rPr>
          <w:color w:val="000000"/>
          <w:lang w:bidi="ar-DZ"/>
        </w:rPr>
        <w:t xml:space="preserve"> (II) can be calculated by:</w:t>
      </w:r>
    </w:p>
    <w:p w14:paraId="6FACCBD9" w14:textId="77777777" w:rsidR="00B544FD" w:rsidRDefault="00B544FD">
      <w:pPr>
        <w:pStyle w:val="a9"/>
        <w:ind w:firstLineChars="1126" w:firstLine="2702"/>
        <w:jc w:val="both"/>
        <w:rPr>
          <w:color w:val="000000"/>
          <w:lang w:bidi="ar-DZ"/>
        </w:rPr>
      </w:pPr>
      <w:r>
        <w:rPr>
          <w:color w:val="000000"/>
          <w:lang w:bidi="ar-DZ"/>
        </w:rPr>
        <w:t xml:space="preserve">                                       </w:t>
      </w:r>
      <w:r>
        <w:rPr>
          <w:rFonts w:hint="cs"/>
          <w:color w:val="000000"/>
          <w:rtl/>
          <w:cs/>
          <w:lang w:bidi="ar-DZ"/>
        </w:rPr>
        <w:t xml:space="preserve">                                                        </w:t>
      </w:r>
      <w:r>
        <w:rPr>
          <w:color w:val="000000"/>
          <w:lang w:bidi="ar-DZ"/>
        </w:rPr>
        <w:t>(8)</w:t>
      </w:r>
    </w:p>
    <w:p w14:paraId="53154276" w14:textId="77777777" w:rsidR="00B544FD" w:rsidRDefault="00B544FD">
      <w:pPr>
        <w:pStyle w:val="a9"/>
        <w:ind w:firstLine="720"/>
        <w:jc w:val="both"/>
      </w:pPr>
      <w:r>
        <w:t>To determine the stoichiometric coefficients of the organometallic species formed in the organic phase during nickel extraction, the classical slope analysis method was applied. This analytical approach is widely used in solvent-extraction studies because it provides a direct and reliable means of identifying the number of extractant molecules coordinated to the metal ion, as well as the number of protons displaced during the formation of the metal–extractant complex.</w:t>
      </w:r>
    </w:p>
    <w:p w14:paraId="71A381CE" w14:textId="77777777" w:rsidR="00B544FD" w:rsidRDefault="00623C76">
      <w:pPr>
        <w:pStyle w:val="a9"/>
        <w:ind w:firstLine="720"/>
        <w:jc w:val="both"/>
      </w:pPr>
      <w:r w:rsidRPr="00623C76">
        <w:rPr>
          <w:highlight w:val="yellow"/>
        </w:rPr>
        <w:t>The method involves constructing two separate plots that relate measurable experimental quantities to the theoretical extraction equation. In the first plot, the logarithm of the metal distribution coefficient (Log D) is plotted as a function of the pH of the aqueous phase, and the slope of this linear regression corresponds to the number of hydrogen ions released during the extraction process, since the extraction equilibrium predicts that the distribution coefficient increases proportionally with the extent of proton displacement.</w:t>
      </w:r>
      <w:r w:rsidR="00B544FD">
        <w:t xml:space="preserve"> </w:t>
      </w:r>
    </w:p>
    <w:p w14:paraId="28B7ACFB" w14:textId="77777777" w:rsidR="00B544FD" w:rsidRDefault="00B544FD">
      <w:pPr>
        <w:pStyle w:val="a9"/>
        <w:ind w:firstLine="720"/>
        <w:jc w:val="both"/>
      </w:pPr>
      <w:r>
        <w:lastRenderedPageBreak/>
        <w:t>hydrogen ions released during the extraction process, since the extraction equilibrium predicts that the distribution coefficient increases proportionally with the extent of proton displacement.</w:t>
      </w:r>
    </w:p>
    <w:p w14:paraId="2973D773" w14:textId="77777777" w:rsidR="00B544FD" w:rsidRDefault="00B544FD" w:rsidP="001F6054">
      <w:pPr>
        <w:pStyle w:val="a9"/>
        <w:ind w:firstLine="720"/>
        <w:jc w:val="both"/>
      </w:pPr>
      <w:r>
        <w:t xml:space="preserve">In the second plot, log D is plotted against the logarithm of the concentration of the extractant (HL)₂ in the organic phase. According to the extraction equilibrium model, the slope of this relationship reflects the number of extractant dimers participating in the formation of the organometallic complex. Because the aggregation state and coordination behavior of </w:t>
      </w:r>
      <w:r w:rsidR="001F6054" w:rsidRPr="001F6054">
        <w:rPr>
          <w:highlight w:val="yellow"/>
          <w:lang w:val="en-GB"/>
        </w:rPr>
        <w:t xml:space="preserve">Di(2-ethylhexyl) phosphoric acid </w:t>
      </w:r>
      <w:r>
        <w:t>depend strongly on solvent polarity, the slope obtained from this plot offers valuable information about how many extractant molecules are required to stabilize the nickel complex under the specific conditions employed.</w:t>
      </w:r>
    </w:p>
    <w:p w14:paraId="5C1D2E71" w14:textId="77777777" w:rsidR="00B544FD" w:rsidRDefault="00B544FD">
      <w:pPr>
        <w:pStyle w:val="a9"/>
        <w:ind w:firstLine="720"/>
        <w:jc w:val="both"/>
      </w:pPr>
      <w:r>
        <w:t>By analyzing the slopes of these two linear plots together, it becomes possible to deduce the full stoichiometric form of the extracted species. This dual-slope approach provides a clear and systematic way to interpret the extraction mechanism, enabling researchers to identify the composition of the metal–extractant complex present in the organic phase without requiring direct structural characterization techniques. As a result, the slope method remains one of the most effective and practical tools for elucidating stoichiometry in solvent-extraction systems.</w:t>
      </w:r>
    </w:p>
    <w:p w14:paraId="668B92D2" w14:textId="77777777" w:rsidR="00B544FD" w:rsidRDefault="00B544FD">
      <w:pPr>
        <w:pStyle w:val="3"/>
        <w:ind w:firstLine="720"/>
        <w:jc w:val="both"/>
        <w:rPr>
          <w:color w:val="000000"/>
          <w:lang w:val="en-US"/>
        </w:rPr>
      </w:pPr>
      <w:r>
        <w:rPr>
          <w:color w:val="000000"/>
          <w:lang w:val="en-US"/>
        </w:rPr>
        <w:t>Effect of pH</w:t>
      </w:r>
    </w:p>
    <w:p w14:paraId="138C601A" w14:textId="77777777" w:rsidR="00B544FD" w:rsidRDefault="00B544FD" w:rsidP="001F6054">
      <w:pPr>
        <w:pStyle w:val="a9"/>
        <w:ind w:firstLine="720"/>
        <w:jc w:val="both"/>
        <w:rPr>
          <w:color w:val="000000"/>
        </w:rPr>
      </w:pPr>
      <w:r>
        <w:rPr>
          <w:color w:val="000000"/>
        </w:rPr>
        <w:t xml:space="preserve">A comprehensive series of solvent-extraction experiments was conducted to evaluate how the logarithm of the metal distribution coefficient (Log D) varies with changes in the pH of the aqueous phase while maintaining a constant concentration of the extractant. These experiments were performed using a diverse set of organic diluents chloroform, toluene, dichloromethane, carbon tetrachloride, cyclohexane, 1-octanol, and methyl isobutyl ketone in order to assess how the nature of the solvent influences the extraction behavior of </w:t>
      </w:r>
      <w:r w:rsidR="00623C76">
        <w:rPr>
          <w:color w:val="000000"/>
        </w:rPr>
        <w:t>Ni (</w:t>
      </w:r>
      <w:r>
        <w:rPr>
          <w:color w:val="000000"/>
        </w:rPr>
        <w:t xml:space="preserve">II). Each solvent represents a different polarity class and hydrogen-bonding capacity, allowing the role of solvent environment on </w:t>
      </w:r>
      <w:r w:rsidR="001F6054" w:rsidRPr="001F6054">
        <w:rPr>
          <w:color w:val="000000"/>
          <w:highlight w:val="yellow"/>
          <w:lang w:val="en-GB"/>
        </w:rPr>
        <w:t xml:space="preserve">Di(2-ethylhexyl) phosphoric acid </w:t>
      </w:r>
      <w:r>
        <w:rPr>
          <w:color w:val="000000"/>
        </w:rPr>
        <w:t>aggregation and metal-complex formation to be systematically explored.</w:t>
      </w:r>
    </w:p>
    <w:p w14:paraId="0B4F88CF" w14:textId="77777777" w:rsidR="00B544FD" w:rsidRDefault="00B544FD" w:rsidP="001F6054">
      <w:pPr>
        <w:pStyle w:val="a9"/>
        <w:ind w:firstLine="720"/>
        <w:jc w:val="both"/>
        <w:rPr>
          <w:color w:val="000000"/>
        </w:rPr>
      </w:pPr>
      <w:r>
        <w:rPr>
          <w:color w:val="000000"/>
        </w:rPr>
        <w:t xml:space="preserve">The extraction profiles obtained from these experiments are illustrated in Figures 1, which show the dependence of Log D on pH at 25 °C for the extraction of Ni(II) from a sulfate medium possessing an ionic strength of 1. For each organic solvent, measurements were carried out at multiple concentrations of </w:t>
      </w:r>
      <w:r w:rsidR="001F6054" w:rsidRPr="001F6054">
        <w:rPr>
          <w:color w:val="000000"/>
          <w:highlight w:val="yellow"/>
          <w:lang w:val="en-GB"/>
        </w:rPr>
        <w:t xml:space="preserve">Di(2-ethylhexyl) phosphoric acid </w:t>
      </w:r>
      <w:r>
        <w:rPr>
          <w:color w:val="000000"/>
        </w:rPr>
        <w:t xml:space="preserve">to capture the effect of extractant availability on nickel uptake. The graphical trends reveal that the distribution coefficient increases progressively with increasing pH, consistent with the proton-release mechanism associated with </w:t>
      </w:r>
      <w:r w:rsidR="001F6054" w:rsidRPr="001F6054">
        <w:rPr>
          <w:color w:val="000000"/>
          <w:highlight w:val="yellow"/>
          <w:lang w:val="en-GB"/>
        </w:rPr>
        <w:t xml:space="preserve">Di(2-ethylhexyl) phosphoric acid </w:t>
      </w:r>
      <w:r w:rsidR="00484276">
        <w:rPr>
          <w:color w:val="000000"/>
          <w:lang w:val="en-GB"/>
        </w:rPr>
        <w:t>-</w:t>
      </w:r>
      <w:r>
        <w:rPr>
          <w:color w:val="000000"/>
        </w:rPr>
        <w:t>based extraction systems. At lower pH values, protonation of the extractant suppresses complex formation, whereas higher pH values favor deprotonation and facilitate the transfer of Ni(II) into the organic phase.</w:t>
      </w:r>
    </w:p>
    <w:p w14:paraId="05402BFE" w14:textId="77777777" w:rsidR="00B544FD" w:rsidRDefault="00B544FD" w:rsidP="00180C0C">
      <w:pPr>
        <w:pStyle w:val="a9"/>
        <w:spacing w:line="360" w:lineRule="auto"/>
        <w:jc w:val="both"/>
        <w:rPr>
          <w:color w:val="000000"/>
        </w:rPr>
      </w:pPr>
      <w:r>
        <w:rPr>
          <w:color w:val="000000"/>
        </w:rPr>
        <w:t xml:space="preserve">Across all diluents, a clear enhancement in the extraction of </w:t>
      </w:r>
      <w:r w:rsidR="00623C76">
        <w:rPr>
          <w:color w:val="000000"/>
        </w:rPr>
        <w:t>nickel (</w:t>
      </w:r>
      <w:r>
        <w:rPr>
          <w:color w:val="000000"/>
        </w:rPr>
        <w:t xml:space="preserve">II) was observed as the concentration of </w:t>
      </w:r>
      <w:r w:rsidR="00180C0C" w:rsidRPr="00180C0C">
        <w:rPr>
          <w:color w:val="000000"/>
          <w:highlight w:val="yellow"/>
          <w:lang w:val="en-GB"/>
        </w:rPr>
        <w:t xml:space="preserve">Di(2-ethylhexyl) phosphoric acid </w:t>
      </w:r>
      <w:r>
        <w:rPr>
          <w:color w:val="000000"/>
        </w:rPr>
        <w:t xml:space="preserve">in the organic phase was increased. This response confirms the critical role of extractant concentration in governing the equilibrium position of the extraction reaction. The greater availability of </w:t>
      </w:r>
      <w:r w:rsidR="00180C0C" w:rsidRPr="00180C0C">
        <w:rPr>
          <w:color w:val="000000"/>
          <w:highlight w:val="yellow"/>
          <w:lang w:val="en-GB"/>
        </w:rPr>
        <w:t xml:space="preserve">Di(2-ethylhexyl) phosphoric acid </w:t>
      </w:r>
      <w:r>
        <w:rPr>
          <w:color w:val="000000"/>
        </w:rPr>
        <w:t xml:space="preserve">molecules particularly in their dimeric form promotes the formation of the </w:t>
      </w:r>
      <w:r>
        <w:rPr>
          <w:color w:val="000000"/>
        </w:rPr>
        <w:lastRenderedPageBreak/>
        <w:t>nickel–extractant complex, thereby shifting the equilibrium toward the organic phase and elevating Log D. Although the magnitude of this effect varies among solvents due to differences in polarity and solvation properties, the overall trend underscores the strong dependence of extraction efficiency on extractant concentration, irrespective of the diluent employed.</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21"/>
        <w:gridCol w:w="4280"/>
      </w:tblGrid>
      <w:tr w:rsidR="00B544FD" w14:paraId="068F559A" w14:textId="77777777">
        <w:trPr>
          <w:trHeight w:val="90"/>
          <w:jc w:val="center"/>
        </w:trPr>
        <w:tc>
          <w:tcPr>
            <w:tcW w:w="4621" w:type="dxa"/>
          </w:tcPr>
          <w:p w14:paraId="09E46AFF" w14:textId="77777777" w:rsidR="00B544FD" w:rsidRDefault="00B544FD">
            <w:pPr>
              <w:pStyle w:val="a9"/>
              <w:spacing w:line="360" w:lineRule="auto"/>
              <w:jc w:val="center"/>
              <w:rPr>
                <w:color w:val="000000"/>
                <w:lang w:val="fr-FR" w:eastAsia="fr-FR" w:bidi="ar-DZ"/>
              </w:rPr>
            </w:pPr>
            <w:r>
              <w:rPr>
                <w:rFonts w:ascii="Calibri" w:eastAsia="等线" w:hAnsi="Calibri" w:cs="Arial"/>
                <w:sz w:val="22"/>
                <w:szCs w:val="22"/>
                <w:lang w:eastAsia="zh-CN"/>
              </w:rPr>
              <w:object w:dxaOrig="16022" w:dyaOrig="11247" w14:anchorId="5CFC3ECB">
                <v:shape id="Object 8" o:spid="_x0000_i1039" type="#_x0000_t75" alt="Project Path: .opju&#10;PE Folder: //&#10;Short Name: ch123" style="width:220.5pt;height:182.25pt;mso-position-horizontal-relative:page;mso-position-vertical-relative:page" o:ole="">
                  <v:imagedata r:id="rId33" o:title=""/>
                </v:shape>
                <o:OLEObject Type="Embed" ProgID="Origin50.Graph" ShapeID="Object 8" DrawAspect="Content" ObjectID="_1847254618" r:id="rId34"/>
              </w:object>
            </w:r>
            <w:r>
              <w:rPr>
                <w:lang w:val="fr-FR"/>
              </w:rPr>
              <w:t>Chloroform</w:t>
            </w:r>
          </w:p>
        </w:tc>
        <w:tc>
          <w:tcPr>
            <w:tcW w:w="4280" w:type="dxa"/>
          </w:tcPr>
          <w:p w14:paraId="1AE96333" w14:textId="77777777" w:rsidR="00B544FD" w:rsidRDefault="00B544FD">
            <w:pPr>
              <w:pStyle w:val="a9"/>
              <w:spacing w:line="360" w:lineRule="auto"/>
              <w:jc w:val="center"/>
              <w:rPr>
                <w:lang w:eastAsia="fr-FR"/>
              </w:rPr>
            </w:pPr>
            <w:r>
              <w:rPr>
                <w:rFonts w:ascii="Calibri" w:eastAsia="等线" w:hAnsi="Calibri" w:cs="Arial"/>
                <w:sz w:val="22"/>
                <w:szCs w:val="22"/>
                <w:lang w:eastAsia="zh-CN"/>
              </w:rPr>
              <w:object w:dxaOrig="15831" w:dyaOrig="11025" w14:anchorId="5401E7C2">
                <v:shape id="Object 9" o:spid="_x0000_i1040" type="#_x0000_t75" alt="Project Path: UNTITLED.opju&#10;PE Folder: /UNTITLED/&#10;Short Name: Graph1" style="width:201pt;height:180pt;mso-position-horizontal-relative:page;mso-position-vertical-relative:page" o:ole="">
                  <v:fill o:detectmouseclick="t"/>
                  <v:imagedata r:id="rId35" o:title=" Graph1"/>
                </v:shape>
                <o:OLEObject Type="Embed" ProgID="Origin50.Graph" ShapeID="Object 9" DrawAspect="Content" ObjectID="_1847254619" r:id="rId36"/>
              </w:object>
            </w:r>
            <w:r>
              <w:rPr>
                <w:lang w:val="fr-FR"/>
              </w:rPr>
              <w:t>Toluene</w:t>
            </w:r>
          </w:p>
        </w:tc>
      </w:tr>
      <w:tr w:rsidR="00B544FD" w14:paraId="38C12077" w14:textId="77777777">
        <w:trPr>
          <w:trHeight w:val="3513"/>
          <w:jc w:val="center"/>
        </w:trPr>
        <w:tc>
          <w:tcPr>
            <w:tcW w:w="4621" w:type="dxa"/>
          </w:tcPr>
          <w:p w14:paraId="43D39FA8" w14:textId="77777777" w:rsidR="00B544FD" w:rsidRDefault="00B544FD">
            <w:pPr>
              <w:pStyle w:val="a9"/>
              <w:spacing w:line="360" w:lineRule="auto"/>
              <w:jc w:val="center"/>
              <w:rPr>
                <w:color w:val="000000"/>
                <w:lang w:val="fr-FR" w:eastAsia="fr-FR" w:bidi="ar-DZ"/>
              </w:rPr>
            </w:pPr>
            <w:r>
              <w:rPr>
                <w:rFonts w:ascii="Calibri" w:eastAsia="等线" w:hAnsi="Calibri" w:cs="Arial"/>
                <w:sz w:val="22"/>
                <w:szCs w:val="22"/>
                <w:lang w:eastAsia="zh-CN"/>
              </w:rPr>
              <w:object w:dxaOrig="16378" w:dyaOrig="11563" w14:anchorId="6824DA89">
                <v:shape id="Object 10" o:spid="_x0000_i1041" type="#_x0000_t75" alt="Project Path: .opju&#10;PE Folder: //&#10;Short Name: Graph16" style="width:228pt;height:161.25pt;mso-position-horizontal-relative:page;mso-position-vertical-relative:page" o:ole="">
                  <v:imagedata r:id="rId37" o:title=""/>
                </v:shape>
                <o:OLEObject Type="Embed" ProgID="Origin50.Graph" ShapeID="Object 10" DrawAspect="Content" ObjectID="_1847254620" r:id="rId38"/>
              </w:object>
            </w:r>
            <w:r>
              <w:rPr>
                <w:lang w:val="fr-FR"/>
              </w:rPr>
              <w:t>dichloromethane</w:t>
            </w:r>
          </w:p>
        </w:tc>
        <w:tc>
          <w:tcPr>
            <w:tcW w:w="4280" w:type="dxa"/>
          </w:tcPr>
          <w:p w14:paraId="28A0B80A" w14:textId="77777777" w:rsidR="00B544FD" w:rsidRDefault="00B544FD">
            <w:pPr>
              <w:pStyle w:val="a9"/>
              <w:spacing w:line="360" w:lineRule="auto"/>
              <w:jc w:val="center"/>
              <w:rPr>
                <w:color w:val="000000"/>
                <w:lang w:val="fr-FR" w:eastAsia="fr-FR" w:bidi="ar-DZ"/>
              </w:rPr>
            </w:pPr>
            <w:r>
              <w:rPr>
                <w:rFonts w:ascii="Calibri" w:eastAsia="等线" w:hAnsi="Calibri" w:cs="Arial"/>
                <w:sz w:val="22"/>
                <w:szCs w:val="22"/>
                <w:lang w:eastAsia="zh-CN"/>
              </w:rPr>
              <w:object w:dxaOrig="15803" w:dyaOrig="11007" w14:anchorId="68E0AA89">
                <v:shape id="Object 11" o:spid="_x0000_i1042" type="#_x0000_t75" alt="Project Path: .opju&#10;PE Folder: //&#10;Short Name: CCL4123" style="width:196.5pt;height:159pt;mso-position-horizontal-relative:page;mso-position-vertical-relative:page" o:ole="">
                  <v:fill o:detectmouseclick="t"/>
                  <v:imagedata r:id="rId39" o:title=" CCL4123"/>
                </v:shape>
                <o:OLEObject Type="Embed" ProgID="Origin50.Graph" ShapeID="Object 11" DrawAspect="Content" ObjectID="_1847254621" r:id="rId40"/>
              </w:object>
            </w:r>
            <w:r>
              <w:rPr>
                <w:lang w:val="fr-FR"/>
              </w:rPr>
              <w:t xml:space="preserve">      </w:t>
            </w:r>
            <w:r>
              <w:rPr>
                <w:color w:val="000000"/>
                <w:lang w:val="fr-FR"/>
              </w:rPr>
              <w:t>C</w:t>
            </w:r>
            <w:r>
              <w:rPr>
                <w:color w:val="000000"/>
              </w:rPr>
              <w:t>arbon tetrachloride</w:t>
            </w:r>
          </w:p>
        </w:tc>
      </w:tr>
      <w:tr w:rsidR="00B544FD" w14:paraId="66A99CEF" w14:textId="77777777">
        <w:trPr>
          <w:trHeight w:val="90"/>
          <w:jc w:val="center"/>
        </w:trPr>
        <w:tc>
          <w:tcPr>
            <w:tcW w:w="4621" w:type="dxa"/>
          </w:tcPr>
          <w:p w14:paraId="64073DFC" w14:textId="77777777" w:rsidR="00B544FD" w:rsidRDefault="00B544FD">
            <w:pPr>
              <w:pStyle w:val="a9"/>
              <w:spacing w:line="360" w:lineRule="auto"/>
              <w:jc w:val="center"/>
              <w:rPr>
                <w:color w:val="000000"/>
                <w:lang w:val="fr-FR" w:eastAsia="fr-FR" w:bidi="ar-DZ"/>
              </w:rPr>
            </w:pPr>
            <w:r>
              <w:rPr>
                <w:rFonts w:ascii="Calibri" w:eastAsia="等线" w:hAnsi="Calibri" w:cs="Arial"/>
                <w:sz w:val="22"/>
                <w:szCs w:val="22"/>
                <w:lang w:eastAsia="zh-CN"/>
              </w:rPr>
              <w:object w:dxaOrig="15817" w:dyaOrig="11017" w14:anchorId="0DFB31C6">
                <v:shape id="Object 12" o:spid="_x0000_i1043" type="#_x0000_t75" alt="Project Path: .opju&#10;PE Folder: //&#10;Short Name: Graph1" style="width:255pt;height:194.25pt;mso-position-horizontal-relative:page;mso-position-vertical-relative:page" o:ole="">
                  <v:imagedata r:id="rId41" o:title=""/>
                </v:shape>
                <o:OLEObject Type="Embed" ProgID="Origin50.Graph" ShapeID="Object 12" DrawAspect="Content" ObjectID="_1847254622" r:id="rId42"/>
              </w:object>
            </w:r>
            <w:r>
              <w:rPr>
                <w:lang w:val="fr-FR"/>
              </w:rPr>
              <w:t>Cyclohexne</w:t>
            </w:r>
          </w:p>
        </w:tc>
        <w:tc>
          <w:tcPr>
            <w:tcW w:w="4280" w:type="dxa"/>
          </w:tcPr>
          <w:p w14:paraId="04E1D4B3" w14:textId="77777777" w:rsidR="00B544FD" w:rsidRDefault="00B544FD">
            <w:pPr>
              <w:pStyle w:val="a9"/>
              <w:spacing w:line="360" w:lineRule="auto"/>
              <w:jc w:val="center"/>
              <w:rPr>
                <w:lang w:val="fr-FR" w:eastAsia="fr-FR"/>
              </w:rPr>
            </w:pPr>
            <w:r>
              <w:rPr>
                <w:rFonts w:ascii="Calibri" w:eastAsia="等线" w:hAnsi="Calibri" w:cs="Arial"/>
                <w:sz w:val="22"/>
                <w:szCs w:val="22"/>
                <w:lang w:eastAsia="zh-CN"/>
              </w:rPr>
              <w:object w:dxaOrig="15375" w:dyaOrig="11893" w14:anchorId="78B130E6">
                <v:shape id="Object 13" o:spid="_x0000_i1044" type="#_x0000_t75" alt="Project Path: UNTITLED.opju&#10;PE Folder: /UNTITLED/&#10;Short Name: MIBK123" style="width:237.75pt;height:183.75pt;mso-position-horizontal-relative:page;mso-position-vertical-relative:page" o:ole="">
                  <v:imagedata r:id="rId43" o:title=""/>
                </v:shape>
                <o:OLEObject Type="Embed" ProgID="Origin50.Graph" ShapeID="Object 13" DrawAspect="Content" ObjectID="_1847254623" r:id="rId44"/>
              </w:object>
            </w:r>
            <w:r>
              <w:rPr>
                <w:lang w:val="fr-FR"/>
              </w:rPr>
              <w:t>Mibk</w:t>
            </w:r>
          </w:p>
        </w:tc>
      </w:tr>
    </w:tbl>
    <w:p w14:paraId="13F668B9" w14:textId="77777777" w:rsidR="00B544FD" w:rsidRDefault="00B544FD">
      <w:pPr>
        <w:spacing w:after="0"/>
        <w:rPr>
          <w:vanish/>
        </w:rPr>
      </w:pPr>
    </w:p>
    <w:tbl>
      <w:tblPr>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8522"/>
      </w:tblGrid>
      <w:tr w:rsidR="00B544FD" w14:paraId="60FFF528" w14:textId="77777777">
        <w:trPr>
          <w:trHeight w:val="4067"/>
          <w:jc w:val="center"/>
        </w:trPr>
        <w:tc>
          <w:tcPr>
            <w:tcW w:w="8522" w:type="dxa"/>
          </w:tcPr>
          <w:p w14:paraId="6F1C4A42" w14:textId="77777777" w:rsidR="00B544FD" w:rsidRDefault="00B544FD">
            <w:pPr>
              <w:pStyle w:val="a9"/>
              <w:ind w:firstLine="121"/>
              <w:jc w:val="center"/>
              <w:rPr>
                <w:color w:val="000000"/>
                <w:lang w:val="fr-FR"/>
              </w:rPr>
            </w:pPr>
            <w:r>
              <w:rPr>
                <w:rFonts w:ascii="Calibri" w:eastAsia="等线" w:hAnsi="Calibri" w:cs="Arial"/>
                <w:sz w:val="22"/>
                <w:szCs w:val="22"/>
                <w:lang w:eastAsia="zh-CN"/>
              </w:rPr>
              <w:object w:dxaOrig="15400" w:dyaOrig="11908" w14:anchorId="40ADDBB2">
                <v:shape id="Object 14" o:spid="_x0000_i1045" type="#_x0000_t75" alt="Project Path: .opju&#10;PE Folder: //&#10;Short Name: Graph4" style="width:277.5pt;height:214.5pt;mso-position-horizontal-relative:page;mso-position-vertical-relative:page" o:ole="">
                  <v:imagedata r:id="rId45" o:title=""/>
                </v:shape>
                <o:OLEObject Type="Embed" ProgID="Origin50.Graph" ShapeID="Object 14" DrawAspect="Content" ObjectID="_1847254624" r:id="rId46"/>
              </w:object>
            </w:r>
          </w:p>
          <w:p w14:paraId="2B59CA00" w14:textId="77777777" w:rsidR="00B544FD" w:rsidRDefault="00B544FD">
            <w:pPr>
              <w:pStyle w:val="a9"/>
              <w:ind w:firstLine="121"/>
              <w:jc w:val="center"/>
              <w:rPr>
                <w:color w:val="000000"/>
                <w:lang w:val="fr-FR"/>
              </w:rPr>
            </w:pPr>
            <w:r>
              <w:rPr>
                <w:lang w:val="fr-FR"/>
              </w:rPr>
              <w:t>1Octanol</w:t>
            </w:r>
            <w:r>
              <w:rPr>
                <w:color w:val="000000"/>
                <w:lang w:val="fr-FR"/>
              </w:rPr>
              <w:t xml:space="preserve">                               </w:t>
            </w:r>
          </w:p>
          <w:p w14:paraId="2EA73DF0" w14:textId="77777777" w:rsidR="00B544FD" w:rsidRDefault="00B544FD">
            <w:pPr>
              <w:pStyle w:val="a9"/>
              <w:ind w:firstLine="121"/>
              <w:rPr>
                <w:color w:val="000000"/>
                <w:lang w:eastAsia="fr-FR"/>
              </w:rPr>
            </w:pPr>
          </w:p>
        </w:tc>
      </w:tr>
    </w:tbl>
    <w:p w14:paraId="566CD89F" w14:textId="77777777" w:rsidR="00B544FD" w:rsidRDefault="00B544FD">
      <w:pPr>
        <w:pStyle w:val="a9"/>
        <w:ind w:firstLine="720"/>
        <w:jc w:val="center"/>
        <w:rPr>
          <w:i/>
          <w:iCs/>
          <w:color w:val="000000"/>
          <w:sz w:val="20"/>
          <w:szCs w:val="20"/>
        </w:rPr>
      </w:pPr>
      <w:r>
        <w:rPr>
          <w:i/>
          <w:iCs/>
          <w:color w:val="000000"/>
          <w:sz w:val="20"/>
          <w:szCs w:val="20"/>
        </w:rPr>
        <w:t>Fig. 1: Influence of pH on the distribution coefficient Organic phase: D2EHPA/diluents</w:t>
      </w:r>
    </w:p>
    <w:p w14:paraId="28BF247B" w14:textId="77777777" w:rsidR="00B544FD" w:rsidRDefault="00B544FD" w:rsidP="00180C0C">
      <w:pPr>
        <w:pStyle w:val="a9"/>
        <w:ind w:firstLine="720"/>
        <w:jc w:val="both"/>
        <w:rPr>
          <w:rFonts w:eastAsia="宋体"/>
        </w:rPr>
      </w:pPr>
      <w:r>
        <w:rPr>
          <w:rFonts w:eastAsia="宋体"/>
        </w:rPr>
        <w:t xml:space="preserve">Figure 1 presents the extraction profiles of nickel in the presence of </w:t>
      </w:r>
      <w:r w:rsidR="00180C0C" w:rsidRPr="00180C0C">
        <w:rPr>
          <w:rFonts w:eastAsia="宋体"/>
          <w:highlight w:val="yellow"/>
          <w:lang w:val="en-GB"/>
        </w:rPr>
        <w:t xml:space="preserve">Di(2-ethylhexyl) phosphoric acid </w:t>
      </w:r>
      <w:r>
        <w:rPr>
          <w:rFonts w:eastAsia="宋体"/>
        </w:rPr>
        <w:t xml:space="preserve">across a range of organic solvents, showing how strongly pH and solvent characteristics dictate the overall extraction performance. By maintaining a fixed concentration of </w:t>
      </w:r>
      <w:r w:rsidR="00180C0C" w:rsidRPr="00180C0C">
        <w:rPr>
          <w:rFonts w:eastAsia="宋体"/>
          <w:highlight w:val="yellow"/>
          <w:lang w:val="en-GB"/>
        </w:rPr>
        <w:t xml:space="preserve">Di(2-ethylhexyl) phosphoric acid </w:t>
      </w:r>
      <w:r>
        <w:rPr>
          <w:rFonts w:eastAsia="宋体"/>
        </w:rPr>
        <w:t>throughout the experiments, the influence of pH and solvent effects could be evaluated more accurately. The results reveal that even small adjustments in these parameters can produce noticeable differences in extraction behavior, emphasizing the importance of carefully controlling experimental conditions to ensure consistent and reproducible extraction efficiencies.</w:t>
      </w:r>
    </w:p>
    <w:p w14:paraId="47E7388F" w14:textId="77777777" w:rsidR="00B544FD" w:rsidRDefault="00B544FD" w:rsidP="00180C0C">
      <w:pPr>
        <w:pStyle w:val="a9"/>
        <w:ind w:firstLine="720"/>
        <w:jc w:val="both"/>
        <w:rPr>
          <w:rFonts w:eastAsia="宋体"/>
        </w:rPr>
      </w:pPr>
      <w:r>
        <w:rPr>
          <w:rFonts w:eastAsia="宋体"/>
        </w:rPr>
        <w:t xml:space="preserve">A key pattern emerging from the data is the clear linear increase of the distribution coefficient (log D) with rising pH. As the pH becomes more alkaline, log D consistently rises, indicating more efficient transfer of nickel ions into the organic phase. This behavior can be attributed to the greater deprotonation of the acidic extractant, </w:t>
      </w:r>
      <w:r w:rsidR="00180C0C" w:rsidRPr="00180C0C">
        <w:rPr>
          <w:rFonts w:eastAsia="宋体"/>
          <w:highlight w:val="yellow"/>
          <w:lang w:val="en-GB"/>
        </w:rPr>
        <w:t>Di(2-ethylhexyl) phosphoric acid</w:t>
      </w:r>
      <w:r>
        <w:rPr>
          <w:rFonts w:eastAsia="宋体"/>
        </w:rPr>
        <w:t xml:space="preserve">, at higher pH values. When deprotonated, </w:t>
      </w:r>
      <w:r w:rsidR="00180C0C" w:rsidRPr="00180C0C">
        <w:rPr>
          <w:rFonts w:eastAsia="宋体"/>
          <w:highlight w:val="yellow"/>
          <w:lang w:val="en-GB"/>
        </w:rPr>
        <w:t xml:space="preserve">Di(2-ethylhexyl) phosphoric acid </w:t>
      </w:r>
      <w:r>
        <w:rPr>
          <w:rFonts w:eastAsia="宋体"/>
        </w:rPr>
        <w:t>exhibits a stronger affinity for Ni²⁺ ions, facilitating the formation of stable nickel–extractant complexes. As a result, the extraction process becomes progressively more effective as the pH increases.</w:t>
      </w:r>
    </w:p>
    <w:p w14:paraId="0C71906E" w14:textId="77777777" w:rsidR="00B544FD" w:rsidRDefault="00B544FD" w:rsidP="00CE7235">
      <w:pPr>
        <w:pStyle w:val="a9"/>
        <w:ind w:firstLine="720"/>
        <w:jc w:val="both"/>
        <w:rPr>
          <w:rFonts w:eastAsia="宋体"/>
        </w:rPr>
      </w:pPr>
      <w:r>
        <w:rPr>
          <w:rFonts w:eastAsia="宋体"/>
        </w:rPr>
        <w:t xml:space="preserve">These findings clearly demonstrate that the extraction performance of nickel is governed by a combination of chemical and physical factors that operate simultaneously within the system. The behavior of the extraction equilibrium particularly the proton-release step inherent to </w:t>
      </w:r>
      <w:r w:rsidR="00CE7235" w:rsidRPr="00B85055">
        <w:rPr>
          <w:rFonts w:eastAsia="宋体"/>
          <w:highlight w:val="yellow"/>
          <w:lang w:val="en-GB"/>
        </w:rPr>
        <w:t xml:space="preserve">Di(2-ethylhexyl) phosphoric acid </w:t>
      </w:r>
      <w:r w:rsidRPr="00B85055">
        <w:rPr>
          <w:rFonts w:eastAsia="宋体"/>
          <w:highlight w:val="yellow"/>
        </w:rPr>
        <w:t>-</w:t>
      </w:r>
      <w:r>
        <w:rPr>
          <w:rFonts w:eastAsia="宋体"/>
        </w:rPr>
        <w:t xml:space="preserve">based mechanisms plays a central role in determining the extent to which </w:t>
      </w:r>
      <w:r w:rsidR="00623C76">
        <w:rPr>
          <w:rFonts w:eastAsia="宋体"/>
        </w:rPr>
        <w:t>Ni (</w:t>
      </w:r>
      <w:r>
        <w:rPr>
          <w:rFonts w:eastAsia="宋体"/>
        </w:rPr>
        <w:t>II) is transferred from the aqueous to the organic phase. At the same time, the characteristics of the solvent, including its polarity, ability to stabilize extractant dimers, and interaction with the formed metal–extractant complex, significantly influence the efficiency with which the extraction reaction proceeds.</w:t>
      </w:r>
    </w:p>
    <w:p w14:paraId="7BBE9490" w14:textId="77777777" w:rsidR="00B544FD" w:rsidRDefault="00B544FD">
      <w:pPr>
        <w:pStyle w:val="a9"/>
        <w:ind w:firstLine="720"/>
        <w:jc w:val="both"/>
        <w:rPr>
          <w:rFonts w:eastAsia="宋体"/>
          <w:highlight w:val="yellow"/>
        </w:rPr>
      </w:pPr>
      <w:r>
        <w:rPr>
          <w:rFonts w:eastAsia="宋体"/>
        </w:rPr>
        <w:lastRenderedPageBreak/>
        <w:t xml:space="preserve">The results indicate that the recovery of nickel is not dictated solely by the available concentration of extractant, but is also highly sensitive to the exact acidity of the aqueous medium. Because the extraction mechanism involves the exchange of protons, changes in metal distribution. This sensitivity underscores the critical importance of maintaining tight pH control during experimental operations as well as during large-scale industrial extraction processes. In practical applications, insufficient regulation of pH can lead to inconsistent extraction performance, reduced metal recovery, or the formation of undesirable side products </w:t>
      </w:r>
      <w:r>
        <w:rPr>
          <w:highlight w:val="yellow"/>
        </w:rPr>
        <w:t>[</w:t>
      </w:r>
      <w:r w:rsidR="000E7D47">
        <w:rPr>
          <w:highlight w:val="yellow"/>
        </w:rPr>
        <w:t>24</w:t>
      </w:r>
      <w:r>
        <w:rPr>
          <w:highlight w:val="yellow"/>
        </w:rPr>
        <w:t>]</w:t>
      </w:r>
      <w:r>
        <w:rPr>
          <w:rFonts w:eastAsia="宋体"/>
          <w:highlight w:val="yellow"/>
        </w:rPr>
        <w:t>.</w:t>
      </w:r>
    </w:p>
    <w:p w14:paraId="595658E3" w14:textId="77777777" w:rsidR="00B544FD" w:rsidRDefault="00B544FD">
      <w:pPr>
        <w:pStyle w:val="a9"/>
        <w:ind w:firstLine="720"/>
        <w:jc w:val="both"/>
        <w:rPr>
          <w:rFonts w:eastAsia="宋体"/>
        </w:rPr>
      </w:pPr>
      <w:r>
        <w:rPr>
          <w:rFonts w:eastAsia="宋体"/>
        </w:rPr>
        <w:t>Taken together, the experimental trends reinforce the conclusion that robust and reproducible metal extraction requires both rigorous experimental control and a comprehensive understanding of the chemical equilibria governing the system. A well-defined pH environment, an appropriate choice of solvent, and an optimized extractant concentration must all be carefully coordinated to achieve high extraction efficiency and stable process performance. These considerations are essential not only for laboratory-scale investigations but also for designing industrial solvent-extraction circuits capable of delivering predictable and efficient nickel recovery.</w:t>
      </w:r>
    </w:p>
    <w:p w14:paraId="609CF0FA" w14:textId="77777777" w:rsidR="00B544FD" w:rsidRDefault="00B544FD">
      <w:pPr>
        <w:pStyle w:val="3"/>
        <w:ind w:firstLine="720"/>
        <w:jc w:val="both"/>
        <w:rPr>
          <w:b w:val="0"/>
          <w:bCs w:val="0"/>
          <w:color w:val="000000"/>
          <w:lang w:val="fr-FR"/>
        </w:rPr>
      </w:pPr>
      <w:r>
        <w:rPr>
          <w:color w:val="000000"/>
        </w:rPr>
        <w:t>Effect of Extractant Concentration</w:t>
      </w:r>
      <w:r>
        <w:rPr>
          <w:color w:val="000000"/>
          <w:lang w:val="fr-FR"/>
        </w:rPr>
        <w:t xml:space="preserve">    </w:t>
      </w:r>
      <w:r>
        <w:rPr>
          <w:b w:val="0"/>
          <w:bCs w:val="0"/>
          <w:color w:val="000000"/>
          <w:lang w:val="fr-FR"/>
        </w:rPr>
        <w:t xml:space="preserve">                                                    </w:t>
      </w:r>
    </w:p>
    <w:p w14:paraId="7FD591F7" w14:textId="77777777" w:rsidR="00B544FD" w:rsidRDefault="00B544FD" w:rsidP="00B85055">
      <w:pPr>
        <w:pStyle w:val="3"/>
        <w:numPr>
          <w:ilvl w:val="2"/>
          <w:numId w:val="0"/>
        </w:numPr>
        <w:ind w:firstLine="720"/>
        <w:jc w:val="both"/>
        <w:rPr>
          <w:b w:val="0"/>
          <w:bCs w:val="0"/>
          <w:color w:val="000000"/>
          <w:lang w:val="en-US"/>
        </w:rPr>
      </w:pPr>
      <w:r>
        <w:rPr>
          <w:b w:val="0"/>
          <w:bCs w:val="0"/>
          <w:color w:val="000000"/>
          <w:lang w:val="en-US"/>
        </w:rPr>
        <w:t xml:space="preserve">To explore the impact of </w:t>
      </w:r>
      <w:bookmarkStart w:id="0" w:name="_Hlk224169233"/>
      <w:r w:rsidR="00B85055" w:rsidRPr="00B85055">
        <w:rPr>
          <w:b w:val="0"/>
          <w:bCs w:val="0"/>
          <w:color w:val="000000"/>
          <w:highlight w:val="yellow"/>
          <w:lang w:val="en-GB"/>
        </w:rPr>
        <w:t xml:space="preserve">Di(2-ethylhexyl) phosphoric acid </w:t>
      </w:r>
      <w:bookmarkEnd w:id="0"/>
      <w:r>
        <w:rPr>
          <w:b w:val="0"/>
          <w:bCs w:val="0"/>
          <w:color w:val="000000"/>
          <w:lang w:val="en-US"/>
        </w:rPr>
        <w:t xml:space="preserve">concentration, we monitored the variations of </w:t>
      </w:r>
      <w:r>
        <w:rPr>
          <w:rFonts w:ascii="Cambria Math" w:hAnsi="Cambria Math" w:cs="Cambria Math"/>
          <w:b w:val="0"/>
          <w:bCs w:val="0"/>
          <w:color w:val="000000"/>
        </w:rPr>
        <w:t>𝐿𝑜𝑔</w:t>
      </w:r>
      <w:r>
        <w:rPr>
          <w:b w:val="0"/>
          <w:bCs w:val="0"/>
          <w:color w:val="000000"/>
          <w:lang w:val="en-US"/>
        </w:rPr>
        <w:t xml:space="preserve"> </w:t>
      </w:r>
      <w:r>
        <w:rPr>
          <w:rFonts w:ascii="Cambria Math" w:hAnsi="Cambria Math" w:cs="Cambria Math"/>
          <w:b w:val="0"/>
          <w:bCs w:val="0"/>
          <w:color w:val="000000"/>
        </w:rPr>
        <w:t>𝐷</w:t>
      </w:r>
      <w:r>
        <w:rPr>
          <w:b w:val="0"/>
          <w:bCs w:val="0"/>
          <w:color w:val="000000"/>
          <w:lang w:val="en-US"/>
        </w:rPr>
        <w:t xml:space="preserve"> as a function of Log </w:t>
      </w:r>
      <w:r>
        <w:rPr>
          <w:b w:val="0"/>
          <w:bCs w:val="0"/>
          <w:color w:val="000000"/>
        </w:rPr>
        <w:pict w14:anchorId="68D2041E">
          <v:shape id="Image 20" o:spid="_x0000_i1046" type="#_x0000_t75" style="width:39.75pt;height:16.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DontCompress&quot;/&gt;&lt;w:documentProtection w:enforcement=&quot;off&quot;/&gt;&lt;w:doNotEmbedSystemFonts/&gt;&lt;w:bordersDontSurroundHeader/&gt;&lt;w:bordersDontSurroundFooter/&gt;&lt;w:defaultTabStop w:val=&quot;720&quot;/&gt;&lt;w:displayHorizontalDrawingGridEvery w:val=&quot;1&quot;/&gt;&lt;w:displayVerticalDrawingGridEvery w:val=&quot;1&quot;/&gt;&lt;w:compat&gt;&lt;w:doNotExpandShiftReturn/&gt;&lt;w:wrapTextWithPunct/&gt;&lt;w:breakWrappedTables/&gt;&lt;w:useAsianBreakRules/&gt;&lt;w:dontGrowAutofit/&gt;&lt;/w:compat&gt;&lt;/w:docPr&gt;&lt;w:body&gt;&lt;wx:sect&gt;&lt;w:p&gt;&lt;m:oMathPara&gt;&lt;m:oMath&gt;&lt;m:r&gt;&lt;m:rPr&gt;&lt;m:sty m:val=&quot;bi&quot;/&gt;&lt;m:scr m:val=&quot;roman&quot;/&gt;&lt;/m:rPr&gt;&lt;w:rPr&gt;&lt;w:rFonts w:ascii=&quot;Cambria Math&quot; w:h-ansi=&quot;Cambria Math&quot; w:hint=&quot;default&quot;/&gt;&lt;w:color w:val=&quot;000000&quot;/&gt;&lt;/w:rPr&gt;&lt;m:t&gt;[&lt;/m:t&gt;&lt;/m:r&gt;&lt;m:bar&gt;&lt;m:barPr&gt;&lt;m:pos m:val=&quot;top&quot;/&gt;&lt;m:ctrlPr&gt;&lt;w:rPr&gt;&lt;w:rFonts w:ascii=&quot;Cambria Math&quot; w:h-ansi=&quot;Cambria Math&quot; w:hint=&quot;default&quot;/&gt;&lt;w:b w:val=&quot;off&quot;/&gt;&lt;w:b-cs w:val=&quot;off&quot;/&gt;&lt;w:i/&gt;&lt;w:color w:val=&quot;000000&quot;/&gt;&lt;/w:rPr&gt;&lt;/m:ctrlPr&gt;&lt;/m:barPr&gt;&lt;m:e&gt;&lt;m:r&gt;&lt;m:rPr&gt;&lt;m:sty m:val=&quot;bi&quot;/&gt;&lt;m:scr m:val=&quot;roman&quot;/&gt;&lt;/m:rPr&gt;&lt;w:rPr&gt;&lt;w:rFonts w:ascii=&quot;Cambria Math&quot; w:h-ansi=&quot;Cambria Math&quot; w:hint=&quot;default&quot;/&gt;&lt;w:color w:val=&quot;000000&quot;/&gt;&lt;/w:rPr&gt;&lt;m:t&gt;(HL&lt;/m:t&gt;&lt;/m:r&gt;&lt;m:ctrlPr&gt;&lt;w:rPr&gt;&lt;w:rFonts w:ascii=&quot;Cambria Math&quot; w:h-ansi=&quot;Cambria Math&quot; w:hint=&quot;default&quot;/&gt;&lt;w:b w:val=&quot;off&quot;/&gt;&lt;w:b-cs w:val=&quot;off&quot;/&gt;&lt;w:i/&gt;&lt;w:color w:val=&quot;000000&quot;/&gt;&lt;/w:rPr&gt;&lt;/m:ctrlPr&gt;&lt;/m:e&gt;&lt;/m:bar&gt;&lt;m:sSub&gt;&lt;m:sSubPr&gt;&lt;m:ctrlPr&gt;&lt;w:rPr&gt;&lt;w:rFonts w:ascii=&quot;Cambria Math&quot; w:h-ansi=&quot;Cambria Math&quot; w:hint=&quot;default&quot;/&gt;&lt;w:b w:val=&quot;off&quot;/&gt;&lt;w:b-cs w:val=&quot;off&quot;/&gt;&lt;w:i/&gt;&lt;w:color w:val=&quot;000000&quot;/&gt;&lt;/w:rPr&gt;&lt;/m:ctrlPr&gt;&lt;/m:sSubPr&gt;&lt;m:e&gt;&lt;m:r&gt;&lt;m:rPr&gt;&lt;m:sty m:val=&quot;bi&quot;/&gt;&lt;m:scr m:val=&quot;roman&quot;/&gt;&lt;/m:rPr&gt;&lt;w:rPr&gt;&lt;w:rFonts w:ascii=&quot;Cambria Math&quot; w:h-ansi=&quot;Cambria Math&quot; w:hint=&quot;default&quot;/&gt;&lt;w:color w:val=&quot;000000&quot;/&gt;&lt;/w:rPr&gt;&lt;m:t&gt;)&lt;/m:t&gt;&lt;/m:r&gt;&lt;m:ctrlPr&gt;&lt;w:rPr&gt;&lt;w:rFonts w:ascii=&quot;Cambria Math&quot; w:h-ansi=&quot;Cambria Math&quot; w:hint=&quot;default&quot;/&gt;&lt;w:b w:val=&quot;off&quot;/&gt;&lt;w:b-cs w:val=&quot;off&quot;/&gt;&lt;w:i/&gt;&lt;w:color w:val=&quot;000000&quot;/&gt;&lt;/w:rPr&gt;&lt;/m:ctrlPr&gt;&lt;/m:e&gt;&lt;m:sub&gt;&lt;m:r&gt;&lt;m:rPr&gt;&lt;m:sty m:val=&quot;bi&quot;/&gt;&lt;m:scr m:val=&quot;roman&quot;/&gt;&lt;/m:rPr&gt;&lt;w:rPr&gt;&lt;w:rFonts w:ascii=&quot;Cambria Math&quot; w:h-ansi=&quot;Cambria Math&quot; w:hint=&quot;default&quot;/&gt;&lt;w:color w:val=&quot;000000&quot;/&gt;&lt;/w:rPr&gt;&lt;m:t&gt;2&lt;/m:t&gt;&lt;/m:r&gt;&lt;m:ctrlPr&gt;&lt;w:rPr&gt;&lt;w:rFonts w:ascii=&quot;Cambria Math&quot; w:h-ansi=&quot;Cambria Math&quot; w:hint=&quot;default&quot;/&gt;&lt;w:b w:val=&quot;off&quot;/&gt;&lt;w:b-cs w:val=&quot;off&quot;/&gt;&lt;w:i/&gt;&lt;w:color w:val=&quot;000000&quot;/&gt;&lt;/w:rPr&gt;&lt;/m:ctrlPr&gt;&lt;/m:sub&gt;&lt;/m:sSub&gt;&lt;m:r&gt;&lt;m:rPr&gt;&lt;m:sty m:val=&quot;bi&quot;/&gt;&lt;m:scr m:val=&quot;roman&quot;/&gt;&lt;/m:rPr&gt;&lt;w:rPr&gt;&lt;w:rFonts w:ascii=&quot;Cambria Math&quot; w:h-ansi=&quot;Cambria Math&quot; w:hint=&quot;default&quot;/&gt;&lt;w:color w:val=&quot;000000&quot;/&gt;&lt;/w:rPr&gt;&lt;m:t&gt;]&lt;/m:t&gt;&lt;/m:r&gt;&lt;/m:oMath&gt;&lt;/m:oMathPara&gt;&lt;/w:p&gt;&lt;/wx:sect&gt;&lt;/w:body&gt;&lt;/w:wordDocumen">
            <v:imagedata r:id="rId47" o:title=""/>
            <o:lock v:ext="edit" aspectratio="f"/>
          </v:shape>
        </w:pict>
      </w:r>
      <w:r>
        <w:rPr>
          <w:b w:val="0"/>
          <w:bCs w:val="0"/>
          <w:color w:val="000000"/>
          <w:lang w:val="en-US"/>
        </w:rPr>
        <w:t xml:space="preserve"> and Log </w:t>
      </w:r>
      <w:r>
        <w:rPr>
          <w:b w:val="0"/>
          <w:bCs w:val="0"/>
          <w:color w:val="000000"/>
        </w:rPr>
        <w:pict w14:anchorId="5BF4E58A">
          <v:shape id="Image 21" o:spid="_x0000_i1047" type="#_x0000_t75" style="width:24.75pt;height:15.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DontCompress&quot;/&gt;&lt;w:documentProtection w:enforcement=&quot;off&quot;/&gt;&lt;w:doNotEmbedSystemFonts/&gt;&lt;w:bordersDontSurroundHeader/&gt;&lt;w:bordersDontSurroundFooter/&gt;&lt;w:defaultTabStop w:val=&quot;720&quot;/&gt;&lt;w:displayHorizontalDrawingGridEvery w:val=&quot;1&quot;/&gt;&lt;w:displayVerticalDrawingGridEvery w:val=&quot;1&quot;/&gt;&lt;w:compat&gt;&lt;w:doNotExpandShiftReturn/&gt;&lt;w:wrapTextWithPunct/&gt;&lt;w:breakWrappedTables/&gt;&lt;w:useAsianBreakRules/&gt;&lt;w:dontGrowAutofit/&gt;&lt;/w:compat&gt;&lt;/w:docPr&gt;&lt;w:body&gt;&lt;wx:sect&gt;&lt;w:p&gt;&lt;m:oMathPara&gt;&lt;m:oMath&gt;&lt;m:r&gt;&lt;m:rPr&gt;&lt;m:sty m:val=&quot;bi&quot;/&gt;&lt;m:scr m:val=&quot;roman&quot;/&gt;&lt;/m:rPr&gt;&lt;w:rPr&gt;&lt;w:rFonts w:ascii=&quot;Cambria Math&quot; w:h-ansi=&quot;Cambria Math&quot; w:hint=&quot;default&quot;/&gt;&lt;w:color w:val=&quot;000000&quot;/&gt;&lt;/w:rPr&gt;&lt;m:t&gt;[&lt;/m:t&gt;&lt;/m:r&gt;&lt;m:bar&gt;&lt;m:barPr&gt;&lt;m:pos m:val=&quot;top&quot;/&gt;&lt;m:ctrlPr&gt;&lt;w:rPr&gt;&lt;w:rFonts w:ascii=&quot;Cambria Math&quot; w:h-ansi=&quot;Cambria Math&quot; w:hint=&quot;default&quot;/&gt;&lt;w:b w:val=&quot;off&quot;/&gt;&lt;w:b-cs w:val=&quot;off&quot;/&gt;&lt;w:i/&gt;&lt;w:color w:val=&quot;000000&quot;/&gt;&lt;/w:rPr&gt;&lt;/m:ctrlPr&gt;&lt;/m:barPr&gt;&lt;m:e&gt;&lt;m:r&gt;&lt;m:rPr&gt;&lt;m:sty m:val=&quot;bi&quot;/&gt;&lt;m:scr m:val=&quot;roman&quot;/&gt;&lt;/m:rPr&gt;&lt;w:rPr&gt;&lt;w:rFonts w:ascii=&quot;Cambria Math&quot; w:h-ansi=&quot;Cambria Math&quot; w:hint=&quot;default&quot;/&gt;&lt;w:color w:val=&quot;000000&quot;/&gt;&lt;/w:rPr&gt;&lt;m:t&gt;HL&lt;/m:t&gt;&lt;/m:r&gt;&lt;m:ctrlPr&gt;&lt;w:rPr&gt;&lt;w:rFonts w:ascii=&quot;Cambria Math&quot; w:h-ansi=&quot;Cambria Math&quot; w:hint=&quot;default&quot;/&gt;&lt;w:b w:val=&quot;off&quot;/&gt;&lt;w:b-cs w:val=&quot;off&quot;/&gt;&lt;w:i/&gt;&lt;w:color w:val=&quot;000000&quot;/&gt;&lt;/w:rPr&gt;&lt;/m:ctrlPr&gt;&lt;/m:e&gt;&lt;/m:bar&gt;&lt;m:r&gt;&lt;m:rPr&gt;&lt;m:sty m:val=&quot;bi&quot;/&gt;&lt;m:scr m:val=&quot;roman&quot;/&gt;&lt;/m:rPr&gt;&lt;w:rPr&gt;&lt;w:rFonts w:ascii=&quot;Cambria Math&quot; w:h-ansi=&quot;Cambria Math&quot; w:hint=&quot;default&quot;/&gt;&lt;w:color w:val=&quot;000000&quot;/&gt;&lt;/w:rPr&gt;&lt;m:t&gt;]&lt;/m:t&gt;&lt;/m:r&gt;&lt;/m:oMath&gt;&lt;/m:oMathPara&gt;&lt;/w:p&gt;&lt;/wx:sect&gt;&lt;/w:body&gt;&lt;/w:wordDocumen">
            <v:imagedata r:id="rId48" o:title=""/>
            <o:lock v:ext="edit" aspectratio="f"/>
          </v:shape>
        </w:pict>
      </w:r>
      <w:r>
        <w:rPr>
          <w:b w:val="0"/>
          <w:bCs w:val="0"/>
          <w:color w:val="000000"/>
          <w:lang w:val="en-US"/>
        </w:rPr>
        <w:t xml:space="preserve">at constant pH for metal extraction from these solvents' sulfate medium of unit ionic strength. Figs 2 ,3illustrate the variations of Log D = f(Log. </w:t>
      </w:r>
      <w:r>
        <w:rPr>
          <w:b w:val="0"/>
          <w:bCs w:val="0"/>
          <w:color w:val="000000"/>
        </w:rPr>
        <w:pict w14:anchorId="5D16B586">
          <v:shape id="Image 22" o:spid="_x0000_i1048" type="#_x0000_t75" style="width:39.75pt;height:16.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DontCompress&quot;/&gt;&lt;w:documentProtection w:enforcement=&quot;off&quot;/&gt;&lt;w:doNotEmbedSystemFonts/&gt;&lt;w:bordersDontSurroundHeader/&gt;&lt;w:bordersDontSurroundFooter/&gt;&lt;w:defaultTabStop w:val=&quot;720&quot;/&gt;&lt;w:displayHorizontalDrawingGridEvery w:val=&quot;1&quot;/&gt;&lt;w:displayVerticalDrawingGridEvery w:val=&quot;1&quot;/&gt;&lt;w:compat&gt;&lt;w:doNotExpandShiftReturn/&gt;&lt;w:wrapTextWithPunct/&gt;&lt;w:breakWrappedTables/&gt;&lt;w:useAsianBreakRules/&gt;&lt;w:dontGrowAutofit/&gt;&lt;/w:compat&gt;&lt;/w:docPr&gt;&lt;w:body&gt;&lt;wx:sect&gt;&lt;w:p&gt;&lt;m:oMathPara&gt;&lt;m:oMath&gt;&lt;m:r&gt;&lt;m:rPr&gt;&lt;m:sty m:val=&quot;bi&quot;/&gt;&lt;m:scr m:val=&quot;roman&quot;/&gt;&lt;/m:rPr&gt;&lt;w:rPr&gt;&lt;w:rFonts w:ascii=&quot;Cambria Math&quot; w:h-ansi=&quot;Cambria Math&quot; w:hint=&quot;default&quot;/&gt;&lt;w:color w:val=&quot;000000&quot;/&gt;&lt;/w:rPr&gt;&lt;m:t&gt;[&lt;/m:t&gt;&lt;/m:r&gt;&lt;m:bar&gt;&lt;m:barPr&gt;&lt;m:pos m:val=&quot;top&quot;/&gt;&lt;m:ctrlPr&gt;&lt;w:rPr&gt;&lt;w:rFonts w:ascii=&quot;Cambria Math&quot; w:h-ansi=&quot;Cambria Math&quot; w:hint=&quot;default&quot;/&gt;&lt;w:b w:val=&quot;off&quot;/&gt;&lt;w:b-cs w:val=&quot;off&quot;/&gt;&lt;w:i/&gt;&lt;w:color w:val=&quot;000000&quot;/&gt;&lt;/w:rPr&gt;&lt;/m:ctrlPr&gt;&lt;/m:barPr&gt;&lt;m:e&gt;&lt;m:r&gt;&lt;m:rPr&gt;&lt;m:sty m:val=&quot;bi&quot;/&gt;&lt;m:scr m:val=&quot;roman&quot;/&gt;&lt;/m:rPr&gt;&lt;w:rPr&gt;&lt;w:rFonts w:ascii=&quot;Cambria Math&quot; w:h-ansi=&quot;Cambria Math&quot; w:hint=&quot;default&quot;/&gt;&lt;w:color w:val=&quot;000000&quot;/&gt;&lt;/w:rPr&gt;&lt;m:t&gt;(HL&lt;/m:t&gt;&lt;/m:r&gt;&lt;m:ctrlPr&gt;&lt;w:rPr&gt;&lt;w:rFonts w:ascii=&quot;Cambria Math&quot; w:h-ansi=&quot;Cambria Math&quot; w:hint=&quot;default&quot;/&gt;&lt;w:b w:val=&quot;off&quot;/&gt;&lt;w:b-cs w:val=&quot;off&quot;/&gt;&lt;w:i/&gt;&lt;w:color w:val=&quot;000000&quot;/&gt;&lt;/w:rPr&gt;&lt;/m:ctrlPr&gt;&lt;/m:e&gt;&lt;/m:bar&gt;&lt;m:sSub&gt;&lt;m:sSubPr&gt;&lt;m:ctrlPr&gt;&lt;w:rPr&gt;&lt;w:rFonts w:ascii=&quot;Cambria Math&quot; w:h-ansi=&quot;Cambria Math&quot; w:hint=&quot;default&quot;/&gt;&lt;w:b w:val=&quot;off&quot;/&gt;&lt;w:b-cs w:val=&quot;off&quot;/&gt;&lt;w:i/&gt;&lt;w:color w:val=&quot;000000&quot;/&gt;&lt;/w:rPr&gt;&lt;/m:ctrlPr&gt;&lt;/m:sSubPr&gt;&lt;m:e&gt;&lt;m:r&gt;&lt;m:rPr&gt;&lt;m:sty m:val=&quot;bi&quot;/&gt;&lt;m:scr m:val=&quot;roman&quot;/&gt;&lt;/m:rPr&gt;&lt;w:rPr&gt;&lt;w:rFonts w:ascii=&quot;Cambria Math&quot; w:h-ansi=&quot;Cambria Math&quot; w:hint=&quot;default&quot;/&gt;&lt;w:color w:val=&quot;000000&quot;/&gt;&lt;/w:rPr&gt;&lt;m:t&gt;)&lt;/m:t&gt;&lt;/m:r&gt;&lt;m:ctrlPr&gt;&lt;w:rPr&gt;&lt;w:rFonts w:ascii=&quot;Cambria Math&quot; w:h-ansi=&quot;Cambria Math&quot; w:hint=&quot;default&quot;/&gt;&lt;w:b w:val=&quot;off&quot;/&gt;&lt;w:b-cs w:val=&quot;off&quot;/&gt;&lt;w:i/&gt;&lt;w:color w:val=&quot;000000&quot;/&gt;&lt;/w:rPr&gt;&lt;/m:ctrlPr&gt;&lt;/m:e&gt;&lt;m:sub&gt;&lt;m:r&gt;&lt;m:rPr&gt;&lt;m:sty m:val=&quot;bi&quot;/&gt;&lt;m:scr m:val=&quot;roman&quot;/&gt;&lt;/m:rPr&gt;&lt;w:rPr&gt;&lt;w:rFonts w:ascii=&quot;Cambria Math&quot; w:h-ansi=&quot;Cambria Math&quot; w:hint=&quot;default&quot;/&gt;&lt;w:color w:val=&quot;000000&quot;/&gt;&lt;/w:rPr&gt;&lt;m:t&gt;2&lt;/m:t&gt;&lt;/m:r&gt;&lt;m:ctrlPr&gt;&lt;w:rPr&gt;&lt;w:rFonts w:ascii=&quot;Cambria Math&quot; w:h-ansi=&quot;Cambria Math&quot; w:hint=&quot;default&quot;/&gt;&lt;w:b w:val=&quot;off&quot;/&gt;&lt;w:b-cs w:val=&quot;off&quot;/&gt;&lt;w:i/&gt;&lt;w:color w:val=&quot;000000&quot;/&gt;&lt;/w:rPr&gt;&lt;/m:ctrlPr&gt;&lt;/m:sub&gt;&lt;/m:sSub&gt;&lt;m:r&gt;&lt;m:rPr&gt;&lt;m:sty m:val=&quot;bi&quot;/&gt;&lt;m:scr m:val=&quot;roman&quot;/&gt;&lt;/m:rPr&gt;&lt;w:rPr&gt;&lt;w:rFonts w:ascii=&quot;Cambria Math&quot; w:h-ansi=&quot;Cambria Math&quot; w:hint=&quot;default&quot;/&gt;&lt;w:color w:val=&quot;000000&quot;/&gt;&lt;/w:rPr&gt;&lt;m:t&gt;]&lt;/m:t&gt;&lt;/m:r&gt;&lt;/m:oMath&gt;&lt;/m:oMathPara&gt;&lt;/w:p&gt;&lt;/wx:sect&gt;&lt;/w:body&gt;&lt;/w:wordDocumen">
            <v:imagedata r:id="rId47" o:title=""/>
            <o:lock v:ext="edit" aspectratio="f"/>
          </v:shape>
        </w:pict>
      </w:r>
      <w:r>
        <w:rPr>
          <w:b w:val="0"/>
          <w:bCs w:val="0"/>
          <w:color w:val="000000"/>
          <w:lang w:val="en-US"/>
        </w:rPr>
        <w:t xml:space="preserve">) </w:t>
      </w:r>
      <w:r w:rsidR="00623C76">
        <w:rPr>
          <w:b w:val="0"/>
          <w:bCs w:val="0"/>
          <w:color w:val="000000"/>
          <w:lang w:val="en-US"/>
        </w:rPr>
        <w:t>And</w:t>
      </w:r>
      <w:r>
        <w:rPr>
          <w:b w:val="0"/>
          <w:bCs w:val="0"/>
          <w:color w:val="000000"/>
          <w:lang w:val="en-US"/>
        </w:rPr>
        <w:t xml:space="preserve"> Log D = </w:t>
      </w:r>
      <w:r w:rsidR="00623C76">
        <w:rPr>
          <w:b w:val="0"/>
          <w:bCs w:val="0"/>
          <w:color w:val="000000"/>
          <w:lang w:val="en-US"/>
        </w:rPr>
        <w:t>f (</w:t>
      </w:r>
      <w:r>
        <w:rPr>
          <w:b w:val="0"/>
          <w:bCs w:val="0"/>
          <w:color w:val="000000"/>
          <w:lang w:val="en-US"/>
        </w:rPr>
        <w:t xml:space="preserve">Log </w:t>
      </w:r>
      <w:r>
        <w:rPr>
          <w:b w:val="0"/>
          <w:bCs w:val="0"/>
          <w:color w:val="000000"/>
        </w:rPr>
        <w:pict w14:anchorId="4B3EC014">
          <v:shape id="Image 23" o:spid="_x0000_i1049" type="#_x0000_t75" style="width:24.75pt;height:15.7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DontCompress&quot;/&gt;&lt;w:documentProtection w:enforcement=&quot;off&quot;/&gt;&lt;w:doNotEmbedSystemFonts/&gt;&lt;w:bordersDontSurroundHeader/&gt;&lt;w:bordersDontSurroundFooter/&gt;&lt;w:defaultTabStop w:val=&quot;720&quot;/&gt;&lt;w:displayHorizontalDrawingGridEvery w:val=&quot;1&quot;/&gt;&lt;w:displayVerticalDrawingGridEvery w:val=&quot;1&quot;/&gt;&lt;w:compat&gt;&lt;w:doNotExpandShiftReturn/&gt;&lt;w:wrapTextWithPunct/&gt;&lt;w:breakWrappedTables/&gt;&lt;w:useAsianBreakRules/&gt;&lt;w:dontGrowAutofit/&gt;&lt;/w:compat&gt;&lt;/w:docPr&gt;&lt;w:body&gt;&lt;wx:sect&gt;&lt;w:p&gt;&lt;m:oMathPara&gt;&lt;m:oMath&gt;&lt;m:r&gt;&lt;m:rPr&gt;&lt;m:sty m:val=&quot;bi&quot;/&gt;&lt;m:scr m:val=&quot;roman&quot;/&gt;&lt;/m:rPr&gt;&lt;w:rPr&gt;&lt;w:rFonts w:ascii=&quot;Cambria Math&quot; w:h-ansi=&quot;Cambria Math&quot; w:hint=&quot;default&quot;/&gt;&lt;w:color w:val=&quot;000000&quot;/&gt;&lt;/w:rPr&gt;&lt;m:t&gt;[&lt;/m:t&gt;&lt;/m:r&gt;&lt;m:bar&gt;&lt;m:barPr&gt;&lt;m:pos m:val=&quot;top&quot;/&gt;&lt;m:ctrlPr&gt;&lt;w:rPr&gt;&lt;w:rFonts w:ascii=&quot;Cambria Math&quot; w:h-ansi=&quot;Cambria Math&quot; w:hint=&quot;default&quot;/&gt;&lt;w:b w:val=&quot;off&quot;/&gt;&lt;w:b-cs w:val=&quot;off&quot;/&gt;&lt;w:i/&gt;&lt;w:color w:val=&quot;000000&quot;/&gt;&lt;/w:rPr&gt;&lt;/m:ctrlPr&gt;&lt;/m:barPr&gt;&lt;m:e&gt;&lt;m:r&gt;&lt;m:rPr&gt;&lt;m:sty m:val=&quot;bi&quot;/&gt;&lt;m:scr m:val=&quot;roman&quot;/&gt;&lt;/m:rPr&gt;&lt;w:rPr&gt;&lt;w:rFonts w:ascii=&quot;Cambria Math&quot; w:h-ansi=&quot;Cambria Math&quot; w:hint=&quot;default&quot;/&gt;&lt;w:color w:val=&quot;000000&quot;/&gt;&lt;/w:rPr&gt;&lt;m:t&gt;HL&lt;/m:t&gt;&lt;/m:r&gt;&lt;m:ctrlPr&gt;&lt;w:rPr&gt;&lt;w:rFonts w:ascii=&quot;Cambria Math&quot; w:h-ansi=&quot;Cambria Math&quot; w:hint=&quot;default&quot;/&gt;&lt;w:b w:val=&quot;off&quot;/&gt;&lt;w:b-cs w:val=&quot;off&quot;/&gt;&lt;w:i/&gt;&lt;w:color w:val=&quot;000000&quot;/&gt;&lt;/w:rPr&gt;&lt;/m:ctrlPr&gt;&lt;/m:e&gt;&lt;/m:bar&gt;&lt;m:r&gt;&lt;m:rPr&gt;&lt;m:sty m:val=&quot;bi&quot;/&gt;&lt;m:scr m:val=&quot;roman&quot;/&gt;&lt;/m:rPr&gt;&lt;w:rPr&gt;&lt;w:rFonts w:ascii=&quot;Cambria Math&quot; w:h-ansi=&quot;Cambria Math&quot; w:hint=&quot;default&quot;/&gt;&lt;w:color w:val=&quot;000000&quot;/&gt;&lt;/w:rPr&gt;&lt;m:t&gt;]&lt;/m:t&gt;&lt;/m:r&gt;&lt;/m:oMath&gt;&lt;/m:oMathPara&gt;&lt;/w:p&gt;&lt;/wx:sect&gt;&lt;/w:body&gt;&lt;/w:wordDocumen">
            <v:imagedata r:id="rId48" o:title=""/>
            <o:lock v:ext="edit" aspectratio="f"/>
          </v:shape>
        </w:pict>
      </w:r>
      <w:r>
        <w:rPr>
          <w:b w:val="0"/>
          <w:bCs w:val="0"/>
          <w:color w:val="000000"/>
          <w:lang w:val="en-US"/>
        </w:rPr>
        <w:t>), that is, Log D with the variation in the concentration of extractant in dimeric and monomeric forms at different pH values for the extraction of nickel (II) by D2EHPA.</w:t>
      </w:r>
      <w:r>
        <w:rPr>
          <w:b w:val="0"/>
          <w:bCs w:val="0"/>
          <w:color w:val="000000"/>
          <w:vertAlign w:val="subscript"/>
          <w:lang w:val="en-US" w:bidi="ar-DZ"/>
        </w:rPr>
        <w:t xml:space="preserve"> </w:t>
      </w:r>
      <w:r>
        <w:rPr>
          <w:b w:val="0"/>
          <w:bCs w:val="0"/>
          <w:color w:val="000000"/>
          <w:lang w:val="en-US"/>
        </w:rPr>
        <w:t xml:space="preserve">Figs 2 show the variations of </w:t>
      </w:r>
      <w:bookmarkStart w:id="1" w:name="_Hlk172006104"/>
      <w:r>
        <w:rPr>
          <w:b w:val="0"/>
          <w:bCs w:val="0"/>
          <w:color w:val="000000"/>
        </w:rPr>
        <w:pict w14:anchorId="415B9668">
          <v:shape id="Image 24" o:spid="_x0000_i1050" type="#_x0000_t75" style="width:123pt;height:16.5pt;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DontCompress&quot;/&gt;&lt;w:documentProtection w:enforcement=&quot;off&quot;/&gt;&lt;w:doNotEmbedSystemFonts/&gt;&lt;w:bordersDontSurroundHeader/&gt;&lt;w:bordersDontSurroundFooter/&gt;&lt;w:defaultTabStop w:val=&quot;720&quot;/&gt;&lt;w:displayHorizontalDrawingGridEvery w:val=&quot;1&quot;/&gt;&lt;w:displayVerticalDrawingGridEvery w:val=&quot;1&quot;/&gt;&lt;w:compat&gt;&lt;w:doNotExpandShiftReturn/&gt;&lt;w:wrapTextWithPunct/&gt;&lt;w:breakWrappedTables/&gt;&lt;w:useAsianBreakRules/&gt;&lt;w:dontGrowAutofit/&gt;&lt;/w:compat&gt;&lt;/w:docPr&gt;&lt;w:body&gt;&lt;wx:sect&gt;&lt;w:p&gt;&lt;m:oMathPara&gt;&lt;m:oMath&gt;&lt;m:r&gt;&lt;m:rPr&gt;&lt;m:sty m:val=&quot;b&quot;/&gt;&lt;m:scr m:val=&quot;roman&quot;/&gt;&lt;/m:rPr&gt;&lt;w:rPr&gt;&lt;w:rFonts w:ascii=&quot;Cambria Math&quot; w:h-ansi=&quot;Cambria Math&quot; w:cs=&quot;Cambria Math&quot; w:hint=&quot;default&quot;/&gt;&lt;w:color w:val=&quot;000000&quot;/&gt;&lt;/w:rPr&gt;&lt;m:t&gt;Log&lt;/m:t&gt;&lt;/m:r&gt;&lt;m:r&gt;&lt;m:rPr&gt;&lt;m:sty m:val=&quot;b&quot;/&gt;&lt;m:scr m:val=&quot;roman&quot;/&gt;&lt;/m:rPr&gt;&lt;w:rPr&gt;&lt;w:rFonts w:ascii=&quot;Cambria Math&quot; w:h-ansi=&quot;Cambria Math&quot; w:hint=&quot;default&quot;/&gt;&lt;w:color w:val=&quot;000000&quot;/&gt;&lt;/w:rPr&gt;&lt;m:t&gt; &lt;/m:t&gt;&lt;/m:r&gt;&lt;m:r&gt;&lt;m:rPr&gt;&lt;m:sty m:val=&quot;b&quot;/&gt;&lt;m:scr m:val=&quot;roman&quot;/&gt;&lt;/m:rPr&gt;&lt;w:rPr&gt;&lt;w:rFonts w:ascii=&quot;Cambria Math&quot; w:h-ansi=&quot;Cambria Math&quot; w:cs=&quot;Cambria Math&quot; w:hint=&quot;default&quot;/&gt;&lt;w:color w:val=&quot;000000&quot;/&gt;&lt;/w:rPr&gt;&lt;m:t&gt;D&lt;/m:t&gt;&lt;/m:r&gt;&lt;m:r&gt;&lt;m:rPr&gt;&lt;m:sty m:val=&quot;b&quot;/&gt;&lt;m:scr m:val=&quot;roman&quot;/&gt;&lt;/m:rPr&gt;&lt;w:rPr&gt;&lt;w:rFonts w:ascii=&quot;Cambria Math&quot; w:h-ansi=&quot;Cambria Math&quot; w:hint=&quot;default&quot;/&gt;&lt;w:color w:val=&quot;000000&quot;/&gt;&lt;/w:rPr&gt;&lt;m:t&gt; =f( Log&lt;/m:t&gt;&lt;/m:r&gt;&lt;m:r&gt;&lt;m:rPr&gt;&lt;m:sty m:val=&quot;bi&quot;/&gt;&lt;m:scr m:val=&quot;roman&quot;/&gt;&lt;/m:rPr&gt;&lt;w:rPr&gt;&lt;w:rFonts w:ascii=&quot;Cambria Math&quot; w:h-ansi=&quot;Cambria Math&quot; w:hint=&quot;default&quot;/&gt;&lt;w:color w:val=&quot;000000&quot;/&gt;&lt;/w:rPr&gt;&lt;m:t&gt;[&lt;/m:t&gt;&lt;/m:r&gt;&lt;m:bar&gt;&lt;m:barPr&gt;&lt;m:pos m:val=&quot;top&quot;/&gt;&lt;m:ctrlPr&gt;&lt;w:rPr&gt;&lt;w:rFonts w:ascii=&quot;Cambria Math&quot; w:h-ansi=&quot;Cambria Math&quot; w:hint=&quot;default&quot;/&gt;&lt;w:b w:val=&quot;off&quot;/&gt;&lt;w:b-cs w:val=&quot;off&quot;/&gt;&lt;w:i/&gt;&lt;w:color w:val=&quot;000000&quot;/&gt;&lt;/w:rPr&gt;&lt;/m:ctrlPr&gt;&lt;/m:barPr&gt;&lt;m:e&gt;&lt;m:r&gt;&lt;m:rPr&gt;&lt;m:sty m:val=&quot;bi&quot;/&gt;&lt;m:scr m:val=&quot;roman&quot;/&gt;&lt;/m:rPr&gt;&lt;w:rPr&gt;&lt;w:rFonts w:ascii=&quot;Cambria Math&quot; w:h-ansi=&quot;Cambria Math&quot; w:hint=&quot;default&quot;/&gt;&lt;w:color w:val=&quot;000000&quot;/&gt;&lt;/w:rPr&gt;&lt;m:t&gt;(HL&lt;/m:t&gt;&lt;/m:r&gt;&lt;m:ctrlPr&gt;&lt;w:rPr&gt;&lt;w:rFonts w:ascii=&quot;Cambria Math&quot; w:h-ansi=&quot;Cambria Math&quot; w:hint=&quot;default&quot;/&gt;&lt;w:b w:val=&quot;off&quot;/&gt;&lt;w:b-cs w:val=&quot;off&quot;/&gt;&lt;w:i/&gt;&lt;w:color w:val=&quot;000000&quot;/&gt;&lt;/w:rPr&gt;&lt;/m:ctrlPr&gt;&lt;/m:e&gt;&lt;/m:bar&gt;&lt;m:sSub&gt;&lt;m:sSubPr&gt;&lt;m:ctrlPr&gt;&lt;w:rPr&gt;&lt;w:rFonts w:ascii=&quot;Cambria Math&quot; w:h-ansi=&quot;Cambria Math&quot; w:hint=&quot;default&quot;/&gt;&lt;w:b w:val=&quot;off&quot;/&gt;&lt;w:b-cs w:val=&quot;off&quot;/&gt;&lt;w:i/&gt;&lt;w:color w:val=&quot;000000&quot;/&gt;&lt;/w:rPr&gt;&lt;/m:ctrlPr&gt;&lt;/m:sSubPr&gt;&lt;m:e&gt;&lt;m:r&gt;&lt;m:rPr&gt;&lt;m:sty m:val=&quot;bi&quot;/&gt;&lt;m:scr m:val=&quot;roman&quot;/&gt;&lt;/m:rPr&gt;&lt;w:rPr&gt;&lt;w:rFonts w:ascii=&quot;Cambria Math&quot; w:h-ansi=&quot;Cambria Math&quot; w:hint=&quot;default&quot;/&gt;&lt;w:color w:val=&quot;000000&quot;/&gt;&lt;/w:rPr&gt;&lt;m:t&gt;)&lt;/m:t&gt;&lt;/m:r&gt;&lt;m:ctrlPr&gt;&lt;w:rPr&gt;&lt;w:rFonts w:ascii=&quot;Cambria Math&quot; w:h-ansi=&quot;Cambria Math&quot; w:hint=&quot;default&quot;/&gt;&lt;w:b w:val=&quot;off&quot;/&gt;&lt;w:b-cs w:val=&quot;off&quot;/&gt;&lt;w:i/&gt;&lt;w:color w:val=&quot;000000&quot;/&gt;&lt;/w:rPr&gt;&lt;/m:ctrlPr&gt;&lt;/m:e&gt;&lt;m:sub&gt;&lt;m:r&gt;&lt;m:rPr&gt;&lt;m:sty m:val=&quot;bi&quot;/&gt;&lt;m:scr m:val=&quot;roman&quot;/&gt;&lt;/m:rPr&gt;&lt;w:rPr&gt;&lt;w:rFonts w:ascii=&quot;Cambria Math&quot; w:h-ansi=&quot;Cambria Math&quot; w:hint=&quot;default&quot;/&gt;&lt;w:color w:val=&quot;000000&quot;/&gt;&lt;/w:rPr&gt;&lt;m:t&gt;2&lt;/m:t&gt;&lt;/m:r&gt;&lt;m:ctrlPr&gt;&lt;w:rPr&gt;&lt;w:rFonts w:ascii=&quot;Cambria Math&quot; w:h-ansi=&quot;Cambria Math&quot; w:hint=&quot;default&quot;/&gt;&lt;w:b w:val=&quot;off&quot;/&gt;&lt;w:b-cs w:val=&quot;off&quot;/&gt;&lt;w:i/&gt;&lt;w:color w:val=&quot;000000&quot;/&gt;&lt;/w:rPr&gt;&lt;/m:ctrlPr&gt;&lt;/m:sub&gt;&lt;/m:sSub&gt;&lt;m:r&gt;&lt;m:rPr&gt;&lt;m:sty m:val=&quot;bi&quot;/&gt;&lt;m:scr m:val=&quot;roman&quot;/&gt;&lt;/m:rPr&gt;&lt;w:rPr&gt;&lt;w:rFonts w:ascii=&quot;Cambria Math&quot; w:h-ansi=&quot;Cambria Math&quot; w:hint=&quot;default&quot;/&gt;&lt;w:color w:val=&quot;000000&quot;/&gt;&lt;/w:rPr&gt;&lt;m:t&gt;]&lt;/m:t&gt;&lt;/m:r&gt;&lt;/m:oMath&gt;&lt;/m:oMathPara&gt;&lt;/w:p&gt;&lt;/wx:sect&gt;&lt;/w:body&gt;&lt;/w:wordDocumen">
            <v:imagedata r:id="rId49" o:title=""/>
            <o:lock v:ext="edit" aspectratio="f"/>
          </v:shape>
        </w:pict>
      </w:r>
      <w:r>
        <w:rPr>
          <w:b w:val="0"/>
          <w:bCs w:val="0"/>
          <w:color w:val="000000"/>
          <w:lang w:val="en-US"/>
        </w:rPr>
        <w:t xml:space="preserve">) </w:t>
      </w:r>
      <w:bookmarkEnd w:id="1"/>
      <w:r>
        <w:rPr>
          <w:b w:val="0"/>
          <w:bCs w:val="0"/>
          <w:color w:val="000000"/>
          <w:lang w:val="en-US"/>
        </w:rPr>
        <w:t xml:space="preserve">The extraction behavior of </w:t>
      </w:r>
      <w:r w:rsidR="00623C76">
        <w:rPr>
          <w:b w:val="0"/>
          <w:bCs w:val="0"/>
          <w:color w:val="000000"/>
          <w:lang w:val="en-US"/>
        </w:rPr>
        <w:t>Ni (</w:t>
      </w:r>
      <w:r>
        <w:rPr>
          <w:b w:val="0"/>
          <w:bCs w:val="0"/>
          <w:color w:val="000000"/>
          <w:lang w:val="en-US"/>
        </w:rPr>
        <w:t>II) using D2EHPA dissolved in various organic solvents such as chloroform, toluene, dichloromethane, carbon tetrachloride, and cyclohexane exhibits a remarkably consistent pattern regardless of the diluent employed. Despite differences in solvent polarity, dielectric constant, and solvation ability, the general shape of the extraction curves and the manner in which the distribution coefficient responds to changes in extractant concentration remain essentially the same. This uniformity suggests that the fundamental extraction mechanism is largely preserved across these media, with solvent effects influencing efficiency but not the underlying reaction pathway.</w:t>
      </w:r>
    </w:p>
    <w:p w14:paraId="3F4DA731" w14:textId="77777777" w:rsidR="00B544FD" w:rsidRDefault="00B544FD" w:rsidP="00B85055">
      <w:pPr>
        <w:pStyle w:val="3"/>
        <w:numPr>
          <w:ilvl w:val="2"/>
          <w:numId w:val="0"/>
        </w:numPr>
        <w:ind w:firstLine="720"/>
        <w:jc w:val="both"/>
        <w:rPr>
          <w:b w:val="0"/>
          <w:bCs w:val="0"/>
          <w:color w:val="000000"/>
          <w:lang w:val="en-US"/>
        </w:rPr>
      </w:pPr>
      <w:r>
        <w:rPr>
          <w:b w:val="0"/>
          <w:bCs w:val="0"/>
          <w:color w:val="000000"/>
          <w:lang w:val="en-US"/>
        </w:rPr>
        <w:t xml:space="preserve">Analysis of the slopes obtained from the logarithmic extraction plots provides deeper mechanistic insight. In all examined solvents, the slopes converge to values very close to 2, indicating a second-order dependence of the extraction equilibrium on the concentration of </w:t>
      </w:r>
      <w:r w:rsidR="00B85055" w:rsidRPr="00B85055">
        <w:rPr>
          <w:b w:val="0"/>
          <w:bCs w:val="0"/>
          <w:color w:val="000000"/>
          <w:highlight w:val="yellow"/>
          <w:lang w:val="en-GB"/>
        </w:rPr>
        <w:t>Di(2-ethylhexyl) phosphoric acid</w:t>
      </w:r>
      <w:r>
        <w:rPr>
          <w:b w:val="0"/>
          <w:bCs w:val="0"/>
          <w:color w:val="000000"/>
          <w:lang w:val="en-US"/>
        </w:rPr>
        <w:t xml:space="preserve">. In the context of the extraction model, such a slope signifies that the rate-determining step or the equilibrium-determining step involves two molecules of the extractant acting together typically in their dimeric form to coordinate with a single </w:t>
      </w:r>
      <w:r w:rsidR="00623C76">
        <w:rPr>
          <w:b w:val="0"/>
          <w:bCs w:val="0"/>
          <w:color w:val="000000"/>
          <w:lang w:val="en-US"/>
        </w:rPr>
        <w:t>Ni (</w:t>
      </w:r>
      <w:r>
        <w:rPr>
          <w:b w:val="0"/>
          <w:bCs w:val="0"/>
          <w:color w:val="000000"/>
          <w:lang w:val="en-US"/>
        </w:rPr>
        <w:t>II) ion.</w:t>
      </w:r>
    </w:p>
    <w:p w14:paraId="2113E363" w14:textId="77777777" w:rsidR="00B544FD" w:rsidRDefault="00B544FD">
      <w:pPr>
        <w:pStyle w:val="3"/>
        <w:numPr>
          <w:ilvl w:val="2"/>
          <w:numId w:val="0"/>
        </w:numPr>
        <w:ind w:firstLine="720"/>
        <w:jc w:val="both"/>
        <w:rPr>
          <w:b w:val="0"/>
          <w:bCs w:val="0"/>
          <w:color w:val="000000"/>
          <w:lang w:val="en-US"/>
        </w:rPr>
      </w:pPr>
      <w:r>
        <w:rPr>
          <w:b w:val="0"/>
          <w:bCs w:val="0"/>
          <w:color w:val="000000"/>
          <w:lang w:val="en-US"/>
        </w:rPr>
        <w:t xml:space="preserve">This observation directly supports a stoichiometric formulation in which two units of D2EHPA are involved in forming the neutral nickel–extractant complex that partitions into the organic phase. In other words, the complexation reaction proceeds according to a 1:2 metal-to-extractant ratio, consistent with the well-established ion-exchange mechanism of acidic organophosphorus extractants. The agreement of this stoichiometry across several chemically diverse solvents further confirms that the participation of two </w:t>
      </w:r>
      <w:r>
        <w:rPr>
          <w:b w:val="0"/>
          <w:bCs w:val="0"/>
          <w:color w:val="000000"/>
          <w:lang w:val="en-US"/>
        </w:rPr>
        <w:lastRenderedPageBreak/>
        <w:t>extractant molecules is an intrinsic requirement of the nickel extraction process, rather than an artifact of any particular organic medium.</w:t>
      </w:r>
    </w:p>
    <w:p w14:paraId="1307059D" w14:textId="77777777" w:rsidR="00B544FD" w:rsidRDefault="00B544FD">
      <w:pPr>
        <w:pStyle w:val="3"/>
        <w:numPr>
          <w:ilvl w:val="2"/>
          <w:numId w:val="0"/>
        </w:numPr>
        <w:ind w:firstLine="720"/>
        <w:jc w:val="both"/>
        <w:rPr>
          <w:b w:val="0"/>
          <w:bCs w:val="0"/>
          <w:color w:val="000000"/>
          <w:lang w:val="en-US"/>
        </w:rPr>
      </w:pPr>
      <w:r>
        <w:rPr>
          <w:b w:val="0"/>
          <w:bCs w:val="0"/>
          <w:color w:val="000000"/>
          <w:lang w:val="en-US"/>
        </w:rPr>
        <w:t xml:space="preserve">Accordingly, the stoichiometric formulation of the nickel species stabilized in the organic phase can be expressed as NiL₂·2HL, where </w:t>
      </w:r>
      <w:r>
        <w:rPr>
          <w:b w:val="0"/>
          <w:bCs w:val="0"/>
          <w:i/>
          <w:iCs/>
          <w:color w:val="000000"/>
          <w:lang w:val="en-US"/>
        </w:rPr>
        <w:t>Ni</w:t>
      </w:r>
      <w:r>
        <w:rPr>
          <w:b w:val="0"/>
          <w:bCs w:val="0"/>
          <w:color w:val="000000"/>
          <w:lang w:val="en-US"/>
        </w:rPr>
        <w:t xml:space="preserve"> corresponds to the divalent nickel ion, </w:t>
      </w:r>
      <w:r>
        <w:rPr>
          <w:b w:val="0"/>
          <w:bCs w:val="0"/>
          <w:i/>
          <w:iCs/>
          <w:color w:val="000000"/>
          <w:lang w:val="en-US"/>
        </w:rPr>
        <w:t>L</w:t>
      </w:r>
      <w:r>
        <w:rPr>
          <w:b w:val="0"/>
          <w:bCs w:val="0"/>
          <w:color w:val="000000"/>
          <w:lang w:val="en-US"/>
        </w:rPr>
        <w:t xml:space="preserve"> represents the deprotonated form of the extractant </w:t>
      </w:r>
      <w:r w:rsidR="00B85055" w:rsidRPr="00B85055">
        <w:rPr>
          <w:b w:val="0"/>
          <w:bCs w:val="0"/>
          <w:color w:val="000000"/>
          <w:highlight w:val="yellow"/>
          <w:lang w:val="en-GB"/>
        </w:rPr>
        <w:t>Di(2-ethylhexyl) phosphoric acid</w:t>
      </w:r>
      <w:r>
        <w:rPr>
          <w:b w:val="0"/>
          <w:bCs w:val="0"/>
          <w:color w:val="000000"/>
          <w:lang w:val="en-US"/>
        </w:rPr>
        <w:t xml:space="preserve">, and </w:t>
      </w:r>
      <w:r>
        <w:rPr>
          <w:b w:val="0"/>
          <w:bCs w:val="0"/>
          <w:i/>
          <w:iCs/>
          <w:color w:val="000000"/>
          <w:lang w:val="en-US"/>
        </w:rPr>
        <w:t>HL</w:t>
      </w:r>
      <w:r>
        <w:rPr>
          <w:b w:val="0"/>
          <w:bCs w:val="0"/>
          <w:color w:val="000000"/>
          <w:lang w:val="en-US"/>
        </w:rPr>
        <w:t xml:space="preserve"> denotes the neutral, protonated extractant molecule. This structural representation illustrates that the extracted complex is not composed solely of deprotonated ligands, but rather incorporates both protonated and deprotonated extractant species, each contributing to the organization and stabilization of the nickel center within the hydrophobic environment of the organic phase.</w:t>
      </w:r>
    </w:p>
    <w:p w14:paraId="0F6F17CD" w14:textId="77777777" w:rsidR="00B544FD" w:rsidRDefault="00B544FD">
      <w:pPr>
        <w:pStyle w:val="3"/>
        <w:numPr>
          <w:ilvl w:val="2"/>
          <w:numId w:val="0"/>
        </w:numPr>
        <w:ind w:firstLine="720"/>
        <w:jc w:val="both"/>
        <w:rPr>
          <w:b w:val="0"/>
          <w:bCs w:val="0"/>
          <w:color w:val="000000"/>
          <w:lang w:val="en-US"/>
        </w:rPr>
      </w:pPr>
      <w:r>
        <w:rPr>
          <w:b w:val="0"/>
          <w:bCs w:val="0"/>
          <w:color w:val="000000"/>
          <w:lang w:val="en-US"/>
        </w:rPr>
        <w:t xml:space="preserve">The involvement of two </w:t>
      </w:r>
      <w:r>
        <w:rPr>
          <w:b w:val="0"/>
          <w:bCs w:val="0"/>
          <w:i/>
          <w:iCs/>
          <w:color w:val="000000"/>
          <w:lang w:val="en-US"/>
        </w:rPr>
        <w:t>L</w:t>
      </w:r>
      <w:r>
        <w:rPr>
          <w:b w:val="0"/>
          <w:bCs w:val="0"/>
          <w:color w:val="000000"/>
          <w:lang w:val="en-US"/>
        </w:rPr>
        <w:t xml:space="preserve"> units reflects the primary coordination interaction responsible for binding and neutralizing the charge of the </w:t>
      </w:r>
      <w:r w:rsidR="00623C76">
        <w:rPr>
          <w:b w:val="0"/>
          <w:bCs w:val="0"/>
          <w:color w:val="000000"/>
          <w:lang w:val="en-US"/>
        </w:rPr>
        <w:t>Ni (</w:t>
      </w:r>
      <w:r>
        <w:rPr>
          <w:b w:val="0"/>
          <w:bCs w:val="0"/>
          <w:color w:val="000000"/>
          <w:lang w:val="en-US"/>
        </w:rPr>
        <w:t xml:space="preserve">II) ion during transfer from the aqueous phase. Meanwhile, the participation of two additional protonated molecules, </w:t>
      </w:r>
      <w:r>
        <w:rPr>
          <w:b w:val="0"/>
          <w:bCs w:val="0"/>
          <w:i/>
          <w:iCs/>
          <w:color w:val="000000"/>
          <w:lang w:val="en-US"/>
        </w:rPr>
        <w:t>HL</w:t>
      </w:r>
      <w:r>
        <w:rPr>
          <w:b w:val="0"/>
          <w:bCs w:val="0"/>
          <w:color w:val="000000"/>
          <w:lang w:val="en-US"/>
        </w:rPr>
        <w:t>, suggests their auxiliary role in enhancing the solubility of the complex, reinforcing hydrogen-bonded networks, or stabilizing the overall molecular assembly via secondary interactions. Such mixed-ligand structures are characteristic of extraction systems involving acidic organophosphorus extractants, where aggregation and hydrogen bonding in the organic phase strongly influence the final configuration of the extracted species.</w:t>
      </w:r>
    </w:p>
    <w:p w14:paraId="33F0DD0E" w14:textId="77777777" w:rsidR="00B544FD" w:rsidRDefault="00B544FD">
      <w:pPr>
        <w:pStyle w:val="3"/>
        <w:numPr>
          <w:ilvl w:val="2"/>
          <w:numId w:val="0"/>
        </w:numPr>
        <w:ind w:firstLine="720"/>
        <w:jc w:val="both"/>
        <w:rPr>
          <w:b w:val="0"/>
          <w:bCs w:val="0"/>
          <w:color w:val="000000"/>
          <w:lang w:val="en-US"/>
        </w:rPr>
      </w:pPr>
      <w:r>
        <w:rPr>
          <w:b w:val="0"/>
          <w:bCs w:val="0"/>
          <w:color w:val="000000"/>
          <w:lang w:val="en-US"/>
        </w:rPr>
        <w:t xml:space="preserve">Collectively, these observations provide compelling support for a coherent mechanistic framework that governs the extraction process. The experimentally derived stoichiometry aligns well with the expected behavior of </w:t>
      </w:r>
      <w:r w:rsidR="00B27B9B" w:rsidRPr="00B85055">
        <w:rPr>
          <w:b w:val="0"/>
          <w:bCs w:val="0"/>
          <w:color w:val="000000"/>
          <w:highlight w:val="yellow"/>
          <w:lang w:val="en-GB"/>
        </w:rPr>
        <w:t>Di(2-ethylhexyl) phosphoric acid</w:t>
      </w:r>
      <w:r>
        <w:rPr>
          <w:b w:val="0"/>
          <w:bCs w:val="0"/>
          <w:color w:val="000000"/>
          <w:lang w:val="en-US"/>
        </w:rPr>
        <w:t xml:space="preserve"> in low-polarity media and confirms that the formation of the nickel complex follows a predictable and reproducible reaction pathway. The consistency of this stoichiometric pattern across different solvents strengthens the conclusion that the extraction mechanism is well-defined, chemically robust, and governed by fundamental interactions intrinsic to acidic organophosphorus extractants.</w:t>
      </w:r>
    </w:p>
    <w:tbl>
      <w:tblPr>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4132"/>
        <w:gridCol w:w="346"/>
        <w:gridCol w:w="4044"/>
        <w:gridCol w:w="425"/>
      </w:tblGrid>
      <w:tr w:rsidR="00B544FD" w14:paraId="2088622A" w14:textId="77777777">
        <w:trPr>
          <w:gridAfter w:val="1"/>
          <w:wAfter w:w="425" w:type="dxa"/>
          <w:trHeight w:val="3142"/>
        </w:trPr>
        <w:tc>
          <w:tcPr>
            <w:tcW w:w="4132" w:type="dxa"/>
          </w:tcPr>
          <w:p w14:paraId="3A5D23CC" w14:textId="77777777" w:rsidR="00B544FD" w:rsidRDefault="00B544FD">
            <w:pPr>
              <w:pStyle w:val="a9"/>
              <w:jc w:val="center"/>
              <w:rPr>
                <w:color w:val="000000"/>
                <w:lang w:val="fr-FR" w:eastAsia="fr-FR" w:bidi="ar-DZ"/>
              </w:rPr>
            </w:pPr>
            <w:r>
              <w:rPr>
                <w:rFonts w:ascii="Calibri" w:eastAsia="等线" w:hAnsi="Calibri" w:cs="Arial"/>
                <w:sz w:val="22"/>
                <w:szCs w:val="22"/>
                <w:lang w:eastAsia="zh-CN"/>
              </w:rPr>
              <w:object w:dxaOrig="16395" w:dyaOrig="11567" w14:anchorId="71A5F722">
                <v:shape id="Object 20" o:spid="_x0000_i1051" type="#_x0000_t75" alt="Project Path: .opju&#10;PE Folder: //&#10;Short Name: Graph18" style="width:230.25pt;height:168pt;mso-position-horizontal-relative:page;mso-position-vertical-relative:page" o:ole="">
                  <v:imagedata r:id="rId50" o:title=""/>
                </v:shape>
                <o:OLEObject Type="Embed" ProgID="Origin50.Graph" ShapeID="Object 20" DrawAspect="Content" ObjectID="_1847254625" r:id="rId51"/>
              </w:object>
            </w:r>
            <w:r>
              <w:rPr>
                <w:lang w:val="fr-FR"/>
              </w:rPr>
              <w:t>Chloroform</w:t>
            </w:r>
          </w:p>
        </w:tc>
        <w:tc>
          <w:tcPr>
            <w:tcW w:w="4390" w:type="dxa"/>
            <w:gridSpan w:val="2"/>
          </w:tcPr>
          <w:p w14:paraId="22332E6A" w14:textId="77777777" w:rsidR="00B544FD" w:rsidRDefault="00B544FD">
            <w:pPr>
              <w:pStyle w:val="a9"/>
              <w:spacing w:line="360" w:lineRule="auto"/>
              <w:jc w:val="center"/>
              <w:rPr>
                <w:color w:val="000000"/>
                <w:lang w:val="fr-FR" w:eastAsia="fr-FR" w:bidi="ar-DZ"/>
              </w:rPr>
            </w:pPr>
            <w:r>
              <w:rPr>
                <w:rFonts w:ascii="Calibri" w:eastAsia="等线" w:hAnsi="Calibri" w:cs="Arial"/>
                <w:sz w:val="22"/>
                <w:szCs w:val="22"/>
                <w:lang w:eastAsia="zh-CN"/>
              </w:rPr>
              <w:object w:dxaOrig="16380" w:dyaOrig="11583" w14:anchorId="0706CE03">
                <v:shape id="Object 21" o:spid="_x0000_i1052" type="#_x0000_t75" alt="Project Path: .opju&#10;PE Folder: //&#10;Short Name: CONTOL" style="width:241.5pt;height:171pt;mso-position-horizontal-relative:page;mso-position-vertical-relative:page" o:ole="">
                  <v:imagedata r:id="rId52" o:title=""/>
                </v:shape>
                <o:OLEObject Type="Embed" ProgID="Origin50.Graph" ShapeID="Object 21" DrawAspect="Content" ObjectID="_1847254626" r:id="rId53"/>
              </w:object>
            </w:r>
            <w:r>
              <w:rPr>
                <w:lang w:val="fr-FR"/>
              </w:rPr>
              <w:t>Toluene</w:t>
            </w:r>
          </w:p>
        </w:tc>
      </w:tr>
      <w:tr w:rsidR="00B544FD" w14:paraId="3524538B" w14:textId="77777777">
        <w:trPr>
          <w:gridAfter w:val="1"/>
          <w:wAfter w:w="425" w:type="dxa"/>
          <w:trHeight w:val="3990"/>
        </w:trPr>
        <w:tc>
          <w:tcPr>
            <w:tcW w:w="4132" w:type="dxa"/>
          </w:tcPr>
          <w:p w14:paraId="2B2AADF1" w14:textId="77777777" w:rsidR="00B544FD" w:rsidRDefault="00B544FD">
            <w:pPr>
              <w:pStyle w:val="a9"/>
              <w:ind w:right="375"/>
              <w:jc w:val="both"/>
              <w:rPr>
                <w:color w:val="000000"/>
                <w:lang w:val="fr-FR" w:eastAsia="fr-FR" w:bidi="ar-DZ"/>
              </w:rPr>
            </w:pPr>
            <w:r>
              <w:rPr>
                <w:rFonts w:ascii="Calibri" w:eastAsia="等线" w:hAnsi="Calibri" w:cs="Arial"/>
                <w:sz w:val="22"/>
                <w:szCs w:val="22"/>
                <w:lang w:eastAsia="zh-CN"/>
              </w:rPr>
              <w:object w:dxaOrig="16371" w:dyaOrig="11599" w14:anchorId="2B1A09E8">
                <v:shape id="Object 22" o:spid="_x0000_i1053" type="#_x0000_t75" alt="Project Path: .opju&#10;PE Folder: //&#10;Short Name: Graph22" style="width:222.75pt;height:173.25pt;mso-position-horizontal-relative:page;mso-position-vertical-relative:page" o:ole="">
                  <v:imagedata r:id="rId54" o:title=""/>
                </v:shape>
                <o:OLEObject Type="Embed" ProgID="Origin50.Graph" ShapeID="Object 22" DrawAspect="Content" ObjectID="_1847254627" r:id="rId55"/>
              </w:object>
            </w:r>
            <w:r>
              <w:rPr>
                <w:lang w:val="fr-FR"/>
              </w:rPr>
              <w:t>Carbon  Tetrachloride</w:t>
            </w:r>
          </w:p>
        </w:tc>
        <w:tc>
          <w:tcPr>
            <w:tcW w:w="4390" w:type="dxa"/>
            <w:gridSpan w:val="2"/>
          </w:tcPr>
          <w:p w14:paraId="1F5FB15F" w14:textId="77777777" w:rsidR="00B544FD" w:rsidRDefault="00B544FD">
            <w:pPr>
              <w:pStyle w:val="a9"/>
              <w:jc w:val="center"/>
              <w:rPr>
                <w:color w:val="000000"/>
                <w:lang w:val="fr-FR" w:eastAsia="fr-FR" w:bidi="ar-DZ"/>
              </w:rPr>
            </w:pPr>
            <w:r>
              <w:rPr>
                <w:rFonts w:ascii="Calibri" w:eastAsia="等线" w:hAnsi="Calibri" w:cs="Arial"/>
                <w:sz w:val="22"/>
                <w:szCs w:val="22"/>
                <w:lang w:eastAsia="zh-CN"/>
              </w:rPr>
              <w:object w:dxaOrig="16385" w:dyaOrig="11564" w14:anchorId="20FAC154">
                <v:shape id="Object 23" o:spid="_x0000_i1054" type="#_x0000_t75" alt="Project Path: .opju&#10;PE Folder: //&#10;Short Name: CONDICHL" style="width:242.25pt;height:171pt;mso-position-horizontal-relative:page;mso-position-vertical-relative:page" o:ole="">
                  <v:imagedata r:id="rId56" o:title=""/>
                </v:shape>
                <o:OLEObject Type="Embed" ProgID="Origin50.Graph" ShapeID="Object 23" DrawAspect="Content" ObjectID="_1847254628" r:id="rId57"/>
              </w:object>
            </w:r>
            <w:r>
              <w:rPr>
                <w:lang w:val="fr-FR"/>
              </w:rPr>
              <w:t>Dichloromethane</w:t>
            </w:r>
          </w:p>
        </w:tc>
      </w:tr>
      <w:tr w:rsidR="00B544FD" w14:paraId="30C96193" w14:textId="77777777">
        <w:trPr>
          <w:gridAfter w:val="1"/>
          <w:wAfter w:w="425" w:type="dxa"/>
          <w:trHeight w:val="3309"/>
        </w:trPr>
        <w:tc>
          <w:tcPr>
            <w:tcW w:w="8522" w:type="dxa"/>
            <w:gridSpan w:val="3"/>
          </w:tcPr>
          <w:p w14:paraId="4DA5C0A8" w14:textId="77777777" w:rsidR="00B544FD" w:rsidRDefault="00B544FD">
            <w:pPr>
              <w:pStyle w:val="a9"/>
              <w:ind w:left="426" w:firstLine="425"/>
              <w:jc w:val="center"/>
              <w:rPr>
                <w:lang w:bidi="ar-DZ"/>
              </w:rPr>
            </w:pPr>
            <w:r>
              <w:rPr>
                <w:rFonts w:ascii="Calibri" w:eastAsia="等线" w:hAnsi="Calibri" w:cs="Arial"/>
                <w:sz w:val="22"/>
                <w:szCs w:val="22"/>
                <w:lang w:eastAsia="zh-CN"/>
              </w:rPr>
              <w:object w:dxaOrig="16359" w:dyaOrig="11568" w14:anchorId="4ED78842">
                <v:shape id="Object 24" o:spid="_x0000_i1055" type="#_x0000_t75" alt="Project Path: .opju&#10;PE Folder: //&#10;Short Name: Graph13" style="width:278.25pt;height:196.5pt;mso-position-horizontal-relative:page;mso-position-vertical-relative:page" o:ole="">
                  <v:imagedata r:id="rId58" o:title=""/>
                </v:shape>
                <o:OLEObject Type="Embed" ProgID="Origin50.Graph" ShapeID="Object 24" DrawAspect="Content" ObjectID="_1847254629" r:id="rId59"/>
              </w:object>
            </w:r>
          </w:p>
          <w:p w14:paraId="6ADCB99B" w14:textId="77777777" w:rsidR="00B544FD" w:rsidRDefault="00B544FD">
            <w:pPr>
              <w:pStyle w:val="a9"/>
              <w:ind w:left="426" w:firstLine="425"/>
              <w:jc w:val="center"/>
              <w:rPr>
                <w:color w:val="000000"/>
                <w:lang w:val="fr-FR" w:eastAsia="fr-FR" w:bidi="ar-DZ"/>
              </w:rPr>
            </w:pPr>
            <w:r>
              <w:rPr>
                <w:lang w:val="fr-FR"/>
              </w:rPr>
              <w:t>cyclohexane</w:t>
            </w:r>
          </w:p>
        </w:tc>
      </w:tr>
      <w:tr w:rsidR="00B544FD" w14:paraId="701D7FEC" w14:textId="77777777">
        <w:tc>
          <w:tcPr>
            <w:tcW w:w="4478" w:type="dxa"/>
            <w:gridSpan w:val="2"/>
          </w:tcPr>
          <w:p w14:paraId="38B11E64" w14:textId="77777777" w:rsidR="00B544FD" w:rsidRDefault="00B544FD">
            <w:pPr>
              <w:pStyle w:val="a9"/>
              <w:ind w:hanging="142"/>
              <w:jc w:val="center"/>
            </w:pPr>
            <w:r>
              <w:object w:dxaOrig="16394" w:dyaOrig="11592" w14:anchorId="3D933686">
                <v:shape id="Object 33" o:spid="_x0000_i1056" type="#_x0000_t75" style="width:216.75pt;height:173.25pt;mso-position-horizontal-relative:page;mso-position-vertical-relative:page" o:ole="">
                  <v:imagedata r:id="rId60" o:title=""/>
                </v:shape>
                <o:OLEObject Type="Embed" ProgID="Origin50.Graph" ShapeID="Object 33" DrawAspect="Content" ObjectID="_1847254630" r:id="rId61"/>
              </w:object>
            </w:r>
          </w:p>
          <w:p w14:paraId="7DE7C1EF" w14:textId="77777777" w:rsidR="00B544FD" w:rsidRDefault="00B544FD">
            <w:pPr>
              <w:pStyle w:val="a9"/>
              <w:ind w:firstLine="720"/>
              <w:jc w:val="center"/>
              <w:rPr>
                <w:color w:val="000000"/>
                <w:lang w:val="fr-FR" w:eastAsia="fr-FR"/>
              </w:rPr>
            </w:pPr>
            <w:r>
              <w:rPr>
                <w:lang w:val="fr-FR"/>
              </w:rPr>
              <w:t>1-Octanol</w:t>
            </w:r>
          </w:p>
        </w:tc>
        <w:tc>
          <w:tcPr>
            <w:tcW w:w="4469" w:type="dxa"/>
            <w:gridSpan w:val="2"/>
          </w:tcPr>
          <w:p w14:paraId="3F07E556" w14:textId="77777777" w:rsidR="00B544FD" w:rsidRDefault="00B544FD">
            <w:pPr>
              <w:pStyle w:val="a9"/>
              <w:ind w:firstLine="1"/>
              <w:jc w:val="center"/>
              <w:rPr>
                <w:sz w:val="4"/>
                <w:szCs w:val="4"/>
                <w:lang w:val="fr-FR" w:bidi="ar-DZ"/>
              </w:rPr>
            </w:pPr>
            <w:r>
              <w:rPr>
                <w:rFonts w:ascii="Calibri" w:eastAsia="等线" w:hAnsi="Calibri" w:cs="Arial"/>
                <w:sz w:val="22"/>
                <w:szCs w:val="22"/>
                <w:lang w:eastAsia="zh-CN"/>
              </w:rPr>
              <w:object w:dxaOrig="16356" w:dyaOrig="11569" w14:anchorId="539F97C2">
                <v:shape id="Object 34" o:spid="_x0000_i1057" type="#_x0000_t75" alt="Project Path: .opju&#10;PE Folder: //&#10;Short Name: Graph4" style="width:3in;height:171.75pt;mso-position-horizontal-relative:page;mso-position-vertical-relative:page" o:ole="">
                  <v:imagedata r:id="rId62" o:title=""/>
                </v:shape>
                <o:OLEObject Type="Embed" ProgID="Origin50.Graph" ShapeID="Object 34" DrawAspect="Content" ObjectID="_1847254631" r:id="rId63"/>
              </w:object>
            </w:r>
          </w:p>
          <w:p w14:paraId="2CF5E34B" w14:textId="77777777" w:rsidR="00B544FD" w:rsidRDefault="00B544FD">
            <w:pPr>
              <w:pStyle w:val="a9"/>
              <w:ind w:firstLine="271"/>
              <w:jc w:val="center"/>
              <w:rPr>
                <w:color w:val="000000"/>
                <w:lang w:val="fr-FR" w:eastAsia="fr-FR"/>
              </w:rPr>
            </w:pPr>
            <w:r>
              <w:rPr>
                <w:lang w:val="fr-FR"/>
              </w:rPr>
              <w:t>MIBK</w:t>
            </w:r>
          </w:p>
        </w:tc>
      </w:tr>
    </w:tbl>
    <w:p w14:paraId="36C16C1C" w14:textId="77777777" w:rsidR="00B544FD" w:rsidRDefault="00B544FD">
      <w:pPr>
        <w:pStyle w:val="a9"/>
        <w:ind w:firstLine="720"/>
        <w:jc w:val="center"/>
        <w:rPr>
          <w:i/>
          <w:iCs/>
          <w:color w:val="000000"/>
          <w:lang w:eastAsia="fr-FR" w:bidi="ar-DZ"/>
        </w:rPr>
      </w:pPr>
      <w:r>
        <w:rPr>
          <w:i/>
          <w:iCs/>
          <w:color w:val="000000"/>
          <w:lang w:eastAsia="fr-FR" w:bidi="ar-DZ"/>
        </w:rPr>
        <w:t>Figure 2. Variation of the Distribution Coefficient (D) with D2EHPA Concentration</w:t>
      </w:r>
    </w:p>
    <w:p w14:paraId="355D2CE3" w14:textId="77777777" w:rsidR="00B544FD" w:rsidRDefault="00B544FD">
      <w:pPr>
        <w:pStyle w:val="a9"/>
        <w:ind w:firstLine="720"/>
        <w:jc w:val="both"/>
        <w:rPr>
          <w:color w:val="000000"/>
        </w:rPr>
      </w:pPr>
    </w:p>
    <w:p w14:paraId="528FDB94" w14:textId="77777777" w:rsidR="00B544FD" w:rsidRDefault="00B544FD">
      <w:pPr>
        <w:pStyle w:val="a9"/>
        <w:ind w:firstLine="720"/>
        <w:jc w:val="both"/>
        <w:rPr>
          <w:color w:val="000000"/>
        </w:rPr>
      </w:pPr>
      <w:r>
        <w:rPr>
          <w:color w:val="000000"/>
        </w:rPr>
        <w:lastRenderedPageBreak/>
        <w:t xml:space="preserve">Figures </w:t>
      </w:r>
      <w:r w:rsidRPr="00C955D7">
        <w:rPr>
          <w:color w:val="000000"/>
        </w:rPr>
        <w:t>2</w:t>
      </w:r>
      <w:r>
        <w:rPr>
          <w:color w:val="000000"/>
        </w:rPr>
        <w:t xml:space="preserve"> display the plots of Log D versus Log [HL] for the extraction of Ni(II) by</w:t>
      </w:r>
      <w:r w:rsidR="00484276" w:rsidRPr="00484276">
        <w:rPr>
          <w:color w:val="000000"/>
          <w:highlight w:val="yellow"/>
          <w:lang w:val="en-GB"/>
        </w:rPr>
        <w:t xml:space="preserve"> </w:t>
      </w:r>
      <w:r w:rsidR="00484276" w:rsidRPr="00B85055">
        <w:rPr>
          <w:color w:val="000000"/>
          <w:highlight w:val="yellow"/>
          <w:lang w:val="en-GB"/>
        </w:rPr>
        <w:t xml:space="preserve">Di(2-ethylhexyl) phosphoric acid </w:t>
      </w:r>
      <w:r>
        <w:rPr>
          <w:color w:val="000000"/>
        </w:rPr>
        <w:t>in 1-octanol and MIBK.</w:t>
      </w:r>
    </w:p>
    <w:p w14:paraId="73E791CE" w14:textId="77777777" w:rsidR="00B544FD" w:rsidRDefault="00B544FD">
      <w:pPr>
        <w:pStyle w:val="a9"/>
        <w:ind w:firstLine="720"/>
        <w:jc w:val="both"/>
        <w:rPr>
          <w:color w:val="000000"/>
        </w:rPr>
      </w:pPr>
      <w:r>
        <w:rPr>
          <w:color w:val="000000"/>
        </w:rPr>
        <w:t xml:space="preserve">The resulting graphs exhibit slopes close to 2, corresponding to </w:t>
      </w:r>
      <w:r>
        <w:rPr>
          <w:i/>
          <w:iCs/>
          <w:color w:val="000000"/>
        </w:rPr>
        <w:t>p</w:t>
      </w:r>
      <w:r>
        <w:rPr>
          <w:color w:val="000000"/>
        </w:rPr>
        <w:t xml:space="preserve"> = 0. This indicates that the species transferred into the organic phase has the stoichiometry NiL₂, and that no additional protonated </w:t>
      </w:r>
      <w:r w:rsidR="00B27B9B" w:rsidRPr="00B85055">
        <w:rPr>
          <w:color w:val="000000"/>
          <w:highlight w:val="yellow"/>
          <w:lang w:val="en-GB"/>
        </w:rPr>
        <w:t>Di(2-ethylhexyl) phosphoric acid</w:t>
      </w:r>
      <w:r>
        <w:rPr>
          <w:color w:val="000000"/>
        </w:rPr>
        <w:t xml:space="preserve"> molecules (HL) are involved in coordinating the extracted complex.</w:t>
      </w:r>
    </w:p>
    <w:p w14:paraId="15D19243" w14:textId="77777777" w:rsidR="00B544FD" w:rsidRDefault="00B544FD">
      <w:pPr>
        <w:pStyle w:val="a9"/>
        <w:ind w:firstLine="720"/>
        <w:jc w:val="both"/>
        <w:rPr>
          <w:color w:val="000000"/>
        </w:rPr>
      </w:pPr>
      <w:r>
        <w:rPr>
          <w:color w:val="000000"/>
        </w:rPr>
        <w:t xml:space="preserve">A similar conclusion was reported by Tao and Nagaosa [24] for the extraction of Ni(II) from a perchlorate medium (0.1 M (Na,H)ClO₄) using </w:t>
      </w:r>
      <w:r w:rsidR="00B27B9B" w:rsidRPr="00B85055">
        <w:rPr>
          <w:color w:val="000000"/>
          <w:highlight w:val="yellow"/>
          <w:lang w:val="en-GB"/>
        </w:rPr>
        <w:t>Di(2-ethylhexyl) phosphoric acid</w:t>
      </w:r>
      <w:r>
        <w:rPr>
          <w:color w:val="000000"/>
        </w:rPr>
        <w:t xml:space="preserve"> dissolved in 1-octanol.</w:t>
      </w:r>
    </w:p>
    <w:p w14:paraId="23E4C2B9" w14:textId="77777777" w:rsidR="00B544FD" w:rsidRDefault="00B544FD">
      <w:pPr>
        <w:pStyle w:val="a9"/>
        <w:ind w:firstLine="720"/>
        <w:jc w:val="both"/>
        <w:rPr>
          <w:color w:val="000000"/>
          <w:lang w:eastAsia="fr-FR" w:bidi="ar-DZ"/>
        </w:rPr>
      </w:pPr>
      <w:r>
        <w:rPr>
          <w:color w:val="000000"/>
          <w:lang w:eastAsia="fr-FR" w:bidi="ar-DZ"/>
        </w:rPr>
        <w:t xml:space="preserve">The plots presented in Figures 2 provide a detailed illustration of how the concentration of </w:t>
      </w:r>
      <w:r w:rsidR="00B27B9B" w:rsidRPr="00B85055">
        <w:rPr>
          <w:color w:val="000000"/>
          <w:highlight w:val="yellow"/>
          <w:lang w:val="en-GB"/>
        </w:rPr>
        <w:t>Di(2-ethylhexyl) phosphoric acid</w:t>
      </w:r>
      <w:r>
        <w:rPr>
          <w:color w:val="000000"/>
          <w:lang w:eastAsia="fr-FR" w:bidi="ar-DZ"/>
        </w:rPr>
        <w:t xml:space="preserve"> affects the distribution coefficient (Log D) during the extraction of Ni(II) when the extractant is dissolved in different organic diluents. These graphical representations make it possible to directly compare the extraction behavior across a broad range of solvents and highlight the role of extractant concentration in governing the transfer of nickel from the aqueous to the organic phase.</w:t>
      </w:r>
    </w:p>
    <w:p w14:paraId="1A0EF765" w14:textId="77777777" w:rsidR="00B544FD" w:rsidRDefault="00B544FD">
      <w:pPr>
        <w:pStyle w:val="a9"/>
        <w:ind w:firstLine="720"/>
        <w:jc w:val="both"/>
        <w:rPr>
          <w:color w:val="000000"/>
          <w:lang w:eastAsia="fr-FR" w:bidi="ar-DZ"/>
        </w:rPr>
      </w:pPr>
      <w:r>
        <w:rPr>
          <w:color w:val="000000"/>
          <w:lang w:eastAsia="fr-FR" w:bidi="ar-DZ"/>
        </w:rPr>
        <w:t xml:space="preserve">Figures 2, which correspond to extraction systems employing chloroform, toluene, dichloromethane, carbon tetrachloride, and cyclohexane as organic solvents, show the relationship between Log D and Log[(HL)₂], where (HL)₂ denotes the dimeric form of </w:t>
      </w:r>
      <w:r w:rsidR="00B27B9B" w:rsidRPr="00B85055">
        <w:rPr>
          <w:color w:val="000000"/>
          <w:highlight w:val="yellow"/>
          <w:lang w:val="en-GB"/>
        </w:rPr>
        <w:t>Di(2-ethylhexyl) phosphoric acid</w:t>
      </w:r>
      <w:r>
        <w:rPr>
          <w:color w:val="000000"/>
          <w:lang w:eastAsia="fr-FR" w:bidi="ar-DZ"/>
        </w:rPr>
        <w:t xml:space="preserve"> that predominates in low-polarity media. For each solvent, the curves obtained at the three investigated pH values exhibit positive and nearly linear slopes. This behavior clearly indicates that increasing the concentration of the dimeric extractant leads to enhanced nickel extraction, as reflected by the rise in the distribution coefficient. The consistent upward trend observed across all diluents reinforces the conclusion that extractant availability is a critical factor controlling the extent of metal loading in these systems.</w:t>
      </w:r>
    </w:p>
    <w:p w14:paraId="4B359C68" w14:textId="77777777" w:rsidR="00B544FD" w:rsidRDefault="00B544FD">
      <w:pPr>
        <w:pStyle w:val="a9"/>
        <w:ind w:firstLine="720"/>
        <w:jc w:val="both"/>
        <w:rPr>
          <w:color w:val="000000"/>
          <w:lang w:eastAsia="fr-FR" w:bidi="ar-DZ"/>
        </w:rPr>
      </w:pPr>
      <w:r>
        <w:rPr>
          <w:color w:val="000000"/>
          <w:lang w:eastAsia="fr-FR" w:bidi="ar-DZ"/>
        </w:rPr>
        <w:t>Furthermore, the differences in the slopes measured at various pH levels provide additional insight into the proton-exchange mechanism underlying the extraction reaction. Higher pH values which favor deprotonation of the extractant result in more pronounced increases in Log D with increasing extractant concentration. This effect confirms the strong dependence of extraction efficiency on the acidity of the aqueous phase, as even modest increases in pH significantly promote the formation of the metal–extractant complex and facilitate nickel transfer to the organic medium.</w:t>
      </w:r>
    </w:p>
    <w:p w14:paraId="62BE1CE4" w14:textId="77777777" w:rsidR="00B544FD" w:rsidRDefault="00B544FD">
      <w:pPr>
        <w:pStyle w:val="a9"/>
        <w:ind w:firstLine="720"/>
        <w:jc w:val="both"/>
        <w:rPr>
          <w:color w:val="000000"/>
          <w:lang w:eastAsia="fr-FR" w:bidi="ar-DZ"/>
        </w:rPr>
      </w:pPr>
      <w:r>
        <w:rPr>
          <w:color w:val="000000"/>
          <w:lang w:eastAsia="fr-FR" w:bidi="ar-DZ"/>
        </w:rPr>
        <w:t>Figure 2 presents the analogous plots of Log D versus Log[HL] for extraction systems using 1-octanol and methyl isobutyl ketone (MIBK) as diluents. The extraction behavior in these comparatively more polar solvents is particularly notable because solvent–extractant interactions differ substantially from those observed in nonpolar media. In 1-octanol and MIBK, solvation effects, hydrogen bonding, and variations in extractant aggregation can influence the stability, structure, and overall stoichiometry of the nickel–</w:t>
      </w:r>
      <w:r w:rsidR="00B27B9B" w:rsidRPr="00B27B9B">
        <w:rPr>
          <w:color w:val="000000"/>
          <w:highlight w:val="yellow"/>
          <w:lang w:val="en-GB"/>
        </w:rPr>
        <w:t xml:space="preserve"> </w:t>
      </w:r>
      <w:r w:rsidR="00B27B9B" w:rsidRPr="00B85055">
        <w:rPr>
          <w:color w:val="000000"/>
          <w:highlight w:val="yellow"/>
          <w:lang w:val="en-GB"/>
        </w:rPr>
        <w:t>Di(2-ethylhexyl) phosphoric acid</w:t>
      </w:r>
      <w:r>
        <w:rPr>
          <w:color w:val="000000"/>
          <w:lang w:eastAsia="fr-FR" w:bidi="ar-DZ"/>
        </w:rPr>
        <w:t xml:space="preserve"> complex. The distinct trends observed in these solvents thus highlight the important role of diluent properties in determining extraction efficiency and mechanistic pathways, underscoring that solvent selection is a key factor in optimizing metal recovery processes.</w:t>
      </w:r>
    </w:p>
    <w:p w14:paraId="3267523C" w14:textId="77777777" w:rsidR="00B544FD" w:rsidRDefault="00B544FD">
      <w:pPr>
        <w:pStyle w:val="2"/>
        <w:spacing w:line="240" w:lineRule="auto"/>
        <w:ind w:firstLine="1125"/>
        <w:rPr>
          <w:rFonts w:eastAsia="Times New Roman"/>
          <w:color w:val="000000"/>
          <w:lang w:val="en-US" w:bidi="ar-SA"/>
        </w:rPr>
      </w:pPr>
      <w:r>
        <w:rPr>
          <w:rFonts w:eastAsia="Times New Roman"/>
          <w:color w:val="000000"/>
          <w:lang w:val="en-US" w:bidi="ar-SA"/>
        </w:rPr>
        <w:lastRenderedPageBreak/>
        <w:t>Effect of the Diluent on the Extraction of Nickel (II) by D2EHPA</w:t>
      </w:r>
    </w:p>
    <w:p w14:paraId="40CAA7DB" w14:textId="77777777" w:rsidR="00B544FD" w:rsidRDefault="00B544FD">
      <w:pPr>
        <w:ind w:firstLine="720"/>
        <w:jc w:val="both"/>
        <w:rPr>
          <w:rFonts w:ascii="Times New Roman" w:hAnsi="Times New Roman" w:cs="Times New Roman"/>
          <w:color w:val="000000"/>
          <w:sz w:val="24"/>
          <w:szCs w:val="24"/>
          <w:lang w:val="en-US" w:bidi="ar-SA"/>
        </w:rPr>
      </w:pPr>
      <w:r>
        <w:rPr>
          <w:rFonts w:ascii="Times New Roman" w:hAnsi="Times New Roman" w:cs="Times New Roman"/>
          <w:color w:val="000000"/>
          <w:sz w:val="24"/>
          <w:szCs w:val="24"/>
          <w:lang w:bidi="ar-SA"/>
        </w:rPr>
        <w:t xml:space="preserve">A </w:t>
      </w:r>
      <w:r>
        <w:rPr>
          <w:rFonts w:ascii="Times New Roman" w:hAnsi="Times New Roman" w:cs="Times New Roman"/>
          <w:color w:val="000000"/>
          <w:sz w:val="24"/>
          <w:szCs w:val="24"/>
          <w:lang w:val="en-US" w:bidi="ar-SA"/>
        </w:rPr>
        <w:t xml:space="preserve">comprehensive study was undertaken to explore how the nature of the organic diluent affects the extraction of </w:t>
      </w:r>
      <w:r w:rsidR="00B31224">
        <w:rPr>
          <w:rFonts w:ascii="Times New Roman" w:hAnsi="Times New Roman" w:cs="Times New Roman"/>
          <w:color w:val="000000"/>
          <w:sz w:val="24"/>
          <w:szCs w:val="24"/>
          <w:lang w:val="en-US" w:bidi="ar-SA"/>
        </w:rPr>
        <w:t>Ni (</w:t>
      </w:r>
      <w:r>
        <w:rPr>
          <w:rFonts w:ascii="Times New Roman" w:hAnsi="Times New Roman" w:cs="Times New Roman"/>
          <w:color w:val="000000"/>
          <w:sz w:val="24"/>
          <w:szCs w:val="24"/>
          <w:lang w:val="en-US" w:bidi="ar-SA"/>
        </w:rPr>
        <w:t xml:space="preserve">II) by the acidic extractant </w:t>
      </w:r>
      <w:r w:rsidR="00B27B9B" w:rsidRPr="00B85055">
        <w:rPr>
          <w:color w:val="000000"/>
          <w:highlight w:val="yellow"/>
          <w:lang w:bidi="ar-SA"/>
        </w:rPr>
        <w:t>Di(2-ethylhexyl) phosphoric acid</w:t>
      </w:r>
      <w:r>
        <w:rPr>
          <w:rFonts w:ascii="Times New Roman" w:hAnsi="Times New Roman" w:cs="Times New Roman"/>
          <w:color w:val="000000"/>
          <w:sz w:val="24"/>
          <w:szCs w:val="24"/>
          <w:lang w:val="en-US" w:bidi="ar-SA"/>
        </w:rPr>
        <w:t>. Because the physicochemical properties of the solvent such as polarity, dielectric constant, and ability to promote or disrupt extractant aggregation play a decisive role in determining extraction performance, a broad set of organic media was examined. The selected solvents included chloroform, toluene, dichloromethane, carbon tetrachloride, cyclohexane, 1-octanol, and methyl isobutyl ketone (MIBK). These diluents span a wide polarity range, enabling a detailed comparison of how solvent environment influences the extractant’s molecular form and, consequently, the overall extraction mechanism.</w:t>
      </w:r>
    </w:p>
    <w:p w14:paraId="39965127" w14:textId="77777777" w:rsidR="00B544FD" w:rsidRDefault="00B544FD">
      <w:pPr>
        <w:ind w:firstLine="720"/>
        <w:jc w:val="both"/>
        <w:rPr>
          <w:rFonts w:ascii="Times New Roman" w:hAnsi="Times New Roman" w:cs="Times New Roman"/>
          <w:color w:val="000000"/>
          <w:sz w:val="24"/>
          <w:szCs w:val="24"/>
          <w:lang w:val="en-US" w:bidi="ar-SA"/>
        </w:rPr>
      </w:pPr>
      <w:r>
        <w:rPr>
          <w:rFonts w:ascii="Times New Roman" w:hAnsi="Times New Roman" w:cs="Times New Roman"/>
          <w:color w:val="000000"/>
          <w:sz w:val="24"/>
          <w:szCs w:val="24"/>
          <w:lang w:val="en-US" w:bidi="ar-SA"/>
        </w:rPr>
        <w:t xml:space="preserve">Figure </w:t>
      </w:r>
      <w:r w:rsidRPr="00C955D7">
        <w:rPr>
          <w:rFonts w:ascii="Times New Roman" w:hAnsi="Times New Roman" w:cs="Times New Roman"/>
          <w:color w:val="000000"/>
          <w:sz w:val="24"/>
          <w:szCs w:val="24"/>
          <w:lang w:val="en-US" w:bidi="ar-SA"/>
        </w:rPr>
        <w:t>3</w:t>
      </w:r>
      <w:r>
        <w:rPr>
          <w:rFonts w:ascii="Times New Roman" w:hAnsi="Times New Roman" w:cs="Times New Roman"/>
          <w:color w:val="000000"/>
          <w:sz w:val="24"/>
          <w:szCs w:val="24"/>
          <w:lang w:val="en-US" w:bidi="ar-SA"/>
        </w:rPr>
        <w:t xml:space="preserve"> illustrates the variation of the distribution coefficient (Log D) as a function of pH for the extraction of </w:t>
      </w:r>
      <w:r w:rsidR="00B31224">
        <w:rPr>
          <w:rFonts w:ascii="Times New Roman" w:hAnsi="Times New Roman" w:cs="Times New Roman"/>
          <w:color w:val="000000"/>
          <w:sz w:val="24"/>
          <w:szCs w:val="24"/>
          <w:lang w:val="en-US" w:bidi="ar-SA"/>
        </w:rPr>
        <w:t>Ni (</w:t>
      </w:r>
      <w:r>
        <w:rPr>
          <w:rFonts w:ascii="Times New Roman" w:hAnsi="Times New Roman" w:cs="Times New Roman"/>
          <w:color w:val="000000"/>
          <w:sz w:val="24"/>
          <w:szCs w:val="24"/>
          <w:lang w:val="en-US" w:bidi="ar-SA"/>
        </w:rPr>
        <w:t xml:space="preserve">II) by </w:t>
      </w:r>
      <w:r w:rsidR="0050677A" w:rsidRPr="00B85055">
        <w:rPr>
          <w:color w:val="000000"/>
          <w:highlight w:val="yellow"/>
          <w:lang w:bidi="ar-SA"/>
        </w:rPr>
        <w:t>Di(2-ethylhexyl) phosphoric acid</w:t>
      </w:r>
      <w:r>
        <w:rPr>
          <w:rFonts w:ascii="Times New Roman" w:hAnsi="Times New Roman" w:cs="Times New Roman"/>
          <w:color w:val="000000"/>
          <w:sz w:val="24"/>
          <w:szCs w:val="24"/>
          <w:lang w:val="en-US" w:bidi="ar-SA"/>
        </w:rPr>
        <w:t xml:space="preserve"> in each of the tested solvents at a fixed extractant concentration of 0.02 M. In all systems, a clear linear relationship is observed, with Log D increasing steadily as the pH of the aqueous phase rises. This consistent linearity reflects the proton-exchange mechanism characteristic of </w:t>
      </w:r>
      <w:r w:rsidR="00B27B9B" w:rsidRPr="00B85055">
        <w:rPr>
          <w:color w:val="000000"/>
          <w:highlight w:val="yellow"/>
          <w:lang w:bidi="ar-SA"/>
        </w:rPr>
        <w:t xml:space="preserve">Di(2-ethylhexyl) phosphoric acid </w:t>
      </w:r>
      <w:r>
        <w:rPr>
          <w:rFonts w:ascii="Times New Roman" w:hAnsi="Times New Roman" w:cs="Times New Roman"/>
          <w:color w:val="000000"/>
          <w:sz w:val="24"/>
          <w:szCs w:val="24"/>
          <w:lang w:val="en-US" w:bidi="ar-SA"/>
        </w:rPr>
        <w:t xml:space="preserve">-based extraction processes, in which increasing pH shifts the equilibrium toward the deprotonated extractant, thereby facilitating complex formation with </w:t>
      </w:r>
      <w:r w:rsidR="00B31224">
        <w:rPr>
          <w:rFonts w:ascii="Times New Roman" w:hAnsi="Times New Roman" w:cs="Times New Roman"/>
          <w:color w:val="000000"/>
          <w:sz w:val="24"/>
          <w:szCs w:val="24"/>
          <w:lang w:val="en-US" w:bidi="ar-SA"/>
        </w:rPr>
        <w:t>Ni (</w:t>
      </w:r>
      <w:r>
        <w:rPr>
          <w:rFonts w:ascii="Times New Roman" w:hAnsi="Times New Roman" w:cs="Times New Roman"/>
          <w:color w:val="000000"/>
          <w:sz w:val="24"/>
          <w:szCs w:val="24"/>
          <w:lang w:val="en-US" w:bidi="ar-SA"/>
        </w:rPr>
        <w:t>II).</w:t>
      </w:r>
    </w:p>
    <w:p w14:paraId="56B421C7" w14:textId="77777777" w:rsidR="00B544FD" w:rsidRDefault="00B544FD">
      <w:pPr>
        <w:ind w:firstLine="720"/>
        <w:jc w:val="both"/>
        <w:rPr>
          <w:rFonts w:ascii="Times New Roman" w:hAnsi="Times New Roman" w:cs="Times New Roman"/>
          <w:color w:val="000000"/>
          <w:sz w:val="24"/>
          <w:szCs w:val="24"/>
          <w:lang w:val="en-US" w:bidi="ar-SA"/>
        </w:rPr>
      </w:pPr>
      <w:r>
        <w:rPr>
          <w:rFonts w:ascii="Times New Roman" w:hAnsi="Times New Roman" w:cs="Times New Roman"/>
          <w:color w:val="000000"/>
          <w:sz w:val="24"/>
          <w:szCs w:val="24"/>
          <w:lang w:val="en-US" w:bidi="ar-SA"/>
        </w:rPr>
        <w:t>Remarkably, the slopes of the lines obtained for all diluents are clustered around a value of approximately 2. This uniformity indicates that the extraction reaction exhibits a second-order dependence on the active form of the extractant and that the stoichiometric involvement of two extractant molecules per nickel ion is maintained regardless of the solvent. The fact that such consistent behavior is observed across solvents of markedly different polarity highlights the robustness of the extraction mechanism and confirms that the fundamental coordination environment of the Ni(II)–</w:t>
      </w:r>
      <w:r w:rsidR="00B27B9B" w:rsidRPr="00B27B9B">
        <w:rPr>
          <w:color w:val="000000"/>
          <w:highlight w:val="yellow"/>
          <w:lang w:bidi="ar-SA"/>
        </w:rPr>
        <w:t xml:space="preserve"> </w:t>
      </w:r>
      <w:r w:rsidR="00B27B9B" w:rsidRPr="00B85055">
        <w:rPr>
          <w:color w:val="000000"/>
          <w:highlight w:val="yellow"/>
          <w:lang w:bidi="ar-SA"/>
        </w:rPr>
        <w:t>Di(2-ethylhexyl) phosphoric acid</w:t>
      </w:r>
      <w:r>
        <w:rPr>
          <w:rFonts w:ascii="Times New Roman" w:hAnsi="Times New Roman" w:cs="Times New Roman"/>
          <w:color w:val="000000"/>
          <w:sz w:val="24"/>
          <w:szCs w:val="24"/>
          <w:lang w:val="en-US" w:bidi="ar-SA"/>
        </w:rPr>
        <w:t xml:space="preserve"> complex remains essentially unchanged.</w:t>
      </w:r>
    </w:p>
    <w:p w14:paraId="5780BC9D" w14:textId="77777777" w:rsidR="00B544FD" w:rsidRDefault="00B544FD">
      <w:pPr>
        <w:ind w:firstLine="720"/>
        <w:jc w:val="both"/>
        <w:rPr>
          <w:rFonts w:ascii="Times New Roman" w:hAnsi="Times New Roman" w:cs="Times New Roman"/>
          <w:color w:val="000000"/>
          <w:sz w:val="24"/>
          <w:szCs w:val="24"/>
          <w:lang w:val="en-US" w:bidi="ar-SA"/>
        </w:rPr>
      </w:pPr>
      <w:r>
        <w:rPr>
          <w:rFonts w:ascii="Times New Roman" w:hAnsi="Times New Roman" w:cs="Times New Roman"/>
          <w:color w:val="000000"/>
          <w:sz w:val="24"/>
          <w:szCs w:val="24"/>
          <w:lang w:val="en-US" w:bidi="ar-SA"/>
        </w:rPr>
        <w:t xml:space="preserve">These findings demonstrate that, although diluents can influence extraction efficiency and complex stability to varying extents, the underlying chemical pathway governing nickel extraction by </w:t>
      </w:r>
      <w:r w:rsidR="00B27B9B" w:rsidRPr="00B85055">
        <w:rPr>
          <w:color w:val="000000"/>
          <w:highlight w:val="yellow"/>
          <w:lang w:bidi="ar-SA"/>
        </w:rPr>
        <w:t>Di(2-ethylhexyl) phosphoric acid</w:t>
      </w:r>
      <w:r>
        <w:rPr>
          <w:rFonts w:ascii="Times New Roman" w:hAnsi="Times New Roman" w:cs="Times New Roman"/>
          <w:color w:val="000000"/>
          <w:sz w:val="24"/>
          <w:szCs w:val="24"/>
          <w:lang w:val="en-US" w:bidi="ar-SA"/>
        </w:rPr>
        <w:t xml:space="preserve"> is remarkably stable. This mechanistic consistency suggests that solvent effects primarily alter equilibrium position and complex solvation rather than modifying the intrinsic stoichiometry of the extracted species.</w:t>
      </w:r>
    </w:p>
    <w:p w14:paraId="00D0AD67" w14:textId="77777777" w:rsidR="00B544FD" w:rsidRDefault="00B544FD" w:rsidP="00C955D7">
      <w:pPr>
        <w:spacing w:before="100" w:beforeAutospacing="1" w:after="100" w:afterAutospacing="1" w:line="240" w:lineRule="auto"/>
        <w:ind w:hanging="709"/>
        <w:jc w:val="center"/>
        <w:rPr>
          <w:rFonts w:ascii="Times New Roman" w:eastAsia="Times New Roman" w:hAnsi="Times New Roman" w:cs="Times New Roman"/>
          <w:i/>
          <w:iCs/>
          <w:color w:val="000000"/>
          <w:sz w:val="20"/>
          <w:szCs w:val="20"/>
          <w:lang w:val="en-US" w:bidi="ar-SA"/>
        </w:rPr>
      </w:pPr>
      <w:r>
        <w:object w:dxaOrig="6011" w:dyaOrig="4758" w14:anchorId="2C8DC897">
          <v:shape id="Object 62" o:spid="_x0000_i1058" type="#_x0000_t75" style="width:480.75pt;height:382.5pt;mso-position-horizontal-relative:page;mso-position-vertical-relative:page" o:ole="">
            <v:imagedata r:id="rId64" o:title=""/>
          </v:shape>
          <o:OLEObject Type="Embed" ProgID="Origin50.Graph" ShapeID="Object 62" DrawAspect="Content" ObjectID="_1847254632" r:id="rId65"/>
        </w:object>
      </w:r>
      <w:r>
        <w:rPr>
          <w:rFonts w:ascii="Times New Roman" w:eastAsia="Times New Roman" w:hAnsi="Times New Roman" w:cs="Times New Roman"/>
          <w:i/>
          <w:iCs/>
          <w:color w:val="000000"/>
          <w:sz w:val="20"/>
          <w:szCs w:val="20"/>
          <w:lang w:val="en-US" w:bidi="ar-SA"/>
        </w:rPr>
        <w:t xml:space="preserve">Figure </w:t>
      </w:r>
      <w:r w:rsidRPr="00C955D7">
        <w:rPr>
          <w:rFonts w:ascii="Times New Roman" w:eastAsia="Times New Roman" w:hAnsi="Times New Roman" w:cs="Times New Roman"/>
          <w:i/>
          <w:iCs/>
          <w:color w:val="000000"/>
          <w:sz w:val="20"/>
          <w:szCs w:val="20"/>
          <w:lang w:val="en-US" w:bidi="ar-SA"/>
        </w:rPr>
        <w:t>3</w:t>
      </w:r>
      <w:r>
        <w:rPr>
          <w:rFonts w:ascii="Times New Roman" w:eastAsia="Times New Roman" w:hAnsi="Times New Roman" w:cs="Times New Roman"/>
          <w:i/>
          <w:iCs/>
          <w:color w:val="000000"/>
          <w:sz w:val="20"/>
          <w:szCs w:val="20"/>
          <w:lang w:val="en-US" w:bidi="ar-SA"/>
        </w:rPr>
        <w:t xml:space="preserve">. Influence of Aqueous Phase pH on Ni(II) Extraction Using D2EHPA in Different Diluents; </w:t>
      </w:r>
      <w:r w:rsidR="00B27B9B">
        <w:rPr>
          <w:rFonts w:ascii="Times New Roman" w:eastAsia="Times New Roman" w:hAnsi="Times New Roman" w:cs="Times New Roman"/>
          <w:i/>
          <w:iCs/>
          <w:color w:val="000000"/>
          <w:sz w:val="20"/>
          <w:szCs w:val="20"/>
          <w:lang w:val="en-US" w:bidi="ar-SA"/>
        </w:rPr>
        <w:br/>
      </w:r>
      <w:r>
        <w:rPr>
          <w:rFonts w:ascii="Times New Roman" w:eastAsia="Times New Roman" w:hAnsi="Times New Roman" w:cs="Times New Roman"/>
          <w:i/>
          <w:iCs/>
          <w:color w:val="000000"/>
          <w:sz w:val="20"/>
          <w:szCs w:val="20"/>
          <w:lang w:val="en-US" w:bidi="ar-SA"/>
        </w:rPr>
        <w:t>[</w:t>
      </w:r>
      <w:r w:rsidR="00B27B9B" w:rsidRPr="00B85055">
        <w:rPr>
          <w:color w:val="000000"/>
          <w:highlight w:val="yellow"/>
          <w:lang w:bidi="ar-SA"/>
        </w:rPr>
        <w:t>Di(2-ethylhexyl) phosphoric acid</w:t>
      </w:r>
      <w:r>
        <w:rPr>
          <w:rFonts w:ascii="Times New Roman" w:eastAsia="Times New Roman" w:hAnsi="Times New Roman" w:cs="Times New Roman"/>
          <w:i/>
          <w:iCs/>
          <w:color w:val="000000"/>
          <w:sz w:val="20"/>
          <w:szCs w:val="20"/>
          <w:lang w:val="en-US" w:bidi="ar-SA"/>
        </w:rPr>
        <w:t>] = 0.02 M</w:t>
      </w:r>
    </w:p>
    <w:p w14:paraId="6098FE24" w14:textId="72747D06" w:rsidR="00B544FD" w:rsidRDefault="00E01951">
      <w:pPr>
        <w:spacing w:before="100" w:beforeAutospacing="1" w:after="100" w:afterAutospacing="1" w:line="240" w:lineRule="auto"/>
        <w:ind w:firstLine="142"/>
        <w:jc w:val="center"/>
        <w:rPr>
          <w:rFonts w:ascii="Times New Roman" w:eastAsia="Times New Roman" w:hAnsi="Times New Roman" w:cs="Times New Roman"/>
          <w:i/>
          <w:iCs/>
          <w:color w:val="000000"/>
          <w:sz w:val="20"/>
          <w:szCs w:val="20"/>
          <w:lang w:val="en-US" w:bidi="ar-SA"/>
        </w:rPr>
      </w:pPr>
      <w:r>
        <w:rPr>
          <w:rFonts w:ascii="Times New Roman" w:eastAsia="Times New Roman" w:hAnsi="Times New Roman" w:cs="Times New Roman"/>
          <w:i/>
          <w:iCs/>
          <w:noProof/>
          <w:color w:val="000000"/>
          <w:sz w:val="20"/>
          <w:szCs w:val="20"/>
          <w:lang w:val="en-US" w:eastAsia="zh-CN" w:bidi="ar-SA"/>
        </w:rPr>
        <mc:AlternateContent>
          <mc:Choice Requires="wps">
            <w:drawing>
              <wp:anchor distT="0" distB="0" distL="114300" distR="114300" simplePos="0" relativeHeight="251657728" behindDoc="0" locked="0" layoutInCell="1" allowOverlap="1" wp14:anchorId="56551DE6" wp14:editId="5D6B24ED">
                <wp:simplePos x="0" y="0"/>
                <wp:positionH relativeFrom="column">
                  <wp:posOffset>534035</wp:posOffset>
                </wp:positionH>
                <wp:positionV relativeFrom="paragraph">
                  <wp:posOffset>360045</wp:posOffset>
                </wp:positionV>
                <wp:extent cx="4448810" cy="2592705"/>
                <wp:effectExtent l="8890" t="6985" r="9525" b="10160"/>
                <wp:wrapNone/>
                <wp:docPr id="31972846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8810" cy="2592705"/>
                        </a:xfrm>
                        <a:prstGeom prst="rect">
                          <a:avLst/>
                        </a:prstGeom>
                        <a:noFill/>
                        <a:ln w="9525">
                          <a:solidFill>
                            <a:srgbClr val="000000"/>
                          </a:solidFill>
                          <a:prstDash val="lg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EF06FB" id="Rectangle 21" o:spid="_x0000_s1026" style="position:absolute;margin-left:42.05pt;margin-top:28.35pt;width:350.3pt;height:204.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" filled="f">
                <v:stroke dashstyle="longDash"/>
              </v:rect>
            </w:pict>
          </mc:Fallback>
        </mc:AlternateContent>
      </w:r>
      <w:r w:rsidR="00B544FD">
        <w:rPr>
          <w:rFonts w:ascii="Times New Roman" w:eastAsia="Times New Roman" w:hAnsi="Times New Roman" w:cs="Times New Roman"/>
          <w:i/>
          <w:iCs/>
          <w:color w:val="000000"/>
          <w:sz w:val="20"/>
          <w:szCs w:val="20"/>
          <w:lang w:val="en-US" w:bidi="ar-SA"/>
        </w:rPr>
        <w:t>Linear regression parameters (Slope, Intercept) and coefficient of determination (R</w:t>
      </w:r>
      <w:r w:rsidR="00B544FD">
        <w:rPr>
          <w:rFonts w:ascii="Times New Roman" w:eastAsia="Times New Roman" w:hAnsi="Times New Roman" w:cs="Times New Roman"/>
          <w:i/>
          <w:iCs/>
          <w:color w:val="000000"/>
          <w:sz w:val="20"/>
          <w:szCs w:val="20"/>
          <w:vertAlign w:val="superscript"/>
          <w:lang w:val="en-US" w:bidi="ar-SA"/>
        </w:rPr>
        <w:t>2</w:t>
      </w:r>
      <w:r w:rsidR="00B544FD">
        <w:rPr>
          <w:rFonts w:ascii="Times New Roman" w:eastAsia="Times New Roman" w:hAnsi="Times New Roman" w:cs="Times New Roman"/>
          <w:i/>
          <w:iCs/>
          <w:color w:val="000000"/>
          <w:sz w:val="20"/>
          <w:szCs w:val="20"/>
          <w:lang w:val="en-US" w:bidi="ar-SA"/>
        </w:rPr>
        <w:t>) for the extraction of Ni(II) versus pH in different diluents.</w:t>
      </w:r>
    </w:p>
    <w:tbl>
      <w:tblPr>
        <w:tblW w:w="6648" w:type="dxa"/>
        <w:jc w:val="center"/>
        <w:tblInd w:w="0" w:type="dxa"/>
        <w:tblCellMar>
          <w:left w:w="0" w:type="dxa"/>
          <w:right w:w="0" w:type="dxa"/>
        </w:tblCellMar>
        <w:tblLook w:val="0000" w:firstRow="0" w:lastRow="0" w:firstColumn="0" w:lastColumn="0" w:noHBand="0" w:noVBand="0"/>
      </w:tblPr>
      <w:tblGrid>
        <w:gridCol w:w="978"/>
        <w:gridCol w:w="721"/>
        <w:gridCol w:w="674"/>
        <w:gridCol w:w="1000"/>
        <w:gridCol w:w="848"/>
        <w:gridCol w:w="842"/>
        <w:gridCol w:w="781"/>
        <w:gridCol w:w="804"/>
      </w:tblGrid>
      <w:tr w:rsidR="00B544FD" w14:paraId="7C5D415E" w14:textId="77777777">
        <w:trPr>
          <w:trHeight w:val="285"/>
          <w:jc w:val="center"/>
        </w:trPr>
        <w:tc>
          <w:tcPr>
            <w:tcW w:w="978"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685A8DFC" w14:textId="77777777" w:rsidR="00B544FD" w:rsidRDefault="00B544FD">
            <w:pPr>
              <w:spacing w:after="0" w:line="240" w:lineRule="auto"/>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Equation</w:t>
            </w:r>
          </w:p>
        </w:tc>
        <w:tc>
          <w:tcPr>
            <w:tcW w:w="5670" w:type="dxa"/>
            <w:gridSpan w:val="7"/>
            <w:tcBorders>
              <w:top w:val="single" w:sz="4" w:space="0" w:color="000000"/>
              <w:left w:val="nil"/>
              <w:bottom w:val="single" w:sz="4" w:space="0" w:color="000000"/>
              <w:right w:val="single" w:sz="4" w:space="0" w:color="000000"/>
            </w:tcBorders>
            <w:shd w:val="clear" w:color="auto" w:fill="FFFFFF"/>
            <w:tcMar>
              <w:top w:w="0" w:type="dxa"/>
              <w:left w:w="40" w:type="dxa"/>
              <w:bottom w:w="0" w:type="dxa"/>
              <w:right w:w="40" w:type="dxa"/>
            </w:tcMar>
          </w:tcPr>
          <w:p w14:paraId="7505D8DB"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y = a + b*x</w:t>
            </w:r>
          </w:p>
        </w:tc>
      </w:tr>
      <w:tr w:rsidR="00B544FD" w14:paraId="7827C42D" w14:textId="77777777">
        <w:trPr>
          <w:trHeight w:val="270"/>
          <w:jc w:val="center"/>
        </w:trPr>
        <w:tc>
          <w:tcPr>
            <w:tcW w:w="978" w:type="dxa"/>
            <w:tcBorders>
              <w:top w:val="nil"/>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20A19E13" w14:textId="77777777" w:rsidR="00B544FD" w:rsidRDefault="00B544FD">
            <w:pPr>
              <w:spacing w:after="0" w:line="240" w:lineRule="auto"/>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Plot</w:t>
            </w:r>
          </w:p>
        </w:tc>
        <w:tc>
          <w:tcPr>
            <w:tcW w:w="721"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7339FA2B"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 xml:space="preserve">Ttoluene </w:t>
            </w:r>
          </w:p>
        </w:tc>
        <w:tc>
          <w:tcPr>
            <w:tcW w:w="674"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123F3777"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Chloroform</w:t>
            </w:r>
          </w:p>
        </w:tc>
        <w:tc>
          <w:tcPr>
            <w:tcW w:w="1000"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1E3F7CD1"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Dichloromethane</w:t>
            </w:r>
          </w:p>
        </w:tc>
        <w:tc>
          <w:tcPr>
            <w:tcW w:w="848"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04A41454"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Cyclohexane</w:t>
            </w:r>
          </w:p>
        </w:tc>
        <w:tc>
          <w:tcPr>
            <w:tcW w:w="842"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25AC890C"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MIBK</w:t>
            </w:r>
          </w:p>
        </w:tc>
        <w:tc>
          <w:tcPr>
            <w:tcW w:w="781"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6712637B"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 xml:space="preserve">Tetrachloride </w:t>
            </w:r>
          </w:p>
        </w:tc>
        <w:tc>
          <w:tcPr>
            <w:tcW w:w="804"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477F4285"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1-Octanol</w:t>
            </w:r>
          </w:p>
        </w:tc>
      </w:tr>
      <w:tr w:rsidR="00B544FD" w14:paraId="6FB90747" w14:textId="77777777">
        <w:trPr>
          <w:trHeight w:val="270"/>
          <w:jc w:val="center"/>
        </w:trPr>
        <w:tc>
          <w:tcPr>
            <w:tcW w:w="978" w:type="dxa"/>
            <w:tcBorders>
              <w:top w:val="nil"/>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289DE6B7" w14:textId="77777777" w:rsidR="00B544FD" w:rsidRDefault="00B544FD">
            <w:pPr>
              <w:spacing w:after="0" w:line="240" w:lineRule="auto"/>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Intercept</w:t>
            </w:r>
          </w:p>
        </w:tc>
        <w:tc>
          <w:tcPr>
            <w:tcW w:w="721"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4CA8B167"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-11.46505 ± 0.53404</w:t>
            </w:r>
          </w:p>
        </w:tc>
        <w:tc>
          <w:tcPr>
            <w:tcW w:w="674"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7EAA9BB9"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-10.38737 ± 0.87899</w:t>
            </w:r>
          </w:p>
        </w:tc>
        <w:tc>
          <w:tcPr>
            <w:tcW w:w="1000"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72250A34"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-9.61292 ± 0.41996</w:t>
            </w:r>
          </w:p>
        </w:tc>
        <w:tc>
          <w:tcPr>
            <w:tcW w:w="848"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120572CA"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-9.03988 ± 0.57848</w:t>
            </w:r>
          </w:p>
        </w:tc>
        <w:tc>
          <w:tcPr>
            <w:tcW w:w="842"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761179A2"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-8.63211 ± 0.5693</w:t>
            </w:r>
          </w:p>
        </w:tc>
        <w:tc>
          <w:tcPr>
            <w:tcW w:w="781"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17743C48"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-8.68559 ± 0.24496</w:t>
            </w:r>
          </w:p>
        </w:tc>
        <w:tc>
          <w:tcPr>
            <w:tcW w:w="804"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61395685"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-6.3236 ± 0.3995</w:t>
            </w:r>
          </w:p>
        </w:tc>
      </w:tr>
      <w:tr w:rsidR="00B544FD" w14:paraId="45C6BE43" w14:textId="77777777">
        <w:trPr>
          <w:trHeight w:val="270"/>
          <w:jc w:val="center"/>
        </w:trPr>
        <w:tc>
          <w:tcPr>
            <w:tcW w:w="978" w:type="dxa"/>
            <w:tcBorders>
              <w:top w:val="nil"/>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28591C44" w14:textId="77777777" w:rsidR="00B544FD" w:rsidRDefault="00B544FD">
            <w:pPr>
              <w:spacing w:after="0" w:line="240" w:lineRule="auto"/>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Slope</w:t>
            </w:r>
          </w:p>
        </w:tc>
        <w:tc>
          <w:tcPr>
            <w:tcW w:w="721"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7D9E1EB6"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1.86596 ± 0.08966</w:t>
            </w:r>
          </w:p>
        </w:tc>
        <w:tc>
          <w:tcPr>
            <w:tcW w:w="674"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360D2D4B"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1.71757 ± 0.14583</w:t>
            </w:r>
          </w:p>
        </w:tc>
        <w:tc>
          <w:tcPr>
            <w:tcW w:w="1000"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328F75C8"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1.62842 ± 0.07091</w:t>
            </w:r>
          </w:p>
        </w:tc>
        <w:tc>
          <w:tcPr>
            <w:tcW w:w="848"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44A643D6"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1.58265 ± 0.10394</w:t>
            </w:r>
          </w:p>
        </w:tc>
        <w:tc>
          <w:tcPr>
            <w:tcW w:w="842"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39853BD7"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1.54963 ± 0.10616</w:t>
            </w:r>
          </w:p>
        </w:tc>
        <w:tc>
          <w:tcPr>
            <w:tcW w:w="781"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47556B71"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1.56568 ± 0.04667</w:t>
            </w:r>
          </w:p>
        </w:tc>
        <w:tc>
          <w:tcPr>
            <w:tcW w:w="804"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33079AB4"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1.47999 ± 0.09919</w:t>
            </w:r>
          </w:p>
        </w:tc>
      </w:tr>
      <w:tr w:rsidR="00B544FD" w14:paraId="4A83B279" w14:textId="77777777">
        <w:trPr>
          <w:trHeight w:val="270"/>
          <w:jc w:val="center"/>
        </w:trPr>
        <w:tc>
          <w:tcPr>
            <w:tcW w:w="978" w:type="dxa"/>
            <w:tcBorders>
              <w:top w:val="nil"/>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747DE621" w14:textId="77777777" w:rsidR="00B544FD" w:rsidRDefault="00B544FD">
            <w:pPr>
              <w:spacing w:after="0" w:line="240" w:lineRule="auto"/>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R-Square (COD)</w:t>
            </w:r>
          </w:p>
        </w:tc>
        <w:tc>
          <w:tcPr>
            <w:tcW w:w="721"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1CF27F5E"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0.99312</w:t>
            </w:r>
          </w:p>
        </w:tc>
        <w:tc>
          <w:tcPr>
            <w:tcW w:w="674"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1E0D0AE6"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0.97883</w:t>
            </w:r>
          </w:p>
        </w:tc>
        <w:tc>
          <w:tcPr>
            <w:tcW w:w="1000"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7567D38C"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0.99434</w:t>
            </w:r>
          </w:p>
        </w:tc>
        <w:tc>
          <w:tcPr>
            <w:tcW w:w="848"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2B2B9254"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0.98723</w:t>
            </w:r>
          </w:p>
        </w:tc>
        <w:tc>
          <w:tcPr>
            <w:tcW w:w="842"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41996CB8"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0.98612</w:t>
            </w:r>
          </w:p>
        </w:tc>
        <w:tc>
          <w:tcPr>
            <w:tcW w:w="781"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35EC9E45"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0.99823</w:t>
            </w:r>
          </w:p>
        </w:tc>
        <w:tc>
          <w:tcPr>
            <w:tcW w:w="804"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51808539"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0.9911</w:t>
            </w:r>
          </w:p>
        </w:tc>
      </w:tr>
      <w:tr w:rsidR="00B544FD" w14:paraId="199C14A4" w14:textId="77777777">
        <w:trPr>
          <w:trHeight w:val="270"/>
          <w:jc w:val="center"/>
        </w:trPr>
        <w:tc>
          <w:tcPr>
            <w:tcW w:w="978" w:type="dxa"/>
            <w:tcBorders>
              <w:top w:val="nil"/>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3962B2D6" w14:textId="77777777" w:rsidR="00B544FD" w:rsidRDefault="00B544FD">
            <w:pPr>
              <w:spacing w:after="0" w:line="240" w:lineRule="auto"/>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Adj. R-Square</w:t>
            </w:r>
          </w:p>
        </w:tc>
        <w:tc>
          <w:tcPr>
            <w:tcW w:w="721"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1A737E48"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0.99083</w:t>
            </w:r>
          </w:p>
        </w:tc>
        <w:tc>
          <w:tcPr>
            <w:tcW w:w="674"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5BC04F05"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0.97177</w:t>
            </w:r>
          </w:p>
        </w:tc>
        <w:tc>
          <w:tcPr>
            <w:tcW w:w="1000"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7BA45BDD"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0.99246</w:t>
            </w:r>
          </w:p>
        </w:tc>
        <w:tc>
          <w:tcPr>
            <w:tcW w:w="848"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6B652073"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0.98297</w:t>
            </w:r>
          </w:p>
        </w:tc>
        <w:tc>
          <w:tcPr>
            <w:tcW w:w="842"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219ABCA9"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0.98149</w:t>
            </w:r>
          </w:p>
        </w:tc>
        <w:tc>
          <w:tcPr>
            <w:tcW w:w="781"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484473FD" w14:textId="77777777" w:rsidR="00B544FD" w:rsidRDefault="00B544FD">
            <w:pPr>
              <w:spacing w:after="0" w:line="240" w:lineRule="auto"/>
              <w:jc w:val="center"/>
              <w:rPr>
                <w:rFonts w:ascii="Arial" w:eastAsia="Times New Roman" w:hAnsi="Arial"/>
                <w:color w:val="000000"/>
                <w:sz w:val="12"/>
                <w:szCs w:val="12"/>
                <w:highlight w:val="yellow"/>
                <w:lang w:val="en-US" w:eastAsia="zh-CN" w:bidi="ar-SA"/>
              </w:rPr>
            </w:pPr>
            <w:r>
              <w:rPr>
                <w:rFonts w:ascii="Arial" w:eastAsia="Times New Roman" w:hAnsi="Arial"/>
                <w:color w:val="000000"/>
                <w:sz w:val="12"/>
                <w:szCs w:val="12"/>
                <w:highlight w:val="yellow"/>
                <w:lang w:val="en-US" w:eastAsia="zh-CN" w:bidi="ar-SA"/>
              </w:rPr>
              <w:t>0.99734</w:t>
            </w:r>
          </w:p>
        </w:tc>
        <w:tc>
          <w:tcPr>
            <w:tcW w:w="804" w:type="dxa"/>
            <w:tcBorders>
              <w:top w:val="nil"/>
              <w:left w:val="nil"/>
              <w:bottom w:val="single" w:sz="4" w:space="0" w:color="000000"/>
              <w:right w:val="single" w:sz="4" w:space="0" w:color="000000"/>
            </w:tcBorders>
            <w:shd w:val="clear" w:color="auto" w:fill="FFFFFF"/>
            <w:tcMar>
              <w:top w:w="0" w:type="dxa"/>
              <w:left w:w="40" w:type="dxa"/>
              <w:bottom w:w="0" w:type="dxa"/>
              <w:right w:w="40" w:type="dxa"/>
            </w:tcMar>
          </w:tcPr>
          <w:p w14:paraId="05228D87" w14:textId="77777777" w:rsidR="00B544FD" w:rsidRDefault="00B544FD">
            <w:pPr>
              <w:spacing w:after="0" w:line="240" w:lineRule="auto"/>
              <w:jc w:val="center"/>
              <w:rPr>
                <w:rFonts w:ascii="Arial" w:eastAsia="Times New Roman" w:hAnsi="Arial"/>
                <w:color w:val="000000"/>
                <w:sz w:val="12"/>
                <w:szCs w:val="12"/>
                <w:lang w:val="en-US" w:eastAsia="zh-CN" w:bidi="ar-SA"/>
              </w:rPr>
            </w:pPr>
            <w:r>
              <w:rPr>
                <w:rFonts w:ascii="Arial" w:eastAsia="Times New Roman" w:hAnsi="Arial"/>
                <w:color w:val="000000"/>
                <w:sz w:val="12"/>
                <w:szCs w:val="12"/>
                <w:highlight w:val="yellow"/>
                <w:lang w:val="en-US" w:eastAsia="zh-CN" w:bidi="ar-SA"/>
              </w:rPr>
              <w:t>0.98665</w:t>
            </w:r>
          </w:p>
        </w:tc>
      </w:tr>
    </w:tbl>
    <w:p w14:paraId="13D08B95" w14:textId="77777777" w:rsidR="00B544FD" w:rsidRDefault="00B544FD">
      <w:pPr>
        <w:spacing w:after="0"/>
        <w:rPr>
          <w:vanish/>
        </w:rPr>
      </w:pPr>
    </w:p>
    <w:tbl>
      <w:tblPr>
        <w:tblpPr w:leftFromText="180" w:rightFromText="180" w:vertAnchor="text" w:horzAnchor="margin" w:tblpXSpec="center" w:tblpY="270"/>
        <w:bidiVisual/>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706"/>
        <w:gridCol w:w="892"/>
        <w:gridCol w:w="2617"/>
        <w:gridCol w:w="1719"/>
      </w:tblGrid>
      <w:tr w:rsidR="00B544FD" w14:paraId="67DACD4F" w14:textId="77777777">
        <w:tc>
          <w:tcPr>
            <w:tcW w:w="0" w:type="auto"/>
            <w:tcBorders>
              <w:bottom w:val="single" w:sz="12" w:space="0" w:color="666666"/>
            </w:tcBorders>
          </w:tcPr>
          <w:p w14:paraId="428788DA" w14:textId="77777777" w:rsidR="00B544FD" w:rsidRDefault="00B544FD">
            <w:pPr>
              <w:bidi/>
              <w:spacing w:after="0" w:line="240" w:lineRule="auto"/>
              <w:jc w:val="center"/>
              <w:rPr>
                <w:rFonts w:ascii="Arial" w:eastAsia="Times New Roman" w:hAnsi="Arial"/>
                <w:b/>
                <w:bCs/>
                <w:color w:val="1F1F1F"/>
                <w:sz w:val="16"/>
                <w:szCs w:val="16"/>
                <w:highlight w:val="yellow"/>
                <w:rtl/>
                <w:lang w:val="en-US" w:eastAsia="zh-CN" w:bidi="ar-SA"/>
              </w:rPr>
            </w:pPr>
            <w:r>
              <w:rPr>
                <w:rFonts w:ascii="Arial" w:eastAsia="Times New Roman" w:hAnsi="Arial"/>
                <w:b/>
                <w:bCs/>
                <w:color w:val="1F1F1F"/>
                <w:sz w:val="16"/>
                <w:szCs w:val="16"/>
                <w:highlight w:val="yellow"/>
                <w:lang w:val="en-US" w:eastAsia="zh-CN" w:bidi="ar-SA"/>
              </w:rPr>
              <w:t>R2</w:t>
            </w:r>
          </w:p>
        </w:tc>
        <w:tc>
          <w:tcPr>
            <w:tcW w:w="0" w:type="auto"/>
            <w:tcBorders>
              <w:bottom w:val="single" w:sz="12" w:space="0" w:color="666666"/>
            </w:tcBorders>
          </w:tcPr>
          <w:p w14:paraId="6499F619" w14:textId="77777777" w:rsidR="00B544FD" w:rsidRDefault="00B544FD">
            <w:pPr>
              <w:bidi/>
              <w:spacing w:after="0" w:line="240" w:lineRule="auto"/>
              <w:jc w:val="center"/>
              <w:rPr>
                <w:rFonts w:ascii="Arial" w:eastAsia="Times New Roman" w:hAnsi="Arial"/>
                <w:b/>
                <w:bCs/>
                <w:color w:val="1F1F1F"/>
                <w:sz w:val="16"/>
                <w:szCs w:val="16"/>
                <w:highlight w:val="yellow"/>
                <w:rtl/>
                <w:lang w:val="en-US" w:eastAsia="zh-CN" w:bidi="ar-SA"/>
              </w:rPr>
            </w:pPr>
            <w:r>
              <w:rPr>
                <w:rFonts w:ascii="Arial" w:eastAsia="Times New Roman" w:hAnsi="Arial"/>
                <w:b/>
                <w:bCs/>
                <w:color w:val="1F1F1F"/>
                <w:sz w:val="16"/>
                <w:szCs w:val="16"/>
                <w:highlight w:val="yellow"/>
                <w:lang w:val="en-US" w:eastAsia="zh-CN" w:bidi="ar-SA"/>
              </w:rPr>
              <w:t>Slope (a)</w:t>
            </w:r>
          </w:p>
        </w:tc>
        <w:tc>
          <w:tcPr>
            <w:tcW w:w="0" w:type="auto"/>
            <w:tcBorders>
              <w:bottom w:val="single" w:sz="12" w:space="0" w:color="666666"/>
            </w:tcBorders>
          </w:tcPr>
          <w:p w14:paraId="0183144C" w14:textId="77777777" w:rsidR="00B544FD" w:rsidRDefault="00B544FD">
            <w:pPr>
              <w:bidi/>
              <w:spacing w:after="0" w:line="240" w:lineRule="auto"/>
              <w:jc w:val="center"/>
              <w:rPr>
                <w:rFonts w:ascii="Arial" w:eastAsia="Times New Roman" w:hAnsi="Arial"/>
                <w:b/>
                <w:bCs/>
                <w:color w:val="1F1F1F"/>
                <w:sz w:val="16"/>
                <w:szCs w:val="16"/>
                <w:highlight w:val="yellow"/>
                <w:lang w:val="en-US" w:eastAsia="zh-CN" w:bidi="ar-SA"/>
              </w:rPr>
            </w:pPr>
            <w:r>
              <w:rPr>
                <w:rFonts w:ascii="Arial" w:eastAsia="Times New Roman" w:hAnsi="Arial"/>
                <w:b/>
                <w:bCs/>
                <w:color w:val="1F1F1F"/>
                <w:sz w:val="16"/>
                <w:szCs w:val="16"/>
                <w:highlight w:val="yellow"/>
                <w:lang w:val="en-US" w:eastAsia="zh-CN" w:bidi="ar-SA"/>
              </w:rPr>
              <w:t>Linear Equation (LogD=a</w:t>
            </w:r>
            <w:r>
              <w:rPr>
                <w:rFonts w:ascii="Cambria Math" w:eastAsia="Times New Roman" w:hAnsi="Cambria Math" w:cs="Cambria Math"/>
                <w:b/>
                <w:bCs/>
                <w:color w:val="1F1F1F"/>
                <w:sz w:val="16"/>
                <w:szCs w:val="16"/>
                <w:highlight w:val="yellow"/>
                <w:lang w:val="en-US" w:eastAsia="zh-CN" w:bidi="ar-SA"/>
              </w:rPr>
              <w:t>⋅</w:t>
            </w:r>
            <w:r>
              <w:rPr>
                <w:rFonts w:ascii="Arial" w:eastAsia="Times New Roman" w:hAnsi="Arial"/>
                <w:b/>
                <w:bCs/>
                <w:color w:val="1F1F1F"/>
                <w:sz w:val="16"/>
                <w:szCs w:val="16"/>
                <w:highlight w:val="yellow"/>
                <w:lang w:val="en-US" w:eastAsia="zh-CN" w:bidi="ar-SA"/>
              </w:rPr>
              <w:t>pH+b)</w:t>
            </w:r>
          </w:p>
        </w:tc>
        <w:tc>
          <w:tcPr>
            <w:tcW w:w="0" w:type="auto"/>
            <w:tcBorders>
              <w:bottom w:val="single" w:sz="12" w:space="0" w:color="666666"/>
            </w:tcBorders>
          </w:tcPr>
          <w:p w14:paraId="1CAE5AB7" w14:textId="77777777" w:rsidR="00B544FD" w:rsidRDefault="00B544FD">
            <w:pPr>
              <w:bidi/>
              <w:spacing w:after="0" w:line="240" w:lineRule="auto"/>
              <w:jc w:val="center"/>
              <w:rPr>
                <w:rFonts w:ascii="Arial" w:eastAsia="Times New Roman" w:hAnsi="Arial"/>
                <w:b/>
                <w:bCs/>
                <w:color w:val="1F1F1F"/>
                <w:sz w:val="16"/>
                <w:szCs w:val="16"/>
                <w:highlight w:val="yellow"/>
                <w:lang w:val="en-US" w:eastAsia="zh-CN" w:bidi="ar-SA"/>
              </w:rPr>
            </w:pPr>
            <w:r>
              <w:rPr>
                <w:rFonts w:ascii="Arial" w:eastAsia="Times New Roman" w:hAnsi="Arial"/>
                <w:b/>
                <w:bCs/>
                <w:color w:val="1F1F1F"/>
                <w:sz w:val="16"/>
                <w:szCs w:val="16"/>
                <w:highlight w:val="yellow"/>
                <w:lang w:val="en-US" w:eastAsia="zh-CN" w:bidi="ar-SA"/>
              </w:rPr>
              <w:t>Diluent</w:t>
            </w:r>
          </w:p>
        </w:tc>
      </w:tr>
      <w:tr w:rsidR="00B544FD" w14:paraId="4DAD07A9" w14:textId="77777777">
        <w:tc>
          <w:tcPr>
            <w:tcW w:w="0" w:type="auto"/>
          </w:tcPr>
          <w:p w14:paraId="50034932" w14:textId="77777777" w:rsidR="00B544FD" w:rsidRDefault="00B544FD">
            <w:pPr>
              <w:bidi/>
              <w:spacing w:after="0" w:line="240" w:lineRule="auto"/>
              <w:jc w:val="center"/>
              <w:rPr>
                <w:rFonts w:ascii="Arial" w:eastAsia="Times New Roman" w:hAnsi="Arial"/>
                <w:b/>
                <w:bCs/>
                <w:color w:val="1F1F1F"/>
                <w:sz w:val="16"/>
                <w:szCs w:val="16"/>
                <w:highlight w:val="yellow"/>
                <w:rtl/>
                <w:lang w:val="en-US" w:eastAsia="zh-CN" w:bidi="ar-SA"/>
              </w:rPr>
            </w:pPr>
            <w:r>
              <w:rPr>
                <w:rFonts w:ascii="Arial" w:eastAsia="Times New Roman" w:hAnsi="Arial"/>
                <w:b/>
                <w:bCs/>
                <w:color w:val="1F1F1F"/>
                <w:sz w:val="16"/>
                <w:szCs w:val="16"/>
                <w:highlight w:val="yellow"/>
                <w:rtl/>
                <w:lang w:val="en-US" w:eastAsia="zh-CN" w:bidi="ar-SA"/>
              </w:rPr>
              <w:t>0.9931</w:t>
            </w:r>
          </w:p>
        </w:tc>
        <w:tc>
          <w:tcPr>
            <w:tcW w:w="0" w:type="auto"/>
          </w:tcPr>
          <w:p w14:paraId="291BDE21"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rtl/>
                <w:lang w:val="en-US" w:eastAsia="zh-CN" w:bidi="ar-SA"/>
              </w:rPr>
              <w:t>1.87</w:t>
            </w:r>
          </w:p>
        </w:tc>
        <w:tc>
          <w:tcPr>
            <w:tcW w:w="0" w:type="auto"/>
          </w:tcPr>
          <w:p w14:paraId="2D255F19" w14:textId="77777777" w:rsidR="00B544FD" w:rsidRDefault="00B544FD">
            <w:pPr>
              <w:bidi/>
              <w:spacing w:after="0" w:line="240" w:lineRule="auto"/>
              <w:jc w:val="center"/>
              <w:rPr>
                <w:rFonts w:ascii="Arial" w:eastAsia="Times New Roman" w:hAnsi="Arial"/>
                <w:color w:val="1F1F1F"/>
                <w:sz w:val="16"/>
                <w:szCs w:val="16"/>
                <w:highlight w:val="yellow"/>
                <w:lang w:val="en-US" w:eastAsia="zh-CN" w:bidi="ar-SA"/>
              </w:rPr>
            </w:pPr>
            <w:r>
              <w:rPr>
                <w:rFonts w:ascii="Arial" w:eastAsia="Times New Roman" w:hAnsi="Arial"/>
                <w:color w:val="1F1F1F"/>
                <w:sz w:val="16"/>
                <w:szCs w:val="16"/>
                <w:highlight w:val="yellow"/>
                <w:lang w:val="en-US" w:eastAsia="zh-CN" w:bidi="ar-SA"/>
              </w:rPr>
              <w:t>Log D = 1.87 pH - 11.47</w:t>
            </w:r>
          </w:p>
        </w:tc>
        <w:tc>
          <w:tcPr>
            <w:tcW w:w="0" w:type="auto"/>
          </w:tcPr>
          <w:p w14:paraId="0DBE0406" w14:textId="77777777" w:rsidR="00B544FD" w:rsidRDefault="00B544FD">
            <w:pPr>
              <w:bidi/>
              <w:spacing w:after="0" w:line="240" w:lineRule="auto"/>
              <w:jc w:val="center"/>
              <w:rPr>
                <w:rFonts w:ascii="Arial" w:eastAsia="Times New Roman" w:hAnsi="Arial" w:hint="cs"/>
                <w:color w:val="1F1F1F"/>
                <w:sz w:val="16"/>
                <w:szCs w:val="16"/>
                <w:highlight w:val="yellow"/>
                <w:rtl/>
                <w:cs/>
                <w:lang w:val="en-US" w:eastAsia="zh-CN"/>
              </w:rPr>
            </w:pPr>
            <w:r>
              <w:rPr>
                <w:rFonts w:ascii="Arial" w:eastAsia="Times New Roman" w:hAnsi="Arial"/>
                <w:color w:val="1F1F1F"/>
                <w:sz w:val="16"/>
                <w:szCs w:val="16"/>
                <w:highlight w:val="yellow"/>
                <w:lang w:val="en-US" w:eastAsia="zh-CN" w:bidi="ar-SA"/>
              </w:rPr>
              <w:t>Toluene</w:t>
            </w:r>
          </w:p>
        </w:tc>
      </w:tr>
      <w:tr w:rsidR="00B544FD" w14:paraId="30468952" w14:textId="77777777">
        <w:tc>
          <w:tcPr>
            <w:tcW w:w="0" w:type="auto"/>
          </w:tcPr>
          <w:p w14:paraId="020BC20E" w14:textId="77777777" w:rsidR="00B544FD" w:rsidRDefault="00B544FD">
            <w:pPr>
              <w:bidi/>
              <w:spacing w:after="0" w:line="240" w:lineRule="auto"/>
              <w:jc w:val="center"/>
              <w:rPr>
                <w:rFonts w:ascii="Arial" w:eastAsia="Times New Roman" w:hAnsi="Arial"/>
                <w:b/>
                <w:bCs/>
                <w:color w:val="1F1F1F"/>
                <w:sz w:val="16"/>
                <w:szCs w:val="16"/>
                <w:highlight w:val="yellow"/>
                <w:rtl/>
                <w:lang w:val="en-US" w:eastAsia="zh-CN" w:bidi="ar-SA"/>
              </w:rPr>
            </w:pPr>
            <w:r>
              <w:rPr>
                <w:rFonts w:ascii="Arial" w:eastAsia="Times New Roman" w:hAnsi="Arial"/>
                <w:b/>
                <w:bCs/>
                <w:color w:val="1F1F1F"/>
                <w:sz w:val="16"/>
                <w:szCs w:val="16"/>
                <w:highlight w:val="yellow"/>
                <w:rtl/>
                <w:lang w:val="en-US" w:eastAsia="zh-CN" w:bidi="ar-SA"/>
              </w:rPr>
              <w:t>0.9788</w:t>
            </w:r>
          </w:p>
        </w:tc>
        <w:tc>
          <w:tcPr>
            <w:tcW w:w="0" w:type="auto"/>
          </w:tcPr>
          <w:p w14:paraId="18203688"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rtl/>
                <w:lang w:val="en-US" w:eastAsia="zh-CN" w:bidi="ar-SA"/>
              </w:rPr>
              <w:t>1.72</w:t>
            </w:r>
          </w:p>
        </w:tc>
        <w:tc>
          <w:tcPr>
            <w:tcW w:w="0" w:type="auto"/>
          </w:tcPr>
          <w:p w14:paraId="26D8AFAA" w14:textId="77777777" w:rsidR="00B544FD" w:rsidRDefault="00B544FD">
            <w:pPr>
              <w:bidi/>
              <w:spacing w:after="0" w:line="240" w:lineRule="auto"/>
              <w:jc w:val="center"/>
              <w:rPr>
                <w:rFonts w:ascii="Arial" w:eastAsia="Times New Roman" w:hAnsi="Arial" w:hint="cs"/>
                <w:color w:val="1F1F1F"/>
                <w:sz w:val="16"/>
                <w:szCs w:val="16"/>
                <w:highlight w:val="yellow"/>
                <w:rtl/>
                <w:cs/>
                <w:lang w:val="en-US" w:eastAsia="zh-CN"/>
              </w:rPr>
            </w:pPr>
            <w:r>
              <w:rPr>
                <w:rFonts w:ascii="Arial" w:eastAsia="Times New Roman" w:hAnsi="Arial"/>
                <w:color w:val="1F1F1F"/>
                <w:sz w:val="16"/>
                <w:szCs w:val="16"/>
                <w:highlight w:val="yellow"/>
                <w:lang w:val="en-US" w:eastAsia="zh-CN" w:bidi="ar-SA"/>
              </w:rPr>
              <w:t>Log D = 1.72 pH - 10.39</w:t>
            </w:r>
          </w:p>
        </w:tc>
        <w:tc>
          <w:tcPr>
            <w:tcW w:w="0" w:type="auto"/>
          </w:tcPr>
          <w:p w14:paraId="61D7D656"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lang w:val="en-US" w:eastAsia="zh-CN" w:bidi="ar-SA"/>
              </w:rPr>
              <w:t>Chloroform</w:t>
            </w:r>
          </w:p>
        </w:tc>
      </w:tr>
      <w:tr w:rsidR="00B544FD" w14:paraId="0A2AFBAC" w14:textId="77777777">
        <w:tc>
          <w:tcPr>
            <w:tcW w:w="0" w:type="auto"/>
          </w:tcPr>
          <w:p w14:paraId="1D0ECDBB" w14:textId="77777777" w:rsidR="00B544FD" w:rsidRDefault="00B544FD">
            <w:pPr>
              <w:bidi/>
              <w:spacing w:after="0" w:line="240" w:lineRule="auto"/>
              <w:jc w:val="center"/>
              <w:rPr>
                <w:rFonts w:ascii="Arial" w:eastAsia="Times New Roman" w:hAnsi="Arial"/>
                <w:b/>
                <w:bCs/>
                <w:color w:val="1F1F1F"/>
                <w:sz w:val="16"/>
                <w:szCs w:val="16"/>
                <w:highlight w:val="yellow"/>
                <w:rtl/>
                <w:lang w:val="en-US" w:eastAsia="zh-CN" w:bidi="ar-SA"/>
              </w:rPr>
            </w:pPr>
            <w:r>
              <w:rPr>
                <w:rFonts w:ascii="Arial" w:eastAsia="Times New Roman" w:hAnsi="Arial"/>
                <w:b/>
                <w:bCs/>
                <w:color w:val="1F1F1F"/>
                <w:sz w:val="16"/>
                <w:szCs w:val="16"/>
                <w:highlight w:val="yellow"/>
                <w:rtl/>
                <w:lang w:val="en-US" w:eastAsia="zh-CN" w:bidi="ar-SA"/>
              </w:rPr>
              <w:t>0.9943</w:t>
            </w:r>
          </w:p>
        </w:tc>
        <w:tc>
          <w:tcPr>
            <w:tcW w:w="0" w:type="auto"/>
          </w:tcPr>
          <w:p w14:paraId="5BF74896"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rtl/>
                <w:lang w:val="en-US" w:eastAsia="zh-CN" w:bidi="ar-SA"/>
              </w:rPr>
              <w:t>1.63</w:t>
            </w:r>
          </w:p>
        </w:tc>
        <w:tc>
          <w:tcPr>
            <w:tcW w:w="0" w:type="auto"/>
          </w:tcPr>
          <w:p w14:paraId="38A89189" w14:textId="77777777" w:rsidR="00B544FD" w:rsidRDefault="00B544FD">
            <w:pPr>
              <w:bidi/>
              <w:spacing w:after="0" w:line="240" w:lineRule="auto"/>
              <w:jc w:val="center"/>
              <w:rPr>
                <w:rFonts w:ascii="Arial" w:eastAsia="Times New Roman" w:hAnsi="Arial"/>
                <w:color w:val="1F1F1F"/>
                <w:sz w:val="16"/>
                <w:szCs w:val="16"/>
                <w:highlight w:val="yellow"/>
                <w:lang w:val="en-US" w:eastAsia="zh-CN" w:bidi="ar-SA"/>
              </w:rPr>
            </w:pPr>
            <w:r>
              <w:rPr>
                <w:rFonts w:ascii="Arial" w:eastAsia="Times New Roman" w:hAnsi="Arial"/>
                <w:color w:val="1F1F1F"/>
                <w:sz w:val="16"/>
                <w:szCs w:val="16"/>
                <w:highlight w:val="yellow"/>
                <w:lang w:val="en-US" w:eastAsia="zh-CN" w:bidi="ar-SA"/>
              </w:rPr>
              <w:t>Log D = 1.63 pH - 9.61</w:t>
            </w:r>
          </w:p>
        </w:tc>
        <w:tc>
          <w:tcPr>
            <w:tcW w:w="0" w:type="auto"/>
          </w:tcPr>
          <w:p w14:paraId="35E415F4"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lang w:val="en-US" w:eastAsia="zh-CN" w:bidi="ar-SA"/>
              </w:rPr>
              <w:t>Dichloromethane</w:t>
            </w:r>
          </w:p>
        </w:tc>
      </w:tr>
      <w:tr w:rsidR="00B544FD" w14:paraId="3FF4C49E" w14:textId="77777777">
        <w:tc>
          <w:tcPr>
            <w:tcW w:w="0" w:type="auto"/>
          </w:tcPr>
          <w:p w14:paraId="2E05BAA5" w14:textId="77777777" w:rsidR="00B544FD" w:rsidRDefault="00B544FD">
            <w:pPr>
              <w:bidi/>
              <w:spacing w:after="0" w:line="240" w:lineRule="auto"/>
              <w:jc w:val="center"/>
              <w:rPr>
                <w:rFonts w:ascii="Arial" w:eastAsia="Times New Roman" w:hAnsi="Arial"/>
                <w:b/>
                <w:bCs/>
                <w:color w:val="1F1F1F"/>
                <w:sz w:val="16"/>
                <w:szCs w:val="16"/>
                <w:highlight w:val="yellow"/>
                <w:rtl/>
                <w:lang w:val="en-US" w:eastAsia="zh-CN" w:bidi="ar-SA"/>
              </w:rPr>
            </w:pPr>
            <w:r>
              <w:rPr>
                <w:rFonts w:ascii="Arial" w:eastAsia="Times New Roman" w:hAnsi="Arial"/>
                <w:b/>
                <w:bCs/>
                <w:color w:val="1F1F1F"/>
                <w:sz w:val="16"/>
                <w:szCs w:val="16"/>
                <w:highlight w:val="yellow"/>
                <w:rtl/>
                <w:lang w:val="en-US" w:eastAsia="zh-CN" w:bidi="ar-SA"/>
              </w:rPr>
              <w:t>0.9872</w:t>
            </w:r>
          </w:p>
        </w:tc>
        <w:tc>
          <w:tcPr>
            <w:tcW w:w="0" w:type="auto"/>
          </w:tcPr>
          <w:p w14:paraId="2CD61885"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rtl/>
                <w:lang w:val="en-US" w:eastAsia="zh-CN" w:bidi="ar-SA"/>
              </w:rPr>
              <w:t>1.58</w:t>
            </w:r>
          </w:p>
        </w:tc>
        <w:tc>
          <w:tcPr>
            <w:tcW w:w="0" w:type="auto"/>
          </w:tcPr>
          <w:p w14:paraId="2C777238" w14:textId="77777777" w:rsidR="00B544FD" w:rsidRDefault="00B544FD">
            <w:pPr>
              <w:bidi/>
              <w:spacing w:after="0" w:line="240" w:lineRule="auto"/>
              <w:jc w:val="center"/>
              <w:rPr>
                <w:rFonts w:ascii="Arial" w:eastAsia="Times New Roman" w:hAnsi="Arial"/>
                <w:color w:val="1F1F1F"/>
                <w:sz w:val="16"/>
                <w:szCs w:val="16"/>
                <w:highlight w:val="yellow"/>
                <w:lang w:val="en-US" w:eastAsia="zh-CN" w:bidi="ar-SA"/>
              </w:rPr>
            </w:pPr>
            <w:r>
              <w:rPr>
                <w:rFonts w:ascii="Arial" w:eastAsia="Times New Roman" w:hAnsi="Arial"/>
                <w:color w:val="1F1F1F"/>
                <w:sz w:val="16"/>
                <w:szCs w:val="16"/>
                <w:highlight w:val="yellow"/>
                <w:lang w:val="en-US" w:eastAsia="zh-CN" w:bidi="ar-SA"/>
              </w:rPr>
              <w:t>Log D = 1.58 pH - 9.04</w:t>
            </w:r>
          </w:p>
        </w:tc>
        <w:tc>
          <w:tcPr>
            <w:tcW w:w="0" w:type="auto"/>
          </w:tcPr>
          <w:p w14:paraId="7D65A841"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lang w:val="en-US" w:eastAsia="zh-CN" w:bidi="ar-SA"/>
              </w:rPr>
              <w:t>Cyclohexane</w:t>
            </w:r>
          </w:p>
        </w:tc>
      </w:tr>
      <w:tr w:rsidR="00B544FD" w14:paraId="59873C5C" w14:textId="77777777">
        <w:tc>
          <w:tcPr>
            <w:tcW w:w="0" w:type="auto"/>
          </w:tcPr>
          <w:p w14:paraId="2C27B6BE" w14:textId="77777777" w:rsidR="00B544FD" w:rsidRDefault="00B544FD">
            <w:pPr>
              <w:bidi/>
              <w:spacing w:after="0" w:line="240" w:lineRule="auto"/>
              <w:jc w:val="center"/>
              <w:rPr>
                <w:rFonts w:ascii="Arial" w:eastAsia="Times New Roman" w:hAnsi="Arial"/>
                <w:b/>
                <w:bCs/>
                <w:color w:val="1F1F1F"/>
                <w:sz w:val="16"/>
                <w:szCs w:val="16"/>
                <w:highlight w:val="yellow"/>
                <w:rtl/>
                <w:lang w:val="en-US" w:eastAsia="zh-CN" w:bidi="ar-SA"/>
              </w:rPr>
            </w:pPr>
            <w:r>
              <w:rPr>
                <w:rFonts w:ascii="Arial" w:eastAsia="Times New Roman" w:hAnsi="Arial"/>
                <w:b/>
                <w:bCs/>
                <w:color w:val="1F1F1F"/>
                <w:sz w:val="16"/>
                <w:szCs w:val="16"/>
                <w:highlight w:val="yellow"/>
                <w:rtl/>
                <w:lang w:val="en-US" w:eastAsia="zh-CN" w:bidi="ar-SA"/>
              </w:rPr>
              <w:t>0.9861</w:t>
            </w:r>
          </w:p>
        </w:tc>
        <w:tc>
          <w:tcPr>
            <w:tcW w:w="0" w:type="auto"/>
          </w:tcPr>
          <w:p w14:paraId="0A9A6C98"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rtl/>
                <w:lang w:val="en-US" w:eastAsia="zh-CN" w:bidi="ar-SA"/>
              </w:rPr>
              <w:t>1.55</w:t>
            </w:r>
          </w:p>
        </w:tc>
        <w:tc>
          <w:tcPr>
            <w:tcW w:w="0" w:type="auto"/>
          </w:tcPr>
          <w:p w14:paraId="6144C754" w14:textId="77777777" w:rsidR="00B544FD" w:rsidRDefault="00B544FD">
            <w:pPr>
              <w:bidi/>
              <w:spacing w:after="0" w:line="240" w:lineRule="auto"/>
              <w:jc w:val="center"/>
              <w:rPr>
                <w:rFonts w:ascii="Arial" w:eastAsia="Times New Roman" w:hAnsi="Arial"/>
                <w:color w:val="1F1F1F"/>
                <w:sz w:val="16"/>
                <w:szCs w:val="16"/>
                <w:highlight w:val="yellow"/>
                <w:lang w:val="en-US" w:eastAsia="zh-CN" w:bidi="ar-SA"/>
              </w:rPr>
            </w:pPr>
            <w:r>
              <w:rPr>
                <w:rFonts w:ascii="Arial" w:eastAsia="Times New Roman" w:hAnsi="Arial"/>
                <w:color w:val="1F1F1F"/>
                <w:sz w:val="16"/>
                <w:szCs w:val="16"/>
                <w:highlight w:val="yellow"/>
                <w:lang w:val="en-US" w:eastAsia="zh-CN" w:bidi="ar-SA"/>
              </w:rPr>
              <w:t>Log D = 1.55 pH - 8.63</w:t>
            </w:r>
          </w:p>
        </w:tc>
        <w:tc>
          <w:tcPr>
            <w:tcW w:w="0" w:type="auto"/>
          </w:tcPr>
          <w:p w14:paraId="269FBFA1"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lang w:val="en-US" w:eastAsia="zh-CN" w:bidi="ar-SA"/>
              </w:rPr>
              <w:t>MIBK</w:t>
            </w:r>
          </w:p>
        </w:tc>
      </w:tr>
      <w:tr w:rsidR="00B544FD" w14:paraId="7B8C0CEF" w14:textId="77777777">
        <w:tc>
          <w:tcPr>
            <w:tcW w:w="0" w:type="auto"/>
          </w:tcPr>
          <w:p w14:paraId="34236A18" w14:textId="77777777" w:rsidR="00B544FD" w:rsidRDefault="00B544FD">
            <w:pPr>
              <w:bidi/>
              <w:spacing w:after="0" w:line="240" w:lineRule="auto"/>
              <w:jc w:val="center"/>
              <w:rPr>
                <w:rFonts w:ascii="Arial" w:eastAsia="Times New Roman" w:hAnsi="Arial"/>
                <w:b/>
                <w:bCs/>
                <w:color w:val="1F1F1F"/>
                <w:sz w:val="16"/>
                <w:szCs w:val="16"/>
                <w:highlight w:val="yellow"/>
                <w:rtl/>
                <w:lang w:val="en-US" w:eastAsia="zh-CN" w:bidi="ar-SA"/>
              </w:rPr>
            </w:pPr>
            <w:r>
              <w:rPr>
                <w:rFonts w:ascii="Arial" w:eastAsia="Times New Roman" w:hAnsi="Arial"/>
                <w:b/>
                <w:bCs/>
                <w:color w:val="1F1F1F"/>
                <w:sz w:val="16"/>
                <w:szCs w:val="16"/>
                <w:highlight w:val="yellow"/>
                <w:rtl/>
                <w:lang w:val="en-US" w:eastAsia="zh-CN" w:bidi="ar-SA"/>
              </w:rPr>
              <w:t>0.9982</w:t>
            </w:r>
          </w:p>
        </w:tc>
        <w:tc>
          <w:tcPr>
            <w:tcW w:w="0" w:type="auto"/>
          </w:tcPr>
          <w:p w14:paraId="4DA9D7EF"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rtl/>
                <w:lang w:val="en-US" w:eastAsia="zh-CN" w:bidi="ar-SA"/>
              </w:rPr>
              <w:t>1.57</w:t>
            </w:r>
          </w:p>
        </w:tc>
        <w:tc>
          <w:tcPr>
            <w:tcW w:w="0" w:type="auto"/>
          </w:tcPr>
          <w:p w14:paraId="07CDD507" w14:textId="77777777" w:rsidR="00B544FD" w:rsidRDefault="00B544FD">
            <w:pPr>
              <w:bidi/>
              <w:spacing w:after="0" w:line="240" w:lineRule="auto"/>
              <w:jc w:val="center"/>
              <w:rPr>
                <w:rFonts w:ascii="Arial" w:eastAsia="Times New Roman" w:hAnsi="Arial"/>
                <w:color w:val="1F1F1F"/>
                <w:sz w:val="16"/>
                <w:szCs w:val="16"/>
                <w:highlight w:val="yellow"/>
                <w:lang w:val="en-US" w:eastAsia="zh-CN" w:bidi="ar-SA"/>
              </w:rPr>
            </w:pPr>
            <w:r>
              <w:rPr>
                <w:rFonts w:ascii="Arial" w:eastAsia="Times New Roman" w:hAnsi="Arial"/>
                <w:color w:val="1F1F1F"/>
                <w:sz w:val="16"/>
                <w:szCs w:val="16"/>
                <w:highlight w:val="yellow"/>
                <w:lang w:val="en-US" w:eastAsia="zh-CN" w:bidi="ar-SA"/>
              </w:rPr>
              <w:t>Log D = 1.57 pH - 8.69</w:t>
            </w:r>
          </w:p>
        </w:tc>
        <w:tc>
          <w:tcPr>
            <w:tcW w:w="0" w:type="auto"/>
          </w:tcPr>
          <w:p w14:paraId="7E7221EA"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lang w:val="en-US" w:eastAsia="zh-CN" w:bidi="ar-SA"/>
              </w:rPr>
              <w:t>Carbon Tetrachloride</w:t>
            </w:r>
          </w:p>
        </w:tc>
      </w:tr>
      <w:tr w:rsidR="00B544FD" w14:paraId="38EC5287" w14:textId="77777777">
        <w:tc>
          <w:tcPr>
            <w:tcW w:w="0" w:type="auto"/>
          </w:tcPr>
          <w:p w14:paraId="46D921A3" w14:textId="77777777" w:rsidR="00B544FD" w:rsidRDefault="00B544FD">
            <w:pPr>
              <w:bidi/>
              <w:spacing w:after="0" w:line="240" w:lineRule="auto"/>
              <w:jc w:val="center"/>
              <w:rPr>
                <w:rFonts w:ascii="Arial" w:eastAsia="Times New Roman" w:hAnsi="Arial"/>
                <w:b/>
                <w:bCs/>
                <w:color w:val="1F1F1F"/>
                <w:sz w:val="16"/>
                <w:szCs w:val="16"/>
                <w:highlight w:val="yellow"/>
                <w:rtl/>
                <w:lang w:val="en-US" w:eastAsia="zh-CN" w:bidi="ar-SA"/>
              </w:rPr>
            </w:pPr>
            <w:r>
              <w:rPr>
                <w:rFonts w:ascii="Arial" w:eastAsia="Times New Roman" w:hAnsi="Arial"/>
                <w:b/>
                <w:bCs/>
                <w:color w:val="1F1F1F"/>
                <w:sz w:val="16"/>
                <w:szCs w:val="16"/>
                <w:highlight w:val="yellow"/>
                <w:rtl/>
                <w:lang w:val="en-US" w:eastAsia="zh-CN" w:bidi="ar-SA"/>
              </w:rPr>
              <w:t>0.9911</w:t>
            </w:r>
          </w:p>
        </w:tc>
        <w:tc>
          <w:tcPr>
            <w:tcW w:w="0" w:type="auto"/>
          </w:tcPr>
          <w:p w14:paraId="12EC4AF3"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rtl/>
                <w:lang w:val="en-US" w:eastAsia="zh-CN" w:bidi="ar-SA"/>
              </w:rPr>
              <w:t>1.48</w:t>
            </w:r>
          </w:p>
        </w:tc>
        <w:tc>
          <w:tcPr>
            <w:tcW w:w="0" w:type="auto"/>
          </w:tcPr>
          <w:p w14:paraId="0E0412DD"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lang w:val="en-US" w:eastAsia="zh-CN" w:bidi="ar-SA"/>
              </w:rPr>
              <w:t>Log D = 1.48 pH - 6.32</w:t>
            </w:r>
          </w:p>
        </w:tc>
        <w:tc>
          <w:tcPr>
            <w:tcW w:w="0" w:type="auto"/>
          </w:tcPr>
          <w:p w14:paraId="4D545FCE" w14:textId="77777777" w:rsidR="00B544FD" w:rsidRDefault="00B544FD">
            <w:pPr>
              <w:bidi/>
              <w:spacing w:after="0" w:line="240" w:lineRule="auto"/>
              <w:jc w:val="center"/>
              <w:rPr>
                <w:rFonts w:ascii="Arial" w:eastAsia="Times New Roman" w:hAnsi="Arial"/>
                <w:color w:val="1F1F1F"/>
                <w:sz w:val="16"/>
                <w:szCs w:val="16"/>
                <w:highlight w:val="yellow"/>
                <w:rtl/>
                <w:lang w:val="en-US" w:eastAsia="zh-CN" w:bidi="ar-SA"/>
              </w:rPr>
            </w:pPr>
            <w:r>
              <w:rPr>
                <w:rFonts w:ascii="Arial" w:eastAsia="Times New Roman" w:hAnsi="Arial"/>
                <w:color w:val="1F1F1F"/>
                <w:sz w:val="16"/>
                <w:szCs w:val="16"/>
                <w:highlight w:val="yellow"/>
                <w:rtl/>
                <w:lang w:val="en-US" w:eastAsia="zh-CN" w:bidi="ar-SA"/>
              </w:rPr>
              <w:t>1-</w:t>
            </w:r>
            <w:r>
              <w:rPr>
                <w:rFonts w:ascii="Arial" w:eastAsia="Times New Roman" w:hAnsi="Arial"/>
                <w:color w:val="1F1F1F"/>
                <w:sz w:val="16"/>
                <w:szCs w:val="16"/>
                <w:highlight w:val="yellow"/>
                <w:lang w:val="en-US" w:eastAsia="zh-CN" w:bidi="ar-SA"/>
              </w:rPr>
              <w:t>Octanol</w:t>
            </w:r>
          </w:p>
        </w:tc>
      </w:tr>
    </w:tbl>
    <w:p w14:paraId="5D26E613"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bidi="ar-SA"/>
        </w:rPr>
      </w:pPr>
    </w:p>
    <w:p w14:paraId="3855495C"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bidi="ar-SA"/>
        </w:rPr>
      </w:pPr>
    </w:p>
    <w:p w14:paraId="3AEC1BD3"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bidi="ar-SA"/>
        </w:rPr>
      </w:pPr>
    </w:p>
    <w:p w14:paraId="0EF4397C"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bidi="ar-SA"/>
        </w:rPr>
      </w:pPr>
    </w:p>
    <w:p w14:paraId="4A4DF6A1"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bidi="ar-SA"/>
        </w:rPr>
      </w:pPr>
    </w:p>
    <w:p w14:paraId="2BFB5B40"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i/>
          <w:iCs/>
          <w:color w:val="000000"/>
          <w:sz w:val="20"/>
          <w:szCs w:val="20"/>
          <w:lang w:bidi="ar-SA"/>
        </w:rPr>
      </w:pPr>
      <w:r>
        <w:rPr>
          <w:rFonts w:ascii="Times New Roman" w:eastAsia="Times New Roman" w:hAnsi="Times New Roman" w:cs="Times New Roman"/>
          <w:color w:val="000000"/>
          <w:sz w:val="24"/>
          <w:szCs w:val="24"/>
          <w:lang w:bidi="ar-SA"/>
        </w:rPr>
        <w:lastRenderedPageBreak/>
        <w:t xml:space="preserve">Table 1 compiles the logarithmic values of the extraction constants K obtained for the various organic diluents investigated, allowing for a direct comparison of extraction </w:t>
      </w:r>
      <w:r w:rsidR="00B31224">
        <w:rPr>
          <w:rFonts w:ascii="Times New Roman" w:eastAsia="Times New Roman" w:hAnsi="Times New Roman" w:cs="Times New Roman"/>
          <w:color w:val="000000"/>
          <w:sz w:val="24"/>
          <w:szCs w:val="24"/>
          <w:lang w:bidi="ar-SA"/>
        </w:rPr>
        <w:t>behaviour</w:t>
      </w:r>
      <w:r>
        <w:rPr>
          <w:rFonts w:ascii="Times New Roman" w:eastAsia="Times New Roman" w:hAnsi="Times New Roman" w:cs="Times New Roman"/>
          <w:color w:val="000000"/>
          <w:sz w:val="24"/>
          <w:szCs w:val="24"/>
          <w:lang w:bidi="ar-SA"/>
        </w:rPr>
        <w:t xml:space="preserve"> across the different solvent systems.</w:t>
      </w:r>
    </w:p>
    <w:p w14:paraId="64E87B24"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i/>
          <w:iCs/>
          <w:color w:val="000000"/>
          <w:sz w:val="20"/>
          <w:szCs w:val="20"/>
          <w:lang w:val="en-US" w:bidi="ar-SA"/>
        </w:rPr>
      </w:pPr>
      <w:r>
        <w:rPr>
          <w:rFonts w:ascii="Times New Roman" w:eastAsia="Times New Roman" w:hAnsi="Times New Roman" w:cs="Times New Roman"/>
          <w:i/>
          <w:iCs/>
          <w:color w:val="000000"/>
          <w:sz w:val="20"/>
          <w:szCs w:val="20"/>
          <w:lang w:val="en-US" w:bidi="ar-SA"/>
        </w:rPr>
        <w:t>Table 1: The values of the extraction constants K</w:t>
      </w:r>
      <w:r>
        <w:rPr>
          <w:rFonts w:ascii="Times New Roman" w:eastAsia="Times New Roman" w:hAnsi="Times New Roman" w:cs="Times New Roman"/>
          <w:i/>
          <w:iCs/>
          <w:color w:val="000000"/>
          <w:sz w:val="20"/>
          <w:szCs w:val="20"/>
          <w:vertAlign w:val="subscript"/>
          <w:lang w:val="en-US" w:bidi="ar-SA"/>
        </w:rPr>
        <w:t>ex</w:t>
      </w:r>
      <w:r>
        <w:rPr>
          <w:rFonts w:ascii="Times New Roman" w:eastAsia="Times New Roman" w:hAnsi="Times New Roman" w:cs="Times New Roman"/>
          <w:i/>
          <w:iCs/>
          <w:color w:val="000000"/>
          <w:sz w:val="20"/>
          <w:szCs w:val="20"/>
          <w:lang w:val="en-US" w:bidi="ar-SA"/>
        </w:rPr>
        <w:t xml:space="preserve"> of nickel (II) by D2EHPA in the different diluents.</w:t>
      </w:r>
    </w:p>
    <w:tbl>
      <w:tblPr>
        <w:tblW w:w="87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9"/>
        <w:gridCol w:w="1993"/>
        <w:gridCol w:w="1578"/>
        <w:gridCol w:w="1453"/>
        <w:gridCol w:w="1292"/>
      </w:tblGrid>
      <w:tr w:rsidR="00B544FD" w14:paraId="1333B04D" w14:textId="77777777">
        <w:trPr>
          <w:trHeight w:val="515"/>
        </w:trPr>
        <w:tc>
          <w:tcPr>
            <w:tcW w:w="2443" w:type="dxa"/>
          </w:tcPr>
          <w:p w14:paraId="45C90C90" w14:textId="77777777" w:rsidR="00B544FD" w:rsidRDefault="00B544FD" w:rsidP="000252C4">
            <w:pPr>
              <w:spacing w:before="100" w:beforeAutospacing="1" w:after="100" w:afterAutospacing="1" w:line="240" w:lineRule="auto"/>
              <w:ind w:hanging="142"/>
              <w:jc w:val="center"/>
              <w:rPr>
                <w:rFonts w:ascii="Times New Roman" w:eastAsia="Times New Roman" w:hAnsi="Times New Roman" w:cs="Times New Roman"/>
                <w:color w:val="000000"/>
                <w:lang w:val="en-US" w:bidi="ar-SA"/>
              </w:rPr>
            </w:pPr>
            <w:r>
              <w:rPr>
                <w:rFonts w:ascii="Times New Roman" w:hAnsi="Times New Roman" w:cs="Times New Roman"/>
                <w:b/>
                <w:bCs/>
                <w:color w:val="000000"/>
              </w:rPr>
              <w:t>Aqueous Phase</w:t>
            </w:r>
          </w:p>
        </w:tc>
        <w:tc>
          <w:tcPr>
            <w:tcW w:w="1998" w:type="dxa"/>
          </w:tcPr>
          <w:p w14:paraId="4CF3CD26" w14:textId="77777777" w:rsidR="00B544FD" w:rsidRDefault="00B544FD" w:rsidP="000252C4">
            <w:pPr>
              <w:spacing w:before="100" w:beforeAutospacing="1" w:after="100" w:afterAutospacing="1" w:line="240" w:lineRule="auto"/>
              <w:ind w:firstLine="113"/>
              <w:jc w:val="center"/>
              <w:rPr>
                <w:rFonts w:ascii="Times New Roman" w:eastAsia="Times New Roman" w:hAnsi="Times New Roman" w:cs="Times New Roman"/>
                <w:color w:val="000000"/>
                <w:lang w:val="en-US" w:bidi="ar-SA"/>
              </w:rPr>
            </w:pPr>
            <w:r>
              <w:rPr>
                <w:rFonts w:ascii="Times New Roman" w:hAnsi="Times New Roman" w:cs="Times New Roman"/>
                <w:b/>
                <w:bCs/>
                <w:color w:val="000000"/>
              </w:rPr>
              <w:t>Diluent</w:t>
            </w:r>
          </w:p>
        </w:tc>
        <w:tc>
          <w:tcPr>
            <w:tcW w:w="1582" w:type="dxa"/>
          </w:tcPr>
          <w:p w14:paraId="401206AB" w14:textId="77777777" w:rsidR="00B544FD" w:rsidRDefault="00B544FD" w:rsidP="000252C4">
            <w:pPr>
              <w:spacing w:before="100" w:beforeAutospacing="1" w:after="100" w:afterAutospacing="1" w:line="240" w:lineRule="auto"/>
              <w:ind w:firstLine="105"/>
              <w:jc w:val="center"/>
              <w:rPr>
                <w:rFonts w:ascii="Times New Roman" w:eastAsia="Times New Roman" w:hAnsi="Times New Roman" w:cs="Times New Roman"/>
                <w:color w:val="000000"/>
                <w:lang w:val="en-US" w:bidi="ar-SA"/>
              </w:rPr>
            </w:pPr>
            <w:r>
              <w:rPr>
                <w:rFonts w:ascii="Times New Roman" w:hAnsi="Times New Roman" w:cs="Times New Roman"/>
                <w:b/>
                <w:bCs/>
                <w:color w:val="000000"/>
              </w:rPr>
              <w:t>LogK</w:t>
            </w:r>
            <w:r>
              <w:rPr>
                <w:rFonts w:ascii="Times New Roman" w:hAnsi="Times New Roman" w:cs="Times New Roman"/>
                <w:b/>
                <w:bCs/>
                <w:color w:val="000000"/>
                <w:vertAlign w:val="subscript"/>
              </w:rPr>
              <w:t>ex</w:t>
            </w:r>
          </w:p>
        </w:tc>
        <w:tc>
          <w:tcPr>
            <w:tcW w:w="1456" w:type="dxa"/>
          </w:tcPr>
          <w:p w14:paraId="0E969C20" w14:textId="77777777" w:rsidR="00B544FD" w:rsidRDefault="00B544FD" w:rsidP="000252C4">
            <w:pPr>
              <w:spacing w:before="100" w:beforeAutospacing="1" w:after="100" w:afterAutospacing="1" w:line="240" w:lineRule="auto"/>
              <w:jc w:val="center"/>
              <w:rPr>
                <w:rFonts w:ascii="Times New Roman" w:hAnsi="Times New Roman" w:cs="Times New Roman"/>
                <w:b/>
                <w:bCs/>
                <w:color w:val="000000"/>
              </w:rPr>
            </w:pPr>
            <w:r>
              <w:rPr>
                <w:rFonts w:ascii="Times New Roman" w:hAnsi="Times New Roman" w:cs="Times New Roman"/>
                <w:b/>
                <w:bCs/>
                <w:color w:val="000000"/>
              </w:rPr>
              <w:t>Proposed complex</w:t>
            </w:r>
          </w:p>
        </w:tc>
        <w:tc>
          <w:tcPr>
            <w:tcW w:w="1276" w:type="dxa"/>
          </w:tcPr>
          <w:p w14:paraId="42F02E79" w14:textId="77777777" w:rsidR="00B544FD" w:rsidRDefault="00B544FD" w:rsidP="000252C4">
            <w:pPr>
              <w:spacing w:before="100" w:beforeAutospacing="1" w:after="100" w:afterAutospacing="1" w:line="240" w:lineRule="auto"/>
              <w:ind w:firstLine="52"/>
              <w:rPr>
                <w:rFonts w:ascii="Times New Roman" w:eastAsia="Times New Roman" w:hAnsi="Times New Roman" w:cs="Times New Roman"/>
                <w:color w:val="000000"/>
                <w:lang w:val="en-US" w:bidi="ar-SA"/>
              </w:rPr>
            </w:pPr>
            <w:r>
              <w:rPr>
                <w:rFonts w:ascii="Times New Roman" w:hAnsi="Times New Roman" w:cs="Times New Roman"/>
                <w:b/>
                <w:bCs/>
                <w:color w:val="000000"/>
              </w:rPr>
              <w:t>Source</w:t>
            </w:r>
          </w:p>
        </w:tc>
      </w:tr>
      <w:tr w:rsidR="00B544FD" w14:paraId="21B0C663" w14:textId="77777777">
        <w:trPr>
          <w:trHeight w:val="2704"/>
        </w:trPr>
        <w:tc>
          <w:tcPr>
            <w:tcW w:w="2443" w:type="dxa"/>
          </w:tcPr>
          <w:p w14:paraId="40FF335E" w14:textId="77777777" w:rsidR="00B544FD" w:rsidRDefault="00B544FD">
            <w:pPr>
              <w:spacing w:before="100" w:beforeAutospacing="1" w:after="100" w:afterAutospacing="1" w:line="240" w:lineRule="auto"/>
              <w:jc w:val="both"/>
              <w:rPr>
                <w:rFonts w:ascii="Times New Roman" w:eastAsia="Times New Roman" w:hAnsi="Times New Roman" w:cs="Times New Roman"/>
                <w:color w:val="000000"/>
                <w:lang w:val="en-US" w:bidi="ar-SA"/>
              </w:rPr>
            </w:pPr>
            <w:r>
              <w:rPr>
                <w:rFonts w:ascii="Times New Roman" w:hAnsi="Times New Roman" w:cs="Times New Roman"/>
                <w:color w:val="000000"/>
              </w:rPr>
              <w:t>0.33 M Na</w:t>
            </w:r>
            <w:r>
              <w:rPr>
                <w:rFonts w:ascii="Times New Roman" w:hAnsi="Times New Roman" w:cs="Times New Roman"/>
                <w:color w:val="000000"/>
                <w:vertAlign w:val="subscript"/>
              </w:rPr>
              <w:t>2</w:t>
            </w:r>
            <w:r>
              <w:rPr>
                <w:rFonts w:ascii="Times New Roman" w:hAnsi="Times New Roman" w:cs="Times New Roman"/>
                <w:color w:val="000000"/>
              </w:rPr>
              <w:t>SO</w:t>
            </w:r>
            <w:r>
              <w:rPr>
                <w:rFonts w:ascii="Times New Roman" w:hAnsi="Times New Roman" w:cs="Times New Roman"/>
                <w:color w:val="000000"/>
                <w:vertAlign w:val="subscript"/>
              </w:rPr>
              <w:t>4</w:t>
            </w:r>
          </w:p>
        </w:tc>
        <w:tc>
          <w:tcPr>
            <w:tcW w:w="1998" w:type="dxa"/>
          </w:tcPr>
          <w:p w14:paraId="19627C3C" w14:textId="77777777" w:rsidR="00B544FD" w:rsidRDefault="00B544FD">
            <w:pPr>
              <w:spacing w:after="0" w:line="360" w:lineRule="auto"/>
              <w:rPr>
                <w:rFonts w:ascii="Times New Roman" w:hAnsi="Times New Roman" w:cs="Times New Roman"/>
                <w:color w:val="000000"/>
                <w:vertAlign w:val="subscript"/>
                <w:lang w:val="fr-FR" w:bidi="ar-SA"/>
              </w:rPr>
            </w:pPr>
            <w:r>
              <w:rPr>
                <w:rFonts w:ascii="Times New Roman" w:hAnsi="Times New Roman" w:cs="Times New Roman"/>
                <w:color w:val="000000"/>
                <w:lang w:val="fr-FR"/>
              </w:rPr>
              <w:t>1-octanol</w:t>
            </w:r>
          </w:p>
          <w:p w14:paraId="7244D087" w14:textId="77777777" w:rsidR="00B544FD" w:rsidRDefault="00B544FD">
            <w:pPr>
              <w:spacing w:after="0" w:line="360" w:lineRule="auto"/>
              <w:rPr>
                <w:rFonts w:ascii="Times New Roman" w:hAnsi="Times New Roman" w:cs="Times New Roman"/>
                <w:color w:val="000000"/>
                <w:vertAlign w:val="subscript"/>
                <w:lang w:val="fr-FR"/>
              </w:rPr>
            </w:pPr>
            <w:r>
              <w:rPr>
                <w:rFonts w:ascii="Times New Roman" w:hAnsi="Times New Roman" w:cs="Times New Roman"/>
                <w:color w:val="000000"/>
                <w:lang w:val="fr-FR"/>
              </w:rPr>
              <w:t>Cyclohexane</w:t>
            </w:r>
          </w:p>
          <w:p w14:paraId="5500B6DD" w14:textId="77777777" w:rsidR="00B544FD" w:rsidRDefault="00B544FD">
            <w:pPr>
              <w:autoSpaceDE w:val="0"/>
              <w:autoSpaceDN w:val="0"/>
              <w:adjustRightInd w:val="0"/>
              <w:spacing w:after="0" w:line="360" w:lineRule="auto"/>
              <w:rPr>
                <w:rFonts w:ascii="Times New Roman" w:hAnsi="Times New Roman" w:cs="Times New Roman"/>
                <w:color w:val="000000"/>
              </w:rPr>
            </w:pPr>
            <w:r>
              <w:rPr>
                <w:rFonts w:ascii="Times New Roman" w:eastAsia="Times New Roman" w:hAnsi="Times New Roman" w:cs="Times New Roman"/>
                <w:color w:val="000000"/>
                <w:lang w:val="en-US" w:bidi="ar-SA"/>
              </w:rPr>
              <w:t xml:space="preserve">methyl isobutyl alkane carbon tetrachloride </w:t>
            </w:r>
            <w:r>
              <w:rPr>
                <w:rFonts w:ascii="Times New Roman" w:hAnsi="Times New Roman" w:cs="Times New Roman"/>
                <w:color w:val="000000"/>
              </w:rPr>
              <w:t>dichloromethane</w:t>
            </w:r>
          </w:p>
          <w:p w14:paraId="177424D0" w14:textId="77777777" w:rsidR="00B544FD" w:rsidRDefault="00B544FD">
            <w:pPr>
              <w:autoSpaceDE w:val="0"/>
              <w:autoSpaceDN w:val="0"/>
              <w:adjustRightInd w:val="0"/>
              <w:spacing w:after="0" w:line="360" w:lineRule="auto"/>
              <w:rPr>
                <w:rFonts w:ascii="Times New Roman" w:hAnsi="Times New Roman" w:cs="Times New Roman"/>
                <w:color w:val="000000"/>
              </w:rPr>
            </w:pPr>
            <w:r>
              <w:rPr>
                <w:rFonts w:ascii="Times New Roman" w:hAnsi="Times New Roman" w:cs="Times New Roman"/>
                <w:color w:val="000000"/>
              </w:rPr>
              <w:t xml:space="preserve">toluene </w:t>
            </w:r>
          </w:p>
          <w:p w14:paraId="5DB501F3" w14:textId="77777777" w:rsidR="00B544FD" w:rsidRDefault="00B544FD">
            <w:pPr>
              <w:autoSpaceDE w:val="0"/>
              <w:autoSpaceDN w:val="0"/>
              <w:adjustRightInd w:val="0"/>
              <w:spacing w:after="0" w:line="360" w:lineRule="auto"/>
              <w:rPr>
                <w:rFonts w:ascii="Times New Roman" w:hAnsi="Times New Roman" w:cs="Times New Roman"/>
                <w:color w:val="000000"/>
              </w:rPr>
            </w:pPr>
            <w:r>
              <w:rPr>
                <w:rFonts w:ascii="Times New Roman" w:hAnsi="Times New Roman" w:cs="Times New Roman"/>
                <w:color w:val="000000"/>
              </w:rPr>
              <w:t>chloroform</w:t>
            </w:r>
          </w:p>
        </w:tc>
        <w:tc>
          <w:tcPr>
            <w:tcW w:w="1582" w:type="dxa"/>
          </w:tcPr>
          <w:p w14:paraId="04189E93" w14:textId="77777777" w:rsidR="00B544FD" w:rsidRDefault="00B544FD">
            <w:pPr>
              <w:spacing w:after="0" w:line="360" w:lineRule="auto"/>
              <w:ind w:firstLine="720"/>
              <w:jc w:val="both"/>
              <w:rPr>
                <w:rFonts w:ascii="Times New Roman" w:hAnsi="Times New Roman" w:cs="Times New Roman"/>
                <w:color w:val="000000"/>
              </w:rPr>
            </w:pPr>
            <w:r>
              <w:rPr>
                <w:rFonts w:ascii="Times New Roman" w:hAnsi="Times New Roman" w:cs="Times New Roman"/>
                <w:color w:val="000000"/>
              </w:rPr>
              <w:t>4,93</w:t>
            </w:r>
          </w:p>
          <w:p w14:paraId="3F8811F8" w14:textId="77777777" w:rsidR="00B544FD" w:rsidRDefault="00B544FD">
            <w:pPr>
              <w:spacing w:after="0" w:line="360" w:lineRule="auto"/>
              <w:ind w:firstLine="720"/>
              <w:jc w:val="both"/>
              <w:rPr>
                <w:rFonts w:ascii="Times New Roman" w:hAnsi="Times New Roman" w:cs="Times New Roman"/>
                <w:color w:val="000000"/>
              </w:rPr>
            </w:pPr>
            <w:r>
              <w:rPr>
                <w:rFonts w:ascii="Times New Roman" w:hAnsi="Times New Roman" w:cs="Times New Roman"/>
                <w:color w:val="000000"/>
              </w:rPr>
              <w:t>-6,85</w:t>
            </w:r>
          </w:p>
          <w:p w14:paraId="62262325" w14:textId="77777777" w:rsidR="00B544FD" w:rsidRDefault="00B544FD">
            <w:pPr>
              <w:spacing w:after="0" w:line="360" w:lineRule="auto"/>
              <w:ind w:firstLine="720"/>
              <w:jc w:val="both"/>
              <w:rPr>
                <w:rFonts w:ascii="Times New Roman" w:hAnsi="Times New Roman" w:cs="Times New Roman"/>
                <w:color w:val="000000"/>
              </w:rPr>
            </w:pPr>
            <w:r>
              <w:rPr>
                <w:rFonts w:ascii="Times New Roman" w:hAnsi="Times New Roman" w:cs="Times New Roman"/>
                <w:color w:val="000000"/>
              </w:rPr>
              <w:t>-6,88</w:t>
            </w:r>
          </w:p>
          <w:p w14:paraId="6C1F2A4A" w14:textId="77777777" w:rsidR="00B544FD" w:rsidRDefault="00B544FD">
            <w:pPr>
              <w:spacing w:after="0" w:line="360" w:lineRule="auto"/>
              <w:ind w:firstLine="720"/>
              <w:jc w:val="both"/>
              <w:rPr>
                <w:rFonts w:ascii="Times New Roman" w:hAnsi="Times New Roman" w:cs="Times New Roman"/>
                <w:color w:val="000000"/>
              </w:rPr>
            </w:pPr>
            <w:r>
              <w:rPr>
                <w:rFonts w:ascii="Times New Roman" w:hAnsi="Times New Roman" w:cs="Times New Roman"/>
                <w:color w:val="000000"/>
              </w:rPr>
              <w:t>-7,12</w:t>
            </w:r>
          </w:p>
          <w:p w14:paraId="02A64FA6" w14:textId="77777777" w:rsidR="00B544FD" w:rsidRDefault="00B544FD">
            <w:pPr>
              <w:spacing w:after="0" w:line="360" w:lineRule="auto"/>
              <w:ind w:firstLine="720"/>
              <w:jc w:val="both"/>
              <w:rPr>
                <w:rFonts w:ascii="Times New Roman" w:hAnsi="Times New Roman" w:cs="Times New Roman"/>
                <w:color w:val="000000"/>
              </w:rPr>
            </w:pPr>
            <w:r>
              <w:rPr>
                <w:rFonts w:ascii="Times New Roman" w:hAnsi="Times New Roman" w:cs="Times New Roman"/>
                <w:color w:val="000000"/>
              </w:rPr>
              <w:t>-7,42</w:t>
            </w:r>
          </w:p>
          <w:p w14:paraId="414A4309" w14:textId="77777777" w:rsidR="00B544FD" w:rsidRDefault="00B544FD">
            <w:pPr>
              <w:spacing w:after="0" w:line="360" w:lineRule="auto"/>
              <w:ind w:firstLine="720"/>
              <w:jc w:val="both"/>
              <w:rPr>
                <w:rFonts w:ascii="Times New Roman" w:hAnsi="Times New Roman" w:cs="Times New Roman"/>
                <w:color w:val="000000"/>
              </w:rPr>
            </w:pPr>
            <w:r>
              <w:rPr>
                <w:rFonts w:ascii="Times New Roman" w:hAnsi="Times New Roman" w:cs="Times New Roman"/>
                <w:color w:val="000000"/>
              </w:rPr>
              <w:t>-7,98</w:t>
            </w:r>
          </w:p>
          <w:p w14:paraId="58FA7ECC" w14:textId="77777777" w:rsidR="00B544FD" w:rsidRDefault="00B544FD">
            <w:pPr>
              <w:spacing w:after="0" w:line="360" w:lineRule="auto"/>
              <w:ind w:firstLine="720"/>
              <w:jc w:val="both"/>
              <w:rPr>
                <w:rFonts w:ascii="Times New Roman" w:hAnsi="Times New Roman" w:cs="Times New Roman"/>
                <w:color w:val="000000"/>
              </w:rPr>
            </w:pPr>
            <w:r>
              <w:rPr>
                <w:rFonts w:ascii="Times New Roman" w:hAnsi="Times New Roman" w:cs="Times New Roman"/>
                <w:color w:val="000000"/>
              </w:rPr>
              <w:t>-7,80</w:t>
            </w:r>
          </w:p>
        </w:tc>
        <w:tc>
          <w:tcPr>
            <w:tcW w:w="1456" w:type="dxa"/>
          </w:tcPr>
          <w:p w14:paraId="1CDF3061" w14:textId="77777777" w:rsidR="00B544FD" w:rsidRDefault="00B544FD">
            <w:pPr>
              <w:spacing w:line="240" w:lineRule="auto"/>
              <w:jc w:val="both"/>
              <w:rPr>
                <w:rFonts w:ascii="Times New Roman" w:hAnsi="Times New Roman" w:cs="Times New Roman"/>
                <w:color w:val="000000"/>
                <w:lang w:val="fr-FR"/>
              </w:rPr>
            </w:pPr>
            <w:r>
              <w:rPr>
                <w:rFonts w:ascii="Times New Roman" w:hAnsi="Times New Roman" w:cs="Times New Roman"/>
                <w:color w:val="000000"/>
                <w:lang w:val="fr-FR"/>
              </w:rPr>
              <w:t>NiL</w:t>
            </w:r>
            <w:r>
              <w:rPr>
                <w:rFonts w:ascii="Times New Roman" w:hAnsi="Times New Roman" w:cs="Times New Roman"/>
                <w:color w:val="000000"/>
                <w:vertAlign w:val="subscript"/>
                <w:lang w:val="fr-FR"/>
              </w:rPr>
              <w:t>2</w:t>
            </w:r>
          </w:p>
          <w:p w14:paraId="394FABAA" w14:textId="77777777" w:rsidR="00B544FD" w:rsidRDefault="00B544FD">
            <w:pPr>
              <w:spacing w:line="240" w:lineRule="auto"/>
              <w:jc w:val="both"/>
              <w:rPr>
                <w:rFonts w:ascii="Times New Roman" w:hAnsi="Times New Roman" w:cs="Times New Roman"/>
                <w:color w:val="000000"/>
                <w:lang w:val="fr-FR"/>
              </w:rPr>
            </w:pPr>
            <w:r>
              <w:rPr>
                <w:rFonts w:ascii="Times New Roman" w:hAnsi="Times New Roman" w:cs="Times New Roman"/>
                <w:color w:val="000000"/>
                <w:lang w:val="fr-FR"/>
              </w:rPr>
              <w:t>NiL</w:t>
            </w:r>
            <w:r>
              <w:rPr>
                <w:rFonts w:ascii="Times New Roman" w:hAnsi="Times New Roman" w:cs="Times New Roman"/>
                <w:color w:val="000000"/>
                <w:vertAlign w:val="subscript"/>
                <w:lang w:val="fr-FR"/>
              </w:rPr>
              <w:t>2</w:t>
            </w:r>
            <w:r>
              <w:rPr>
                <w:rFonts w:ascii="Times New Roman" w:hAnsi="Times New Roman" w:cs="Times New Roman"/>
                <w:color w:val="000000"/>
                <w:lang w:val="fr-FR"/>
              </w:rPr>
              <w:t>2HL</w:t>
            </w:r>
          </w:p>
          <w:p w14:paraId="40797BF7" w14:textId="77777777" w:rsidR="00B544FD" w:rsidRDefault="00B544FD">
            <w:pPr>
              <w:spacing w:line="240" w:lineRule="auto"/>
              <w:jc w:val="both"/>
              <w:rPr>
                <w:rFonts w:ascii="Times New Roman" w:hAnsi="Times New Roman" w:cs="Times New Roman"/>
                <w:color w:val="000000"/>
                <w:vertAlign w:val="subscript"/>
                <w:lang w:val="fr-FR"/>
              </w:rPr>
            </w:pPr>
            <w:r>
              <w:rPr>
                <w:rFonts w:ascii="Times New Roman" w:hAnsi="Times New Roman" w:cs="Times New Roman"/>
                <w:color w:val="000000"/>
                <w:lang w:val="fr-FR"/>
              </w:rPr>
              <w:t>NiL</w:t>
            </w:r>
            <w:r>
              <w:rPr>
                <w:rFonts w:ascii="Times New Roman" w:hAnsi="Times New Roman" w:cs="Times New Roman"/>
                <w:color w:val="000000"/>
                <w:vertAlign w:val="subscript"/>
                <w:lang w:val="fr-FR"/>
              </w:rPr>
              <w:t>2</w:t>
            </w:r>
          </w:p>
          <w:p w14:paraId="0F957917" w14:textId="77777777" w:rsidR="00B544FD" w:rsidRDefault="00B544FD">
            <w:pPr>
              <w:spacing w:line="240" w:lineRule="auto"/>
              <w:jc w:val="both"/>
              <w:rPr>
                <w:rFonts w:ascii="Times New Roman" w:hAnsi="Times New Roman" w:cs="Times New Roman"/>
                <w:color w:val="000000"/>
                <w:lang w:val="fr-FR"/>
              </w:rPr>
            </w:pPr>
            <w:r>
              <w:rPr>
                <w:rFonts w:ascii="Times New Roman" w:hAnsi="Times New Roman" w:cs="Times New Roman"/>
                <w:color w:val="000000"/>
                <w:lang w:val="fr-FR"/>
              </w:rPr>
              <w:t>NiL</w:t>
            </w:r>
            <w:r>
              <w:rPr>
                <w:rFonts w:ascii="Times New Roman" w:hAnsi="Times New Roman" w:cs="Times New Roman"/>
                <w:color w:val="000000"/>
                <w:vertAlign w:val="subscript"/>
                <w:lang w:val="fr-FR"/>
              </w:rPr>
              <w:t>2</w:t>
            </w:r>
            <w:r>
              <w:rPr>
                <w:rFonts w:ascii="Times New Roman" w:hAnsi="Times New Roman" w:cs="Times New Roman"/>
                <w:color w:val="000000"/>
                <w:lang w:val="fr-FR"/>
              </w:rPr>
              <w:t>2HL</w:t>
            </w:r>
          </w:p>
          <w:p w14:paraId="74533055" w14:textId="77777777" w:rsidR="00B544FD" w:rsidRDefault="00B544FD">
            <w:pPr>
              <w:spacing w:line="240" w:lineRule="auto"/>
              <w:jc w:val="both"/>
              <w:rPr>
                <w:rFonts w:ascii="Times New Roman" w:hAnsi="Times New Roman" w:cs="Times New Roman"/>
                <w:color w:val="000000"/>
                <w:lang w:val="fr-FR"/>
              </w:rPr>
            </w:pPr>
            <w:r>
              <w:rPr>
                <w:rFonts w:ascii="Times New Roman" w:hAnsi="Times New Roman" w:cs="Times New Roman"/>
                <w:color w:val="000000"/>
                <w:lang w:val="fr-FR"/>
              </w:rPr>
              <w:t>NiL</w:t>
            </w:r>
            <w:r>
              <w:rPr>
                <w:rFonts w:ascii="Times New Roman" w:hAnsi="Times New Roman" w:cs="Times New Roman"/>
                <w:color w:val="000000"/>
                <w:vertAlign w:val="subscript"/>
                <w:lang w:val="fr-FR"/>
              </w:rPr>
              <w:t>2</w:t>
            </w:r>
            <w:r>
              <w:rPr>
                <w:rFonts w:ascii="Times New Roman" w:hAnsi="Times New Roman" w:cs="Times New Roman"/>
                <w:color w:val="000000"/>
                <w:lang w:val="fr-FR"/>
              </w:rPr>
              <w:t>2HL</w:t>
            </w:r>
          </w:p>
          <w:p w14:paraId="367229EF" w14:textId="77777777" w:rsidR="00B544FD" w:rsidRDefault="00B544FD">
            <w:pPr>
              <w:spacing w:line="240" w:lineRule="auto"/>
              <w:jc w:val="both"/>
              <w:rPr>
                <w:rFonts w:ascii="Times New Roman" w:hAnsi="Times New Roman" w:cs="Times New Roman"/>
                <w:color w:val="000000"/>
                <w:lang w:val="fr-FR"/>
              </w:rPr>
            </w:pPr>
            <w:r>
              <w:rPr>
                <w:rFonts w:ascii="Times New Roman" w:hAnsi="Times New Roman" w:cs="Times New Roman"/>
                <w:color w:val="000000"/>
                <w:lang w:val="fr-FR"/>
              </w:rPr>
              <w:t>NiL</w:t>
            </w:r>
            <w:r>
              <w:rPr>
                <w:rFonts w:ascii="Times New Roman" w:hAnsi="Times New Roman" w:cs="Times New Roman"/>
                <w:color w:val="000000"/>
                <w:vertAlign w:val="subscript"/>
                <w:lang w:val="fr-FR"/>
              </w:rPr>
              <w:t>2</w:t>
            </w:r>
            <w:r>
              <w:rPr>
                <w:rFonts w:ascii="Times New Roman" w:hAnsi="Times New Roman" w:cs="Times New Roman"/>
                <w:color w:val="000000"/>
                <w:lang w:val="fr-FR"/>
              </w:rPr>
              <w:t>2HL</w:t>
            </w:r>
          </w:p>
          <w:p w14:paraId="54BF95CE" w14:textId="77777777" w:rsidR="00B544FD" w:rsidRDefault="00B544FD">
            <w:pPr>
              <w:spacing w:line="240" w:lineRule="auto"/>
              <w:jc w:val="both"/>
              <w:rPr>
                <w:rFonts w:ascii="Times New Roman" w:hAnsi="Times New Roman" w:cs="Times New Roman"/>
                <w:color w:val="000000"/>
              </w:rPr>
            </w:pPr>
            <w:r>
              <w:rPr>
                <w:rFonts w:ascii="Times New Roman" w:hAnsi="Times New Roman" w:cs="Times New Roman"/>
                <w:color w:val="000000"/>
              </w:rPr>
              <w:t>NiL</w:t>
            </w:r>
            <w:r>
              <w:rPr>
                <w:rFonts w:ascii="Times New Roman" w:hAnsi="Times New Roman" w:cs="Times New Roman"/>
                <w:color w:val="000000"/>
                <w:vertAlign w:val="subscript"/>
              </w:rPr>
              <w:t>2</w:t>
            </w:r>
            <w:r>
              <w:rPr>
                <w:rFonts w:ascii="Times New Roman" w:hAnsi="Times New Roman" w:cs="Times New Roman"/>
                <w:color w:val="000000"/>
              </w:rPr>
              <w:t>2HL</w:t>
            </w:r>
          </w:p>
        </w:tc>
        <w:tc>
          <w:tcPr>
            <w:tcW w:w="1276" w:type="dxa"/>
          </w:tcPr>
          <w:p w14:paraId="54E2F3D3" w14:textId="77777777" w:rsidR="00B544FD" w:rsidRDefault="00B544FD">
            <w:pPr>
              <w:spacing w:before="100" w:beforeAutospacing="1" w:after="100" w:afterAutospacing="1" w:line="240" w:lineRule="auto"/>
              <w:ind w:hanging="8"/>
              <w:jc w:val="both"/>
              <w:rPr>
                <w:rFonts w:ascii="Times New Roman" w:eastAsia="Times New Roman" w:hAnsi="Times New Roman" w:cs="Times New Roman"/>
                <w:color w:val="000000"/>
                <w:lang w:val="en-US" w:bidi="ar-SA"/>
              </w:rPr>
            </w:pPr>
            <w:r>
              <w:rPr>
                <w:rFonts w:ascii="Times New Roman" w:hAnsi="Times New Roman" w:cs="Times New Roman"/>
                <w:color w:val="000000"/>
              </w:rPr>
              <w:t>Our  work</w:t>
            </w:r>
          </w:p>
        </w:tc>
      </w:tr>
      <w:tr w:rsidR="00B544FD" w14:paraId="17483811" w14:textId="77777777">
        <w:trPr>
          <w:trHeight w:val="803"/>
        </w:trPr>
        <w:tc>
          <w:tcPr>
            <w:tcW w:w="2443" w:type="dxa"/>
          </w:tcPr>
          <w:p w14:paraId="15B78A8D" w14:textId="77777777" w:rsidR="00B544FD" w:rsidRDefault="00B544FD">
            <w:pPr>
              <w:autoSpaceDE w:val="0"/>
              <w:autoSpaceDN w:val="0"/>
              <w:adjustRightInd w:val="0"/>
              <w:spacing w:after="0" w:line="240" w:lineRule="auto"/>
              <w:jc w:val="both"/>
              <w:rPr>
                <w:rFonts w:ascii="Times New Roman" w:hAnsi="Times New Roman" w:cs="Times New Roman"/>
                <w:color w:val="000000"/>
              </w:rPr>
            </w:pPr>
          </w:p>
        </w:tc>
        <w:tc>
          <w:tcPr>
            <w:tcW w:w="1998" w:type="dxa"/>
          </w:tcPr>
          <w:p w14:paraId="3D4AFABF" w14:textId="77777777" w:rsidR="00B544FD" w:rsidRDefault="00B544FD">
            <w:pPr>
              <w:spacing w:line="240" w:lineRule="auto"/>
              <w:ind w:left="840" w:hanging="967"/>
              <w:rPr>
                <w:rFonts w:ascii="Times New Roman" w:eastAsia="宋体" w:hAnsi="Times New Roman" w:cs="Times New Roman"/>
                <w:color w:val="000000"/>
                <w:lang w:val="fr-FR" w:eastAsia="zh-CN" w:bidi="ar"/>
              </w:rPr>
            </w:pPr>
            <w:r>
              <w:rPr>
                <w:rFonts w:ascii="Times New Roman" w:eastAsia="宋体" w:hAnsi="Times New Roman" w:cs="Times New Roman"/>
                <w:color w:val="000000"/>
                <w:lang w:val="fr-FR" w:eastAsia="zh-CN" w:bidi="ar"/>
              </w:rPr>
              <w:t xml:space="preserve">Chloroform           </w:t>
            </w:r>
          </w:p>
          <w:p w14:paraId="00823BB8" w14:textId="77777777" w:rsidR="00B544FD" w:rsidRDefault="00B544FD">
            <w:pPr>
              <w:spacing w:line="240" w:lineRule="auto"/>
              <w:ind w:left="840" w:hanging="967"/>
              <w:rPr>
                <w:rFonts w:ascii="Times New Roman" w:hAnsi="Times New Roman" w:cs="Times New Roman"/>
                <w:lang w:val="en-US"/>
              </w:rPr>
            </w:pPr>
            <w:r>
              <w:rPr>
                <w:rFonts w:ascii="Times New Roman" w:eastAsia="宋体" w:hAnsi="Times New Roman" w:cs="Times New Roman"/>
                <w:color w:val="000000"/>
                <w:lang w:val="fr-FR" w:eastAsia="zh-CN" w:bidi="ar"/>
              </w:rPr>
              <w:t>1</w:t>
            </w:r>
            <w:r>
              <w:rPr>
                <w:rFonts w:ascii="Times New Roman" w:eastAsia="宋体" w:hAnsi="Times New Roman" w:cs="Times New Roman"/>
                <w:color w:val="000000"/>
                <w:lang w:val="en-US" w:eastAsia="zh-CN" w:bidi="ar"/>
              </w:rPr>
              <w:t xml:space="preserve">-octanol </w:t>
            </w:r>
          </w:p>
        </w:tc>
        <w:tc>
          <w:tcPr>
            <w:tcW w:w="1582" w:type="dxa"/>
          </w:tcPr>
          <w:p w14:paraId="1F39BC84" w14:textId="77777777" w:rsidR="00B544FD" w:rsidRDefault="00B544FD">
            <w:pPr>
              <w:spacing w:line="240" w:lineRule="auto"/>
              <w:ind w:firstLine="720"/>
              <w:rPr>
                <w:rFonts w:ascii="Times New Roman" w:eastAsia="宋体" w:hAnsi="Times New Roman" w:cs="Times New Roman"/>
                <w:color w:val="000000"/>
                <w:lang w:val="en-US" w:eastAsia="zh-CN" w:bidi="ar"/>
              </w:rPr>
            </w:pPr>
            <w:r>
              <w:rPr>
                <w:rFonts w:ascii="Times New Roman" w:eastAsia="宋体" w:hAnsi="Times New Roman" w:cs="Times New Roman"/>
                <w:color w:val="000000"/>
                <w:lang w:val="en-US" w:eastAsia="zh-CN" w:bidi="ar"/>
              </w:rPr>
              <w:t xml:space="preserve">-7.23 </w:t>
            </w:r>
          </w:p>
          <w:p w14:paraId="0501D00D" w14:textId="77777777" w:rsidR="00B544FD" w:rsidRDefault="00B544FD">
            <w:pPr>
              <w:spacing w:line="240" w:lineRule="auto"/>
              <w:ind w:firstLine="720"/>
              <w:rPr>
                <w:rFonts w:ascii="Times New Roman" w:hAnsi="Times New Roman" w:cs="Times New Roman"/>
                <w:color w:val="000000"/>
                <w:lang w:val="en-US"/>
              </w:rPr>
            </w:pPr>
            <w:r>
              <w:rPr>
                <w:rFonts w:ascii="Times New Roman" w:eastAsia="宋体" w:hAnsi="Times New Roman" w:cs="Times New Roman"/>
                <w:color w:val="000000"/>
                <w:lang w:val="en-US" w:eastAsia="zh-CN" w:bidi="ar"/>
              </w:rPr>
              <w:t>5.22</w:t>
            </w:r>
          </w:p>
        </w:tc>
        <w:tc>
          <w:tcPr>
            <w:tcW w:w="1456" w:type="dxa"/>
          </w:tcPr>
          <w:p w14:paraId="31973543" w14:textId="77777777" w:rsidR="00B544FD" w:rsidRDefault="00B544FD">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NiL</w:t>
            </w:r>
            <w:r>
              <w:rPr>
                <w:rFonts w:ascii="Times New Roman" w:hAnsi="Times New Roman" w:cs="Times New Roman"/>
                <w:color w:val="000000"/>
                <w:vertAlign w:val="subscript"/>
              </w:rPr>
              <w:t>2</w:t>
            </w:r>
            <w:r>
              <w:rPr>
                <w:rFonts w:ascii="Times New Roman" w:hAnsi="Times New Roman" w:cs="Times New Roman"/>
                <w:color w:val="000000"/>
              </w:rPr>
              <w:t>2HL</w:t>
            </w:r>
          </w:p>
          <w:p w14:paraId="10E325D2" w14:textId="77777777" w:rsidR="00B544FD" w:rsidRDefault="00B544FD">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NiL</w:t>
            </w:r>
            <w:r>
              <w:rPr>
                <w:rFonts w:ascii="Times New Roman" w:hAnsi="Times New Roman" w:cs="Times New Roman"/>
                <w:color w:val="000000"/>
                <w:vertAlign w:val="subscript"/>
              </w:rPr>
              <w:t>2</w:t>
            </w:r>
          </w:p>
        </w:tc>
        <w:tc>
          <w:tcPr>
            <w:tcW w:w="1276" w:type="dxa"/>
          </w:tcPr>
          <w:p w14:paraId="752E9648" w14:textId="77777777" w:rsidR="00B544FD" w:rsidRDefault="00B544FD">
            <w:pPr>
              <w:autoSpaceDE w:val="0"/>
              <w:autoSpaceDN w:val="0"/>
              <w:adjustRightInd w:val="0"/>
              <w:spacing w:after="0" w:line="240" w:lineRule="auto"/>
              <w:jc w:val="both"/>
              <w:rPr>
                <w:rFonts w:ascii="Times New Roman" w:hAnsi="Times New Roman" w:cs="Times New Roman"/>
                <w:color w:val="000000"/>
                <w:lang w:val="fr-FR"/>
              </w:rPr>
            </w:pPr>
            <w:r>
              <w:rPr>
                <w:rFonts w:ascii="Times New Roman" w:hAnsi="Times New Roman" w:cs="Times New Roman"/>
                <w:color w:val="000000"/>
                <w:lang w:val="fr-FR"/>
              </w:rPr>
              <w:fldChar w:fldCharType="begin" w:fldLock="1"/>
            </w:r>
            <w:r>
              <w:rPr>
                <w:rFonts w:ascii="Times New Roman" w:hAnsi="Times New Roman" w:cs="Times New Roman"/>
                <w:color w:val="000000"/>
                <w:lang w:val="fr-FR"/>
              </w:rPr>
              <w:instrText>ADDIN CSL_CITATION {"citationItems":[{"id":"ITEM-1","itemData":{"ISSN":"0098-6445","author":[{"dropping-particle":"","family":"Louichaoui","given":"Tassadit","non-dropping-particle":"","parse-names":false,"suffix":""},{"dropping-particle":"","family":"Barkat","given":"Djamel","non-dropping-particle":"","parse-names":false,"suffix":""},{"dropping-particle":"","family":"Ghebghoub","given":"Fatima","non-dropping-particle":"","parse-names":false,"suffix":""}],"container-title":"Chemical Engineering Communications","id":"ITEM-1","issue":"6","issued":{"date-parts":[["2024"]]},"page":"952-959","publisher":"Taylor &amp; Francis","title":"Synergistic extraction of cobalt (II) and nickel (II) with a mixture of D2EHPA and 1-octanol","type":"article-journal","volume":"211"},"uris":["http://www.mendeley.com/documents/?uuid=4256d452-66dc-4a4d-82ec-be609b0b222b"]}],"mendeley":{"formattedCitation":"(Louichaoui et al., 2024)","plainTextFormattedCitation":"(Louichaoui et al., 2024)","previouslyFormattedCitation":"(Louichaoui et al., 2024)"},"properties":{"noteIndex":0},"schema":"https://github.com/citation-style-language/schema/raw/master/csl-citation.json"}</w:instrText>
            </w:r>
            <w:r>
              <w:rPr>
                <w:rFonts w:ascii="Times New Roman" w:hAnsi="Times New Roman" w:cs="Times New Roman"/>
                <w:color w:val="000000"/>
                <w:lang w:val="fr-FR"/>
              </w:rPr>
              <w:fldChar w:fldCharType="separate"/>
            </w:r>
            <w:r>
              <w:rPr>
                <w:rFonts w:ascii="Times New Roman" w:hAnsi="Times New Roman" w:cs="Times New Roman"/>
                <w:color w:val="000000"/>
                <w:lang w:val="fr-FR"/>
              </w:rPr>
              <w:t>(Louichaoui et al., 2024)</w:t>
            </w:r>
            <w:r>
              <w:rPr>
                <w:rFonts w:ascii="Times New Roman" w:hAnsi="Times New Roman" w:cs="Times New Roman"/>
                <w:color w:val="000000"/>
                <w:lang w:val="fr-FR"/>
              </w:rPr>
              <w:fldChar w:fldCharType="end"/>
            </w:r>
          </w:p>
        </w:tc>
      </w:tr>
      <w:tr w:rsidR="00B544FD" w14:paraId="268AB917" w14:textId="77777777">
        <w:trPr>
          <w:trHeight w:val="772"/>
        </w:trPr>
        <w:tc>
          <w:tcPr>
            <w:tcW w:w="2443" w:type="dxa"/>
          </w:tcPr>
          <w:p w14:paraId="489B8F42" w14:textId="77777777" w:rsidR="00B544FD" w:rsidRDefault="00B544FD">
            <w:pPr>
              <w:autoSpaceDE w:val="0"/>
              <w:autoSpaceDN w:val="0"/>
              <w:adjustRightInd w:val="0"/>
              <w:spacing w:after="0" w:line="240" w:lineRule="auto"/>
              <w:jc w:val="both"/>
              <w:rPr>
                <w:rFonts w:ascii="Times New Roman" w:hAnsi="Times New Roman" w:cs="Times New Roman"/>
                <w:color w:val="000000"/>
                <w:lang w:val="fr-FR"/>
              </w:rPr>
            </w:pPr>
            <w:r>
              <w:rPr>
                <w:rFonts w:ascii="Times New Roman" w:hAnsi="Times New Roman" w:cs="Times New Roman"/>
                <w:color w:val="000000"/>
              </w:rPr>
              <w:t>0.5M (Na, H) NO</w:t>
            </w:r>
            <w:r>
              <w:rPr>
                <w:rFonts w:ascii="Times New Roman" w:hAnsi="Times New Roman" w:cs="Times New Roman"/>
                <w:color w:val="000000"/>
                <w:vertAlign w:val="subscript"/>
              </w:rPr>
              <w:t>3</w:t>
            </w:r>
          </w:p>
        </w:tc>
        <w:tc>
          <w:tcPr>
            <w:tcW w:w="1998" w:type="dxa"/>
          </w:tcPr>
          <w:p w14:paraId="12D3C1D4" w14:textId="77777777" w:rsidR="00B544FD" w:rsidRDefault="00B544FD">
            <w:pPr>
              <w:spacing w:after="0" w:line="240" w:lineRule="auto"/>
              <w:jc w:val="both"/>
              <w:rPr>
                <w:rFonts w:ascii="Times New Roman" w:hAnsi="Times New Roman" w:cs="Times New Roman"/>
                <w:color w:val="000000"/>
                <w:lang w:val="fr-FR"/>
              </w:rPr>
            </w:pPr>
            <w:r>
              <w:rPr>
                <w:rFonts w:ascii="Times New Roman" w:hAnsi="Times New Roman" w:cs="Times New Roman"/>
                <w:color w:val="000000"/>
              </w:rPr>
              <w:t>Toluene</w:t>
            </w:r>
          </w:p>
        </w:tc>
        <w:tc>
          <w:tcPr>
            <w:tcW w:w="1582" w:type="dxa"/>
          </w:tcPr>
          <w:p w14:paraId="60BF963D" w14:textId="77777777" w:rsidR="00B544FD" w:rsidRDefault="00B544FD">
            <w:pPr>
              <w:spacing w:after="0" w:line="240" w:lineRule="auto"/>
              <w:ind w:firstLine="720"/>
              <w:jc w:val="both"/>
              <w:rPr>
                <w:rFonts w:ascii="Times New Roman" w:hAnsi="Times New Roman" w:cs="Times New Roman"/>
                <w:color w:val="000000"/>
              </w:rPr>
            </w:pPr>
            <w:r>
              <w:rPr>
                <w:rFonts w:ascii="Times New Roman" w:hAnsi="Times New Roman" w:cs="Times New Roman"/>
                <w:color w:val="000000"/>
                <w:lang w:val="en-US"/>
              </w:rPr>
              <w:t>-8,82</w:t>
            </w:r>
          </w:p>
        </w:tc>
        <w:tc>
          <w:tcPr>
            <w:tcW w:w="1456" w:type="dxa"/>
          </w:tcPr>
          <w:p w14:paraId="30F39327" w14:textId="77777777" w:rsidR="00B544FD" w:rsidRDefault="00B544FD">
            <w:pPr>
              <w:autoSpaceDE w:val="0"/>
              <w:autoSpaceDN w:val="0"/>
              <w:adjustRightInd w:val="0"/>
              <w:spacing w:after="0" w:line="240" w:lineRule="auto"/>
              <w:jc w:val="both"/>
              <w:rPr>
                <w:rFonts w:ascii="Times New Roman" w:hAnsi="Times New Roman" w:cs="Times New Roman"/>
                <w:color w:val="000000"/>
                <w:lang w:val="fr-FR"/>
              </w:rPr>
            </w:pPr>
            <w:r>
              <w:rPr>
                <w:rFonts w:ascii="Times New Roman" w:hAnsi="Times New Roman" w:cs="Times New Roman"/>
                <w:color w:val="000000"/>
              </w:rPr>
              <w:t>NiL</w:t>
            </w:r>
            <w:r>
              <w:rPr>
                <w:rFonts w:ascii="Times New Roman" w:hAnsi="Times New Roman" w:cs="Times New Roman"/>
                <w:color w:val="000000"/>
                <w:vertAlign w:val="subscript"/>
              </w:rPr>
              <w:t>2</w:t>
            </w:r>
            <w:r>
              <w:rPr>
                <w:rFonts w:ascii="Times New Roman" w:hAnsi="Times New Roman" w:cs="Times New Roman"/>
                <w:color w:val="000000"/>
              </w:rPr>
              <w:t>2(HL)</w:t>
            </w:r>
            <w:r>
              <w:rPr>
                <w:rFonts w:ascii="Times New Roman" w:hAnsi="Times New Roman" w:cs="Times New Roman"/>
                <w:color w:val="000000"/>
                <w:vertAlign w:val="subscript"/>
              </w:rPr>
              <w:t>2</w:t>
            </w:r>
          </w:p>
        </w:tc>
        <w:tc>
          <w:tcPr>
            <w:tcW w:w="1276" w:type="dxa"/>
          </w:tcPr>
          <w:p w14:paraId="0B6115B7" w14:textId="77777777" w:rsidR="00B544FD" w:rsidRDefault="00B544FD">
            <w:pPr>
              <w:autoSpaceDE w:val="0"/>
              <w:autoSpaceDN w:val="0"/>
              <w:adjustRightInd w:val="0"/>
              <w:spacing w:after="0" w:line="240" w:lineRule="auto"/>
              <w:jc w:val="both"/>
              <w:rPr>
                <w:rFonts w:ascii="Times New Roman" w:hAnsi="Times New Roman" w:cs="Times New Roman"/>
                <w:color w:val="000000"/>
                <w:lang w:val="fr-FR"/>
              </w:rPr>
            </w:pPr>
            <w:r>
              <w:rPr>
                <w:rFonts w:ascii="Times New Roman" w:hAnsi="Times New Roman" w:cs="Times New Roman"/>
                <w:color w:val="000000"/>
                <w:lang w:val="fr-FR"/>
              </w:rPr>
              <w:fldChar w:fldCharType="begin" w:fldLock="1"/>
            </w:r>
            <w:r>
              <w:rPr>
                <w:rFonts w:ascii="Times New Roman" w:hAnsi="Times New Roman" w:cs="Times New Roman"/>
                <w:color w:val="000000"/>
                <w:lang w:val="fr-FR"/>
              </w:rPr>
              <w:instrText>ADDIN CSL_CITATION {"citationItems":[{"id":"ITEM-1","itemData":{"ISSN":"0888-5885","author":[{"dropping-particle":"","family":"Juang","given":"Ruey Shin","non-dropping-particle":"","parse-names":false,"suffix":""},{"dropping-particle":"","family":"Chang","given":"Yaw Tsong","non-dropping-particle":"","parse-names":false,"suffix":""}],"container-title":"Industrial &amp; engineering chemistry research","id":"ITEM-1","issue":"1","issued":{"date-parts":[["1993"]]},"page":"207-213","publisher":"ACS Publications","title":"Kinetics and mechanism for copper (II) extraction from sulfate solutions with bis (2-ethylhexyl) phosphoric acid","type":"article-journal","volume":"32"},"uris":["http://www.mendeley.com/documents/?uuid=79cc1e86-7017-4432-a85c-6600dd3e2ea1"]}],"mendeley":{"formattedCitation":"(Juang and Chang, 1993)","plainTextFormattedCitation":"(Juang and Chang, 1993)","previouslyFormattedCitation":"(Juang and Chang, 1993)"},"properties":{"noteIndex":0},"schema":"https://github.com/citation-style-language/schema/raw/master/csl-citation.json"}</w:instrText>
            </w:r>
            <w:r>
              <w:rPr>
                <w:rFonts w:ascii="Times New Roman" w:hAnsi="Times New Roman" w:cs="Times New Roman"/>
                <w:color w:val="000000"/>
                <w:lang w:val="fr-FR"/>
              </w:rPr>
              <w:fldChar w:fldCharType="separate"/>
            </w:r>
            <w:r>
              <w:rPr>
                <w:rFonts w:ascii="Times New Roman" w:hAnsi="Times New Roman" w:cs="Times New Roman"/>
                <w:color w:val="000000"/>
                <w:lang w:val="fr-FR"/>
              </w:rPr>
              <w:t>(Juang and Chang, 1993)</w:t>
            </w:r>
            <w:r>
              <w:rPr>
                <w:rFonts w:ascii="Times New Roman" w:hAnsi="Times New Roman" w:cs="Times New Roman"/>
                <w:color w:val="000000"/>
                <w:lang w:val="fr-FR"/>
              </w:rPr>
              <w:fldChar w:fldCharType="end"/>
            </w:r>
          </w:p>
        </w:tc>
      </w:tr>
      <w:tr w:rsidR="00B544FD" w14:paraId="002F95BD" w14:textId="77777777">
        <w:trPr>
          <w:trHeight w:val="515"/>
        </w:trPr>
        <w:tc>
          <w:tcPr>
            <w:tcW w:w="2443" w:type="dxa"/>
          </w:tcPr>
          <w:p w14:paraId="32EB7642" w14:textId="77777777" w:rsidR="00B544FD" w:rsidRDefault="00B544FD">
            <w:pPr>
              <w:autoSpaceDE w:val="0"/>
              <w:autoSpaceDN w:val="0"/>
              <w:adjustRightInd w:val="0"/>
              <w:spacing w:after="0" w:line="240" w:lineRule="auto"/>
              <w:jc w:val="both"/>
              <w:rPr>
                <w:rFonts w:ascii="Times New Roman" w:hAnsi="Times New Roman" w:cs="Times New Roman"/>
                <w:lang w:val="en-US"/>
              </w:rPr>
            </w:pPr>
            <w:r>
              <w:rPr>
                <w:rFonts w:ascii="Times New Roman" w:hAnsi="Times New Roman" w:cs="Times New Roman"/>
                <w:lang w:val="en-US"/>
              </w:rPr>
              <w:t>0,5mol/dm</w:t>
            </w:r>
            <w:r>
              <w:rPr>
                <w:rFonts w:ascii="Times New Roman" w:hAnsi="Times New Roman" w:cs="Times New Roman"/>
                <w:vertAlign w:val="superscript"/>
                <w:lang w:val="en-US"/>
              </w:rPr>
              <w:t>3</w:t>
            </w:r>
            <w:r>
              <w:rPr>
                <w:rFonts w:ascii="Times New Roman" w:hAnsi="Times New Roman" w:cs="Times New Roman"/>
                <w:lang w:val="en-US"/>
              </w:rPr>
              <w:t>(Na,H)NO</w:t>
            </w:r>
            <w:r>
              <w:rPr>
                <w:rFonts w:ascii="Times New Roman" w:hAnsi="Times New Roman" w:cs="Times New Roman"/>
                <w:vertAlign w:val="subscript"/>
                <w:lang w:val="en-US"/>
              </w:rPr>
              <w:t>3</w:t>
            </w:r>
          </w:p>
        </w:tc>
        <w:tc>
          <w:tcPr>
            <w:tcW w:w="1998" w:type="dxa"/>
          </w:tcPr>
          <w:p w14:paraId="0E247FB9" w14:textId="77777777" w:rsidR="00B544FD" w:rsidRDefault="00B544FD">
            <w:pPr>
              <w:spacing w:after="0" w:line="240" w:lineRule="auto"/>
              <w:jc w:val="both"/>
              <w:rPr>
                <w:rFonts w:ascii="Times New Roman" w:hAnsi="Times New Roman" w:cs="Times New Roman"/>
                <w:color w:val="000000"/>
                <w:lang w:val="en-US"/>
              </w:rPr>
            </w:pPr>
            <w:r>
              <w:rPr>
                <w:rFonts w:ascii="Times New Roman" w:hAnsi="Times New Roman" w:cs="Times New Roman"/>
                <w:color w:val="000000"/>
                <w:lang w:val="en-US"/>
              </w:rPr>
              <w:t>Toluene or benzene</w:t>
            </w:r>
          </w:p>
          <w:p w14:paraId="29448319" w14:textId="77777777" w:rsidR="00B544FD" w:rsidRDefault="00B544FD">
            <w:pPr>
              <w:spacing w:after="0" w:line="240" w:lineRule="auto"/>
              <w:jc w:val="both"/>
              <w:rPr>
                <w:rFonts w:ascii="Times New Roman" w:hAnsi="Times New Roman" w:cs="Times New Roman"/>
                <w:color w:val="000000"/>
                <w:lang w:val="en-US"/>
              </w:rPr>
            </w:pPr>
            <w:r>
              <w:rPr>
                <w:rFonts w:ascii="Times New Roman" w:hAnsi="Times New Roman" w:cs="Times New Roman"/>
                <w:color w:val="000000"/>
                <w:lang w:val="en-US"/>
              </w:rPr>
              <w:t>n-Heptane</w:t>
            </w:r>
          </w:p>
        </w:tc>
        <w:tc>
          <w:tcPr>
            <w:tcW w:w="1582" w:type="dxa"/>
          </w:tcPr>
          <w:p w14:paraId="446613F9" w14:textId="77777777" w:rsidR="00B544FD" w:rsidRDefault="00B544FD">
            <w:pPr>
              <w:spacing w:after="0" w:line="240" w:lineRule="auto"/>
              <w:ind w:firstLine="720"/>
              <w:jc w:val="both"/>
              <w:rPr>
                <w:rFonts w:ascii="Times New Roman" w:hAnsi="Times New Roman" w:cs="Times New Roman"/>
                <w:color w:val="000000"/>
                <w:lang w:val="fr-FR"/>
              </w:rPr>
            </w:pPr>
            <w:r>
              <w:rPr>
                <w:rFonts w:ascii="Times New Roman" w:hAnsi="Times New Roman" w:cs="Times New Roman"/>
                <w:color w:val="000000"/>
                <w:lang w:val="fr-FR"/>
              </w:rPr>
              <w:t>-5,69</w:t>
            </w:r>
          </w:p>
          <w:p w14:paraId="1B1912A6" w14:textId="77777777" w:rsidR="00B544FD" w:rsidRDefault="00B544FD">
            <w:pPr>
              <w:spacing w:after="0" w:line="240" w:lineRule="auto"/>
              <w:ind w:firstLine="720"/>
              <w:jc w:val="both"/>
              <w:rPr>
                <w:rFonts w:ascii="Times New Roman" w:hAnsi="Times New Roman" w:cs="Times New Roman"/>
                <w:color w:val="000000"/>
                <w:lang w:val="fr-FR"/>
              </w:rPr>
            </w:pPr>
            <w:r>
              <w:rPr>
                <w:rFonts w:ascii="Times New Roman" w:hAnsi="Times New Roman" w:cs="Times New Roman"/>
                <w:color w:val="000000"/>
                <w:lang w:val="fr-FR"/>
              </w:rPr>
              <w:t>-4,34</w:t>
            </w:r>
          </w:p>
        </w:tc>
        <w:tc>
          <w:tcPr>
            <w:tcW w:w="1456" w:type="dxa"/>
          </w:tcPr>
          <w:p w14:paraId="2BED1FF4" w14:textId="77777777" w:rsidR="00B544FD" w:rsidRDefault="00B544FD">
            <w:pPr>
              <w:autoSpaceDE w:val="0"/>
              <w:autoSpaceDN w:val="0"/>
              <w:adjustRightInd w:val="0"/>
              <w:spacing w:after="0" w:line="240" w:lineRule="auto"/>
              <w:jc w:val="both"/>
              <w:rPr>
                <w:rFonts w:ascii="Times New Roman" w:hAnsi="Times New Roman" w:cs="Times New Roman"/>
                <w:color w:val="000000"/>
                <w:lang w:val="fr-FR"/>
              </w:rPr>
            </w:pPr>
            <w:r>
              <w:rPr>
                <w:rFonts w:ascii="Times New Roman" w:hAnsi="Times New Roman" w:cs="Times New Roman"/>
                <w:color w:val="000000"/>
              </w:rPr>
              <w:t>NiL</w:t>
            </w:r>
            <w:r>
              <w:rPr>
                <w:rFonts w:ascii="Times New Roman" w:hAnsi="Times New Roman" w:cs="Times New Roman"/>
                <w:color w:val="000000"/>
                <w:vertAlign w:val="subscript"/>
              </w:rPr>
              <w:t>2</w:t>
            </w:r>
            <w:r>
              <w:rPr>
                <w:rFonts w:ascii="Times New Roman" w:hAnsi="Times New Roman" w:cs="Times New Roman"/>
                <w:color w:val="000000"/>
              </w:rPr>
              <w:t>2(HL)</w:t>
            </w:r>
            <w:r>
              <w:rPr>
                <w:rFonts w:ascii="Times New Roman" w:hAnsi="Times New Roman" w:cs="Times New Roman"/>
                <w:color w:val="000000"/>
                <w:vertAlign w:val="subscript"/>
              </w:rPr>
              <w:t>2</w:t>
            </w:r>
          </w:p>
        </w:tc>
        <w:tc>
          <w:tcPr>
            <w:tcW w:w="1276" w:type="dxa"/>
            <w:vMerge w:val="restart"/>
          </w:tcPr>
          <w:p w14:paraId="42EFAF94" w14:textId="77777777" w:rsidR="00B544FD" w:rsidRDefault="00B544FD">
            <w:pPr>
              <w:autoSpaceDE w:val="0"/>
              <w:autoSpaceDN w:val="0"/>
              <w:adjustRightInd w:val="0"/>
              <w:spacing w:after="0" w:line="240" w:lineRule="auto"/>
              <w:jc w:val="both"/>
              <w:rPr>
                <w:rFonts w:ascii="Times New Roman" w:hAnsi="Times New Roman" w:cs="Times New Roman"/>
                <w:color w:val="000000"/>
                <w:lang w:val="fr-FR"/>
              </w:rPr>
            </w:pPr>
            <w:r>
              <w:rPr>
                <w:rFonts w:ascii="Times New Roman" w:hAnsi="Times New Roman" w:cs="Times New Roman"/>
                <w:color w:val="000000"/>
                <w:lang w:val="fr-FR"/>
              </w:rPr>
              <w:fldChar w:fldCharType="begin" w:fldLock="1"/>
            </w:r>
            <w:r>
              <w:rPr>
                <w:rFonts w:ascii="Times New Roman" w:hAnsi="Times New Roman" w:cs="Times New Roman"/>
                <w:color w:val="000000"/>
                <w:lang w:val="fr-FR"/>
              </w:rPr>
              <w:instrText>ADDIN CSL_CITATION {"citationItems":[{"id":"ITEM-1","itemData":{"ISSN":"0021-9592","author":[{"dropping-particle":"","family":"Komasawa","given":"Isao","non-dropping-particle":"","parse-names":false,"suffix":""},{"dropping-particle":"","family":"Otake","given":"Tsutao","non-dropping-particle":"","parse-names":false,"suffix":""}],"container-title":"JOURNAL OF CHEMICAL ENGINEERING OF JAPAN","id":"ITEM-1","issue":"4","issued":{"date-parts":[["1984"]]},"page":"417-423","publisher":"The Society of Chemical Engineers, Japan","title":"Practical study of a solvent extraction process for separation of cobalt and nickel with 2-ethylhexylphosphonic acid mono-2-ethylhexyl ester","type":"article-journal","volume":"17"},"uris":["http://www.mendeley.com/documents/?uuid=5b9b99d9-e2ec-468b-8cae-e4dcde260514"]}],"mendeley":{"formattedCitation":"(Komasawa and Otake, 1984)","plainTextFormattedCitation":"(Komasawa and Otake, 1984)","previouslyFormattedCitation":"(Komasawa and Otake, 1984)"},"properties":{"noteIndex":0},"schema":"https://github.com/citation-style-language/schema/raw/master/csl-citation.json"}</w:instrText>
            </w:r>
            <w:r>
              <w:rPr>
                <w:rFonts w:ascii="Times New Roman" w:hAnsi="Times New Roman" w:cs="Times New Roman"/>
                <w:color w:val="000000"/>
                <w:lang w:val="fr-FR"/>
              </w:rPr>
              <w:fldChar w:fldCharType="separate"/>
            </w:r>
            <w:r>
              <w:rPr>
                <w:rFonts w:ascii="Times New Roman" w:hAnsi="Times New Roman" w:cs="Times New Roman"/>
                <w:color w:val="000000"/>
                <w:lang w:val="fr-FR"/>
              </w:rPr>
              <w:t>(Komasawa and Otake, 1984)</w:t>
            </w:r>
            <w:r>
              <w:rPr>
                <w:rFonts w:ascii="Times New Roman" w:hAnsi="Times New Roman" w:cs="Times New Roman"/>
                <w:color w:val="000000"/>
                <w:lang w:val="fr-FR"/>
              </w:rPr>
              <w:fldChar w:fldCharType="end"/>
            </w:r>
          </w:p>
        </w:tc>
      </w:tr>
      <w:tr w:rsidR="00B544FD" w14:paraId="00C9993E" w14:textId="77777777">
        <w:trPr>
          <w:trHeight w:val="503"/>
        </w:trPr>
        <w:tc>
          <w:tcPr>
            <w:tcW w:w="2443" w:type="dxa"/>
          </w:tcPr>
          <w:p w14:paraId="3C902663" w14:textId="77777777" w:rsidR="00B544FD" w:rsidRDefault="00B544FD">
            <w:pPr>
              <w:autoSpaceDE w:val="0"/>
              <w:autoSpaceDN w:val="0"/>
              <w:adjustRightInd w:val="0"/>
              <w:spacing w:after="0" w:line="240" w:lineRule="auto"/>
              <w:ind w:firstLine="720"/>
              <w:jc w:val="both"/>
              <w:rPr>
                <w:rFonts w:ascii="Times New Roman" w:hAnsi="Times New Roman" w:cs="Times New Roman"/>
                <w:lang w:val="fr-FR"/>
              </w:rPr>
            </w:pPr>
          </w:p>
        </w:tc>
        <w:tc>
          <w:tcPr>
            <w:tcW w:w="1998" w:type="dxa"/>
          </w:tcPr>
          <w:p w14:paraId="011D7CB0" w14:textId="77777777" w:rsidR="00B544FD" w:rsidRDefault="00B544FD">
            <w:pPr>
              <w:spacing w:after="0" w:line="240" w:lineRule="auto"/>
              <w:ind w:firstLine="15"/>
              <w:jc w:val="both"/>
              <w:rPr>
                <w:rFonts w:ascii="Times New Roman" w:hAnsi="Times New Roman" w:cs="Times New Roman"/>
                <w:color w:val="000000"/>
                <w:lang w:val="fr-FR"/>
              </w:rPr>
            </w:pPr>
            <w:r>
              <w:rPr>
                <w:rFonts w:ascii="Times New Roman" w:hAnsi="Times New Roman" w:cs="Times New Roman"/>
                <w:color w:val="000000"/>
                <w:lang w:val="fr-FR"/>
              </w:rPr>
              <w:t>Toluene</w:t>
            </w:r>
          </w:p>
        </w:tc>
        <w:tc>
          <w:tcPr>
            <w:tcW w:w="1582" w:type="dxa"/>
          </w:tcPr>
          <w:p w14:paraId="634509D5" w14:textId="77777777" w:rsidR="00B544FD" w:rsidRDefault="00B544FD">
            <w:pPr>
              <w:spacing w:after="0" w:line="240" w:lineRule="auto"/>
              <w:ind w:firstLine="720"/>
              <w:jc w:val="both"/>
              <w:rPr>
                <w:rFonts w:ascii="Times New Roman" w:hAnsi="Times New Roman" w:cs="Times New Roman"/>
                <w:color w:val="000000"/>
                <w:lang w:val="fr-FR"/>
              </w:rPr>
            </w:pPr>
            <w:r>
              <w:rPr>
                <w:rFonts w:ascii="Times New Roman" w:hAnsi="Times New Roman" w:cs="Times New Roman"/>
                <w:color w:val="000000"/>
                <w:lang w:val="fr-FR"/>
              </w:rPr>
              <w:t>-8,82</w:t>
            </w:r>
          </w:p>
          <w:p w14:paraId="6A971C6D" w14:textId="77777777" w:rsidR="00B544FD" w:rsidRDefault="00B544FD">
            <w:pPr>
              <w:spacing w:after="0" w:line="240" w:lineRule="auto"/>
              <w:ind w:firstLine="720"/>
              <w:jc w:val="both"/>
              <w:rPr>
                <w:rFonts w:ascii="Times New Roman" w:hAnsi="Times New Roman" w:cs="Times New Roman"/>
                <w:color w:val="000000"/>
                <w:lang w:val="fr-FR"/>
              </w:rPr>
            </w:pPr>
          </w:p>
        </w:tc>
        <w:tc>
          <w:tcPr>
            <w:tcW w:w="1456" w:type="dxa"/>
          </w:tcPr>
          <w:p w14:paraId="422A640E" w14:textId="77777777" w:rsidR="00B544FD" w:rsidRDefault="00B544FD">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NiL</w:t>
            </w:r>
            <w:r>
              <w:rPr>
                <w:rFonts w:ascii="Times New Roman" w:hAnsi="Times New Roman" w:cs="Times New Roman"/>
                <w:color w:val="000000"/>
                <w:vertAlign w:val="subscript"/>
              </w:rPr>
              <w:t>2</w:t>
            </w:r>
            <w:r>
              <w:rPr>
                <w:rFonts w:ascii="Times New Roman" w:hAnsi="Times New Roman" w:cs="Times New Roman"/>
                <w:color w:val="000000"/>
              </w:rPr>
              <w:t>2(HL)</w:t>
            </w:r>
            <w:r>
              <w:rPr>
                <w:rFonts w:ascii="Times New Roman" w:hAnsi="Times New Roman" w:cs="Times New Roman"/>
                <w:color w:val="000000"/>
                <w:vertAlign w:val="subscript"/>
              </w:rPr>
              <w:t>2</w:t>
            </w:r>
          </w:p>
        </w:tc>
        <w:tc>
          <w:tcPr>
            <w:tcW w:w="1276" w:type="dxa"/>
            <w:vMerge/>
          </w:tcPr>
          <w:p w14:paraId="6F4D3A7C" w14:textId="77777777" w:rsidR="00B544FD" w:rsidRDefault="00B544FD">
            <w:pPr>
              <w:autoSpaceDE w:val="0"/>
              <w:autoSpaceDN w:val="0"/>
              <w:adjustRightInd w:val="0"/>
              <w:spacing w:after="0" w:line="240" w:lineRule="auto"/>
              <w:ind w:firstLine="720"/>
              <w:jc w:val="both"/>
              <w:rPr>
                <w:rFonts w:ascii="Times New Roman" w:hAnsi="Times New Roman" w:cs="Times New Roman"/>
                <w:color w:val="000000"/>
                <w:highlight w:val="yellow"/>
                <w:lang w:val="fr-FR"/>
              </w:rPr>
            </w:pPr>
          </w:p>
        </w:tc>
      </w:tr>
    </w:tbl>
    <w:p w14:paraId="51088C1B"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hAnsi="Times New Roman" w:cs="Times New Roman"/>
          <w:color w:val="000000"/>
          <w:sz w:val="24"/>
          <w:szCs w:val="24"/>
          <w:lang w:bidi="ar-SA"/>
        </w:rPr>
        <w:t xml:space="preserve">The differences observed in the Log K_ex values obtained in this work, compared with those reported in previous studies, can be explained by the additional complexity introduced by the </w:t>
      </w:r>
      <w:r w:rsidR="00B5099B">
        <w:rPr>
          <w:rFonts w:ascii="Times New Roman" w:hAnsi="Times New Roman" w:cs="Times New Roman"/>
          <w:color w:val="000000"/>
          <w:sz w:val="24"/>
          <w:szCs w:val="24"/>
          <w:lang w:bidi="ar-SA"/>
        </w:rPr>
        <w:t>Sulfate</w:t>
      </w:r>
      <w:r>
        <w:rPr>
          <w:rFonts w:ascii="Times New Roman" w:hAnsi="Times New Roman" w:cs="Times New Roman"/>
          <w:color w:val="000000"/>
          <w:sz w:val="24"/>
          <w:szCs w:val="24"/>
          <w:lang w:bidi="ar-SA"/>
        </w:rPr>
        <w:t xml:space="preserve"> medium [</w:t>
      </w:r>
      <w:r w:rsidR="000E7D47">
        <w:rPr>
          <w:rFonts w:ascii="Times New Roman" w:hAnsi="Times New Roman" w:cs="Times New Roman"/>
          <w:color w:val="000000"/>
          <w:sz w:val="24"/>
          <w:szCs w:val="24"/>
          <w:lang w:bidi="ar-SA"/>
        </w:rPr>
        <w:t>26</w:t>
      </w:r>
      <w:r>
        <w:rPr>
          <w:rFonts w:ascii="Times New Roman" w:hAnsi="Times New Roman" w:cs="Times New Roman"/>
          <w:color w:val="000000"/>
          <w:sz w:val="24"/>
          <w:szCs w:val="24"/>
          <w:lang w:bidi="ar-SA"/>
        </w:rPr>
        <w:t xml:space="preserve">]. </w:t>
      </w:r>
    </w:p>
    <w:p w14:paraId="4FF3C492" w14:textId="77777777" w:rsidR="00B544FD" w:rsidRDefault="00B544FD">
      <w:pPr>
        <w:ind w:firstLine="720"/>
        <w:jc w:val="both"/>
        <w:rPr>
          <w:rFonts w:ascii="Times New Roman" w:hAnsi="Times New Roman" w:cs="Times New Roman"/>
          <w:color w:val="000000"/>
          <w:sz w:val="24"/>
          <w:szCs w:val="24"/>
          <w:lang w:bidi="ar-SA"/>
        </w:rPr>
      </w:pPr>
      <w:r>
        <w:rPr>
          <w:rFonts w:ascii="Times New Roman" w:eastAsia="Times New Roman" w:hAnsi="Times New Roman" w:cs="Times New Roman"/>
          <w:color w:val="000000"/>
          <w:sz w:val="24"/>
          <w:szCs w:val="24"/>
          <w:lang w:val="en-US" w:bidi="ar-SA"/>
        </w:rPr>
        <w:t xml:space="preserve">In </w:t>
      </w:r>
      <w:r>
        <w:rPr>
          <w:rFonts w:ascii="Times New Roman" w:hAnsi="Times New Roman" w:cs="Times New Roman"/>
          <w:color w:val="000000"/>
          <w:sz w:val="24"/>
          <w:szCs w:val="24"/>
          <w:lang w:bidi="ar-SA"/>
        </w:rPr>
        <w:t>The variations observed in the values of log K</w:t>
      </w:r>
      <w:r>
        <w:rPr>
          <w:rFonts w:ascii="Times New Roman" w:hAnsi="Times New Roman" w:cs="Times New Roman"/>
          <w:color w:val="000000"/>
          <w:sz w:val="24"/>
          <w:szCs w:val="24"/>
          <w:vertAlign w:val="subscript"/>
          <w:lang w:bidi="ar-SA"/>
        </w:rPr>
        <w:t xml:space="preserve">ex​ </w:t>
      </w:r>
      <w:r>
        <w:rPr>
          <w:rFonts w:ascii="Times New Roman" w:hAnsi="Times New Roman" w:cs="Times New Roman"/>
          <w:color w:val="000000"/>
          <w:sz w:val="24"/>
          <w:szCs w:val="24"/>
          <w:lang w:bidi="ar-SA"/>
        </w:rPr>
        <w:t xml:space="preserve">obtained in this study, when compared with those reported previously in the literature, can be attributed to the additional complexity imposed by the </w:t>
      </w:r>
      <w:r w:rsidR="00B5099B">
        <w:rPr>
          <w:rFonts w:ascii="Times New Roman" w:hAnsi="Times New Roman" w:cs="Times New Roman"/>
          <w:color w:val="000000"/>
          <w:sz w:val="24"/>
          <w:szCs w:val="24"/>
          <w:lang w:bidi="ar-SA"/>
        </w:rPr>
        <w:t>Sulfate</w:t>
      </w:r>
      <w:r>
        <w:rPr>
          <w:rFonts w:ascii="Times New Roman" w:hAnsi="Times New Roman" w:cs="Times New Roman"/>
          <w:color w:val="000000"/>
          <w:sz w:val="24"/>
          <w:szCs w:val="24"/>
          <w:lang w:bidi="ar-SA"/>
        </w:rPr>
        <w:t xml:space="preserve"> medium, as also indicated by Gayathiri et al. [2</w:t>
      </w:r>
      <w:r w:rsidR="000E7D47">
        <w:rPr>
          <w:rFonts w:ascii="Times New Roman" w:hAnsi="Times New Roman" w:cs="Times New Roman"/>
          <w:color w:val="000000"/>
          <w:sz w:val="24"/>
          <w:szCs w:val="24"/>
          <w:lang w:bidi="ar-SA"/>
        </w:rPr>
        <w:t>6</w:t>
      </w:r>
      <w:r>
        <w:rPr>
          <w:rFonts w:ascii="Times New Roman" w:hAnsi="Times New Roman" w:cs="Times New Roman"/>
          <w:color w:val="000000"/>
          <w:sz w:val="24"/>
          <w:szCs w:val="24"/>
          <w:lang w:bidi="ar-SA"/>
        </w:rPr>
        <w:t xml:space="preserve">]. The presence of </w:t>
      </w:r>
      <w:r w:rsidR="00B5099B">
        <w:rPr>
          <w:rFonts w:ascii="Times New Roman" w:hAnsi="Times New Roman" w:cs="Times New Roman"/>
          <w:color w:val="000000"/>
          <w:sz w:val="24"/>
          <w:szCs w:val="24"/>
          <w:lang w:bidi="ar-SA"/>
        </w:rPr>
        <w:t>Sulfate</w:t>
      </w:r>
      <w:r>
        <w:rPr>
          <w:rFonts w:ascii="Times New Roman" w:hAnsi="Times New Roman" w:cs="Times New Roman"/>
          <w:color w:val="000000"/>
          <w:sz w:val="24"/>
          <w:szCs w:val="24"/>
          <w:lang w:bidi="ar-SA"/>
        </w:rPr>
        <w:t xml:space="preserve"> ions influences both the speciation of nickel in the aqueous phase and the degree of interaction between the metal ion and the extractant, thereby modifying the apparent extraction constant. As a result, the extraction </w:t>
      </w:r>
      <w:r w:rsidR="00126151">
        <w:rPr>
          <w:rFonts w:ascii="Times New Roman" w:hAnsi="Times New Roman" w:cs="Times New Roman"/>
          <w:color w:val="000000"/>
          <w:sz w:val="24"/>
          <w:szCs w:val="24"/>
          <w:lang w:bidi="ar-SA"/>
        </w:rPr>
        <w:t>behaviour</w:t>
      </w:r>
      <w:r>
        <w:rPr>
          <w:rFonts w:ascii="Times New Roman" w:hAnsi="Times New Roman" w:cs="Times New Roman"/>
          <w:color w:val="000000"/>
          <w:sz w:val="24"/>
          <w:szCs w:val="24"/>
          <w:lang w:bidi="ar-SA"/>
        </w:rPr>
        <w:t xml:space="preserve"> in </w:t>
      </w:r>
      <w:r w:rsidR="00B5099B">
        <w:rPr>
          <w:rFonts w:ascii="Times New Roman" w:hAnsi="Times New Roman" w:cs="Times New Roman"/>
          <w:color w:val="000000"/>
          <w:sz w:val="24"/>
          <w:szCs w:val="24"/>
          <w:lang w:bidi="ar-SA"/>
        </w:rPr>
        <w:t>Sulfate</w:t>
      </w:r>
      <w:r>
        <w:rPr>
          <w:rFonts w:ascii="Times New Roman" w:hAnsi="Times New Roman" w:cs="Times New Roman"/>
          <w:color w:val="000000"/>
          <w:sz w:val="24"/>
          <w:szCs w:val="24"/>
          <w:lang w:bidi="ar-SA"/>
        </w:rPr>
        <w:t xml:space="preserve"> media cannot be directly compared with systems involving nitrate or chloride without considering these additional equilibria.</w:t>
      </w:r>
    </w:p>
    <w:p w14:paraId="55C8F565"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color w:val="000000"/>
          <w:sz w:val="24"/>
          <w:szCs w:val="24"/>
          <w:lang w:val="en-US" w:bidi="ar-SA"/>
        </w:rPr>
        <w:t>The extraction constants follow the decreasing trend:</w:t>
      </w:r>
      <w:r>
        <w:rPr>
          <w:rFonts w:ascii="Times New Roman" w:eastAsia="Times New Roman" w:hAnsi="Times New Roman" w:cs="Times New Roman"/>
          <w:color w:val="000000"/>
          <w:sz w:val="24"/>
          <w:szCs w:val="24"/>
          <w:lang w:val="en-US" w:bidi="ar-SA"/>
        </w:rPr>
        <w:br/>
      </w:r>
      <w:r>
        <w:rPr>
          <w:rFonts w:ascii="Times New Roman" w:eastAsia="Times New Roman" w:hAnsi="Times New Roman" w:cs="Times New Roman"/>
          <w:b/>
          <w:bCs/>
          <w:color w:val="000000"/>
          <w:sz w:val="24"/>
          <w:szCs w:val="24"/>
          <w:lang w:val="en-US" w:bidi="ar-SA"/>
        </w:rPr>
        <w:t>1-octanol &gt; cyclohexane &gt; methyl isobutyl ketone &gt; carbon tetrachloride &gt; dichloromethane &gt; chloroform ≈ toluene.</w:t>
      </w:r>
      <w:r>
        <w:rPr>
          <w:rFonts w:ascii="Times New Roman" w:eastAsia="Times New Roman" w:hAnsi="Times New Roman" w:cs="Times New Roman"/>
          <w:color w:val="000000"/>
          <w:sz w:val="24"/>
          <w:szCs w:val="24"/>
          <w:lang w:val="en-US" w:bidi="ar-SA"/>
        </w:rPr>
        <w:br/>
        <w:t>This sequence highlights the substantial influence of the diluent on extraction efficiency. The marked differences among solvents reflect variations in polarity, hydrogen-bonding capability, and their capacity to stabilize extractant aggregates or the resulting metal–extractant complex.</w:t>
      </w:r>
    </w:p>
    <w:p w14:paraId="197B1429"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color w:val="000000"/>
          <w:sz w:val="24"/>
          <w:szCs w:val="24"/>
          <w:lang w:val="en-US" w:bidi="ar-SA"/>
        </w:rPr>
        <w:lastRenderedPageBreak/>
        <w:t xml:space="preserve">In the case of </w:t>
      </w:r>
      <w:r>
        <w:rPr>
          <w:rFonts w:ascii="Times New Roman" w:eastAsia="Times New Roman" w:hAnsi="Times New Roman" w:cs="Times New Roman"/>
          <w:b/>
          <w:bCs/>
          <w:color w:val="000000"/>
          <w:sz w:val="24"/>
          <w:szCs w:val="24"/>
          <w:lang w:val="en-US" w:bidi="ar-SA"/>
        </w:rPr>
        <w:t>1-octanol</w:t>
      </w:r>
      <w:r>
        <w:rPr>
          <w:rFonts w:ascii="Times New Roman" w:eastAsia="Times New Roman" w:hAnsi="Times New Roman" w:cs="Times New Roman"/>
          <w:color w:val="000000"/>
          <w:sz w:val="24"/>
          <w:szCs w:val="24"/>
          <w:lang w:val="en-US" w:bidi="ar-SA"/>
        </w:rPr>
        <w:t xml:space="preserve">, Ni(II) extraction is significantly more efficient than in the other solvents examined. Although some degree of interaction between </w:t>
      </w:r>
      <w:r w:rsidR="0050677A" w:rsidRPr="00B85055">
        <w:rPr>
          <w:color w:val="000000"/>
          <w:highlight w:val="yellow"/>
          <w:lang w:bidi="ar-SA"/>
        </w:rPr>
        <w:t>Di(2-ethylhexyl) phosphoric acid</w:t>
      </w:r>
      <w:r>
        <w:rPr>
          <w:rFonts w:ascii="Times New Roman" w:eastAsia="Times New Roman" w:hAnsi="Times New Roman" w:cs="Times New Roman"/>
          <w:color w:val="000000"/>
          <w:sz w:val="24"/>
          <w:szCs w:val="24"/>
          <w:lang w:val="en-US" w:bidi="ar-SA"/>
        </w:rPr>
        <w:t xml:space="preserve"> and the diluent occurs as expected for an alcohol 1-octanol provides a favorable environment for both the stabilization and solubilization of the [Ni(</w:t>
      </w:r>
      <w:r w:rsidR="00E91F6A" w:rsidRPr="00B85055">
        <w:rPr>
          <w:color w:val="000000"/>
          <w:highlight w:val="yellow"/>
          <w:lang w:bidi="ar-SA"/>
        </w:rPr>
        <w:t>Di(2-ethylhexyl) phosphoric acid</w:t>
      </w:r>
      <w:r>
        <w:rPr>
          <w:rFonts w:ascii="Times New Roman" w:eastAsia="Times New Roman" w:hAnsi="Times New Roman" w:cs="Times New Roman"/>
          <w:color w:val="000000"/>
          <w:sz w:val="24"/>
          <w:szCs w:val="24"/>
          <w:lang w:val="en-US" w:bidi="ar-SA"/>
        </w:rPr>
        <w:t>)2] complex. This enhanced solvation contributes to a higher effective extraction constant. The strong solvating ability of 1-octanol, combined with its intermediate polarity, likely supports the integrity of the nickel–</w:t>
      </w:r>
      <w:r w:rsidR="00E91F6A" w:rsidRPr="00B85055">
        <w:rPr>
          <w:color w:val="000000"/>
          <w:highlight w:val="yellow"/>
          <w:lang w:bidi="ar-SA"/>
        </w:rPr>
        <w:t>Di(2-ethylhexyl) phosphoric acid</w:t>
      </w:r>
      <w:r>
        <w:rPr>
          <w:rFonts w:ascii="Times New Roman" w:eastAsia="Times New Roman" w:hAnsi="Times New Roman" w:cs="Times New Roman"/>
          <w:color w:val="000000"/>
          <w:sz w:val="24"/>
          <w:szCs w:val="24"/>
          <w:lang w:val="en-US" w:bidi="ar-SA"/>
        </w:rPr>
        <w:t xml:space="preserve"> species, thereby improving its partitioning into the organic phase and yielding superior extraction performance overall.</w:t>
      </w:r>
    </w:p>
    <w:p w14:paraId="21C13506"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color w:val="000000"/>
          <w:sz w:val="24"/>
          <w:szCs w:val="24"/>
          <w:lang w:val="en-US" w:bidi="ar-SA"/>
        </w:rPr>
        <w:t xml:space="preserve">In contrast, solvents such as carbon tetrachloride, chloroform, toluene, and dichloromethane yield significantly lower extraction efficiencies. This reduced performance is attributed to stronger solvation or specific interactions between the diluent and </w:t>
      </w:r>
      <w:r w:rsidR="00E91F6A" w:rsidRPr="00B85055">
        <w:rPr>
          <w:color w:val="000000"/>
          <w:highlight w:val="yellow"/>
          <w:lang w:bidi="ar-SA"/>
        </w:rPr>
        <w:t>Di(2-ethylhexyl) phosphoric acid</w:t>
      </w:r>
      <w:r>
        <w:rPr>
          <w:rFonts w:ascii="Times New Roman" w:eastAsia="Times New Roman" w:hAnsi="Times New Roman" w:cs="Times New Roman"/>
          <w:color w:val="000000"/>
          <w:sz w:val="24"/>
          <w:szCs w:val="24"/>
          <w:lang w:val="en-US" w:bidi="ar-SA"/>
        </w:rPr>
        <w:t>, which reduce the activity of the extractant molecules and hinder complex formation with Ni(II).</w:t>
      </w:r>
    </w:p>
    <w:p w14:paraId="0C1BEFA4" w14:textId="77777777" w:rsidR="00B544FD" w:rsidRPr="00C955D7"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eastAsia="zh-CN"/>
        </w:rPr>
      </w:pPr>
      <w:r>
        <w:rPr>
          <w:rFonts w:ascii="Times New Roman" w:eastAsia="Times New Roman" w:hAnsi="Times New Roman" w:cs="Times New Roman"/>
          <w:color w:val="000000"/>
          <w:sz w:val="24"/>
          <w:szCs w:val="24"/>
          <w:lang w:val="en-US" w:bidi="ar-SA"/>
        </w:rPr>
        <w:t xml:space="preserve">For methyl isobutyl ketone (MIBK), a more polar diluent, the extraction behavior differs markedly from that observed in 1-octanol. The extraction curve does not show the same degree of enhancement, likely because MIBK exhibits partial solubility in the aqueous phase. This favors the formation of additional complexes such as NiSO₄(MIBK)₄ in parallel with NiL₂, thereby reducing the overall efficiency of </w:t>
      </w:r>
      <w:r w:rsidR="00E91F6A" w:rsidRPr="00B85055">
        <w:rPr>
          <w:color w:val="000000"/>
          <w:highlight w:val="yellow"/>
          <w:lang w:bidi="ar-SA"/>
        </w:rPr>
        <w:t>Di(2-ethylhexyl) phosphoric acid</w:t>
      </w:r>
      <w:r>
        <w:rPr>
          <w:rFonts w:ascii="Times New Roman" w:eastAsia="Times New Roman" w:hAnsi="Times New Roman" w:cs="Times New Roman"/>
          <w:color w:val="000000"/>
          <w:sz w:val="24"/>
          <w:szCs w:val="24"/>
          <w:lang w:val="en-US" w:bidi="ar-SA"/>
        </w:rPr>
        <w:t xml:space="preserve"> in this medium</w:t>
      </w:r>
      <w:r w:rsidRPr="00C955D7">
        <w:rPr>
          <w:rFonts w:ascii="Times New Roman" w:eastAsia="Times New Roman" w:hAnsi="Times New Roman" w:cs="Times New Roman"/>
          <w:color w:val="000000"/>
          <w:sz w:val="24"/>
          <w:szCs w:val="24"/>
          <w:lang w:val="en-US" w:bidi="ar-SA"/>
        </w:rPr>
        <w:t xml:space="preserve"> </w:t>
      </w:r>
      <w:r w:rsidRPr="00C955D7">
        <w:rPr>
          <w:rFonts w:ascii="Times New Roman" w:eastAsia="Times New Roman" w:hAnsi="Times New Roman" w:cs="Times New Roman"/>
          <w:color w:val="000000"/>
          <w:sz w:val="24"/>
          <w:szCs w:val="24"/>
          <w:highlight w:val="yellow"/>
          <w:lang w:val="en-US" w:eastAsia="zh-CN" w:bidi="ar-SA"/>
        </w:rPr>
        <w:t>Barkat et al. [2</w:t>
      </w:r>
      <w:r w:rsidR="0044042B">
        <w:rPr>
          <w:rFonts w:ascii="Times New Roman" w:eastAsia="Times New Roman" w:hAnsi="Times New Roman" w:cs="Times New Roman"/>
          <w:color w:val="000000"/>
          <w:sz w:val="24"/>
          <w:szCs w:val="24"/>
          <w:highlight w:val="yellow"/>
          <w:lang w:val="en-US" w:eastAsia="zh-CN" w:bidi="ar-SA"/>
        </w:rPr>
        <w:t>4</w:t>
      </w:r>
      <w:r w:rsidRPr="00C955D7">
        <w:rPr>
          <w:rFonts w:ascii="Times New Roman" w:eastAsia="Times New Roman" w:hAnsi="Times New Roman" w:cs="Times New Roman"/>
          <w:color w:val="000000"/>
          <w:sz w:val="24"/>
          <w:szCs w:val="24"/>
          <w:highlight w:val="yellow"/>
          <w:lang w:val="en-US" w:eastAsia="zh-CN" w:bidi="ar-SA"/>
        </w:rPr>
        <w:t>] reported formation of ZnSO</w:t>
      </w:r>
      <w:r w:rsidRPr="00C955D7">
        <w:rPr>
          <w:rFonts w:ascii="Times New Roman" w:eastAsia="Times New Roman" w:hAnsi="Times New Roman" w:cs="Times New Roman"/>
          <w:color w:val="000000"/>
          <w:sz w:val="24"/>
          <w:szCs w:val="24"/>
          <w:highlight w:val="yellow"/>
          <w:vertAlign w:val="subscript"/>
          <w:lang w:val="en-US" w:eastAsia="zh-CN" w:bidi="ar-SA"/>
        </w:rPr>
        <w:t>4</w:t>
      </w:r>
      <w:r w:rsidRPr="00C955D7">
        <w:rPr>
          <w:rFonts w:ascii="Times New Roman" w:eastAsia="Times New Roman" w:hAnsi="Times New Roman" w:cs="Times New Roman"/>
          <w:color w:val="000000"/>
          <w:sz w:val="24"/>
          <w:szCs w:val="24"/>
          <w:highlight w:val="yellow"/>
          <w:lang w:val="en-US" w:eastAsia="zh-CN" w:bidi="ar-SA"/>
        </w:rPr>
        <w:t>(MIBK)</w:t>
      </w:r>
      <w:r w:rsidRPr="00C955D7">
        <w:rPr>
          <w:rFonts w:ascii="Times New Roman" w:eastAsia="Times New Roman" w:hAnsi="Times New Roman" w:cs="Times New Roman"/>
          <w:color w:val="000000"/>
          <w:sz w:val="24"/>
          <w:szCs w:val="24"/>
          <w:highlight w:val="yellow"/>
          <w:vertAlign w:val="subscript"/>
          <w:lang w:val="en-US" w:eastAsia="zh-CN" w:bidi="ar-SA"/>
        </w:rPr>
        <w:t>4</w:t>
      </w:r>
      <w:r w:rsidRPr="00C955D7">
        <w:rPr>
          <w:rFonts w:ascii="Times New Roman" w:eastAsia="Times New Roman" w:hAnsi="Times New Roman" w:cs="Times New Roman"/>
          <w:color w:val="000000"/>
          <w:sz w:val="24"/>
          <w:szCs w:val="24"/>
          <w:highlight w:val="yellow"/>
          <w:lang w:val="en-US" w:eastAsia="zh-CN" w:bidi="ar-SA"/>
        </w:rPr>
        <w:t xml:space="preserve"> during extraction with acidic chelating extractants.</w:t>
      </w:r>
    </w:p>
    <w:p w14:paraId="26C50C7E"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color w:val="000000"/>
          <w:sz w:val="24"/>
          <w:szCs w:val="24"/>
          <w:lang w:val="en-US" w:bidi="ar-SA"/>
        </w:rPr>
        <w:t xml:space="preserve">To evaluate the performance of </w:t>
      </w:r>
      <w:r w:rsidR="00E91F6A" w:rsidRPr="00B85055">
        <w:rPr>
          <w:color w:val="000000"/>
          <w:highlight w:val="yellow"/>
          <w:lang w:bidi="ar-SA"/>
        </w:rPr>
        <w:t xml:space="preserve">Di(2-ethylhexyl) phosphoric acid </w:t>
      </w:r>
      <w:r>
        <w:rPr>
          <w:rFonts w:ascii="Times New Roman" w:eastAsia="Times New Roman" w:hAnsi="Times New Roman" w:cs="Times New Roman"/>
          <w:color w:val="000000"/>
          <w:sz w:val="24"/>
          <w:szCs w:val="24"/>
          <w:lang w:val="en-US" w:bidi="ar-SA"/>
        </w:rPr>
        <w:t xml:space="preserve">in these various diluents, the extraction percentage (%E) and distribution coefficient (D) were calculated. These values, summarized in Figure </w:t>
      </w:r>
      <w:r w:rsidRPr="00C955D7">
        <w:rPr>
          <w:rFonts w:ascii="Times New Roman" w:eastAsia="Times New Roman" w:hAnsi="Times New Roman" w:cs="Times New Roman"/>
          <w:color w:val="000000"/>
          <w:sz w:val="24"/>
          <w:szCs w:val="24"/>
          <w:lang w:val="en-US" w:bidi="ar-SA"/>
        </w:rPr>
        <w:t>4</w:t>
      </w:r>
      <w:r>
        <w:rPr>
          <w:rFonts w:ascii="Times New Roman" w:eastAsia="Times New Roman" w:hAnsi="Times New Roman" w:cs="Times New Roman"/>
          <w:color w:val="000000"/>
          <w:sz w:val="24"/>
          <w:szCs w:val="24"/>
          <w:lang w:val="en-US" w:bidi="ar-SA"/>
        </w:rPr>
        <w:t xml:space="preserve"> and Table 2, provide a comparative measure of the effectiveness of each solvent system.</w:t>
      </w:r>
    </w:p>
    <w:p w14:paraId="707D142A" w14:textId="0053EABC" w:rsidR="00B544FD" w:rsidRDefault="00E01951">
      <w:pPr>
        <w:spacing w:before="100" w:beforeAutospacing="1" w:after="100" w:afterAutospacing="1" w:line="240" w:lineRule="auto"/>
        <w:ind w:firstLine="142"/>
        <w:jc w:val="center"/>
      </w:pPr>
      <w:r>
        <w:rPr>
          <w:noProof/>
        </w:rPr>
        <w:drawing>
          <wp:inline distT="0" distB="0" distL="0" distR="0" wp14:anchorId="1A68E09E" wp14:editId="7E543A77">
            <wp:extent cx="4438650" cy="3371850"/>
            <wp:effectExtent l="0" t="0" r="0" b="0"/>
            <wp:docPr id="35"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38650" cy="3371850"/>
                    </a:xfrm>
                    <a:prstGeom prst="rect">
                      <a:avLst/>
                    </a:prstGeom>
                    <a:noFill/>
                    <a:ln>
                      <a:noFill/>
                    </a:ln>
                  </pic:spPr>
                </pic:pic>
              </a:graphicData>
            </a:graphic>
          </wp:inline>
        </w:drawing>
      </w:r>
    </w:p>
    <w:p w14:paraId="097B79A9" w14:textId="77777777" w:rsidR="00B544FD" w:rsidRDefault="00B544FD" w:rsidP="00E91F6A">
      <w:pPr>
        <w:spacing w:before="100" w:beforeAutospacing="1" w:after="100" w:afterAutospacing="1" w:line="240" w:lineRule="auto"/>
        <w:ind w:firstLine="720"/>
        <w:jc w:val="center"/>
        <w:rPr>
          <w:rFonts w:ascii="Times New Roman" w:hAnsi="Times New Roman" w:cs="Times New Roman"/>
          <w:i/>
          <w:iCs/>
          <w:sz w:val="20"/>
          <w:szCs w:val="20"/>
        </w:rPr>
      </w:pPr>
      <w:r>
        <w:rPr>
          <w:rFonts w:ascii="Times New Roman" w:hAnsi="Times New Roman" w:cs="Times New Roman"/>
          <w:i/>
          <w:iCs/>
          <w:sz w:val="20"/>
          <w:szCs w:val="20"/>
        </w:rPr>
        <w:t>Fig</w:t>
      </w:r>
      <w:r>
        <w:rPr>
          <w:rFonts w:ascii="Times New Roman" w:hAnsi="Times New Roman" w:cs="Times New Roman"/>
          <w:i/>
          <w:iCs/>
          <w:sz w:val="20"/>
          <w:szCs w:val="20"/>
          <w:lang w:val="en-US"/>
        </w:rPr>
        <w:t xml:space="preserve"> 5</w:t>
      </w:r>
      <w:r>
        <w:rPr>
          <w:rFonts w:ascii="Times New Roman" w:hAnsi="Times New Roman" w:cs="Times New Roman"/>
          <w:i/>
          <w:iCs/>
          <w:sz w:val="20"/>
          <w:szCs w:val="20"/>
        </w:rPr>
        <w:t>. Optimisation of Extraction Efficiency through Various Diluents</w:t>
      </w:r>
    </w:p>
    <w:p w14:paraId="60F6F92C" w14:textId="77777777" w:rsidR="00B544FD" w:rsidRDefault="00B544FD">
      <w:pPr>
        <w:spacing w:before="100" w:beforeAutospacing="1" w:after="100" w:afterAutospacing="1" w:line="240" w:lineRule="auto"/>
        <w:ind w:firstLine="720"/>
        <w:rPr>
          <w:rFonts w:ascii="Times New Roman" w:eastAsia="Times New Roman" w:hAnsi="Times New Roman" w:cs="Times New Roman"/>
          <w:i/>
          <w:iCs/>
          <w:color w:val="000000"/>
          <w:sz w:val="20"/>
          <w:szCs w:val="20"/>
          <w:lang w:val="en-US" w:bidi="ar-SA"/>
        </w:rPr>
      </w:pPr>
      <w:r>
        <w:rPr>
          <w:rFonts w:ascii="Times New Roman" w:eastAsia="Times New Roman" w:hAnsi="Times New Roman" w:cs="Times New Roman"/>
          <w:i/>
          <w:iCs/>
          <w:color w:val="000000"/>
          <w:sz w:val="20"/>
          <w:szCs w:val="20"/>
          <w:lang w:val="en-US" w:bidi="ar-SA"/>
        </w:rPr>
        <w:lastRenderedPageBreak/>
        <w:t>Table 2. Summary of the distribution coefficients (D) and corresponding extraction percentages (%E) obtained for the extraction of Ni(II) using D2EHPA in different organic solvents.</w:t>
      </w:r>
    </w:p>
    <w:tbl>
      <w:tblPr>
        <w:tblW w:w="0" w:type="auto"/>
        <w:tblInd w:w="0" w:type="dxa"/>
        <w:tblBorders>
          <w:top w:val="single" w:sz="4" w:space="0" w:color="auto"/>
          <w:bottom w:val="single" w:sz="4" w:space="0" w:color="auto"/>
          <w:insideH w:val="single" w:sz="4" w:space="0" w:color="auto"/>
        </w:tblBorders>
        <w:tblLook w:val="0000" w:firstRow="0" w:lastRow="0" w:firstColumn="0" w:lastColumn="0" w:noHBand="0" w:noVBand="0"/>
      </w:tblPr>
      <w:tblGrid>
        <w:gridCol w:w="3041"/>
        <w:gridCol w:w="2845"/>
        <w:gridCol w:w="2845"/>
      </w:tblGrid>
      <w:tr w:rsidR="00B544FD" w14:paraId="0E133F59" w14:textId="77777777">
        <w:tc>
          <w:tcPr>
            <w:tcW w:w="3192" w:type="dxa"/>
          </w:tcPr>
          <w:p w14:paraId="7DC1F056"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lang w:val="en-US" w:bidi="ar-SA"/>
              </w:rPr>
            </w:pPr>
            <w:r>
              <w:rPr>
                <w:rFonts w:ascii="Times New Roman" w:eastAsia="Times New Roman" w:hAnsi="Times New Roman" w:cs="Times New Roman"/>
                <w:b/>
                <w:bCs/>
                <w:color w:val="000000"/>
                <w:sz w:val="24"/>
                <w:szCs w:val="24"/>
                <w:lang w:val="en-US" w:bidi="ar-SA"/>
              </w:rPr>
              <w:t>PH</w:t>
            </w:r>
          </w:p>
        </w:tc>
        <w:tc>
          <w:tcPr>
            <w:tcW w:w="3192" w:type="dxa"/>
          </w:tcPr>
          <w:p w14:paraId="142E0DE7"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lang w:val="en-US" w:bidi="ar-SA"/>
              </w:rPr>
            </w:pPr>
            <w:r>
              <w:rPr>
                <w:rFonts w:ascii="Times New Roman" w:eastAsia="Times New Roman" w:hAnsi="Times New Roman" w:cs="Times New Roman"/>
                <w:b/>
                <w:bCs/>
                <w:color w:val="000000"/>
                <w:sz w:val="24"/>
                <w:szCs w:val="24"/>
                <w:lang w:val="en-US" w:bidi="ar-SA"/>
              </w:rPr>
              <w:t>D</w:t>
            </w:r>
          </w:p>
        </w:tc>
        <w:tc>
          <w:tcPr>
            <w:tcW w:w="3192" w:type="dxa"/>
          </w:tcPr>
          <w:p w14:paraId="45D817BB"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lang w:val="en-US" w:bidi="ar-SA"/>
              </w:rPr>
            </w:pPr>
            <w:r>
              <w:rPr>
                <w:rFonts w:ascii="Times New Roman" w:eastAsia="Times New Roman" w:hAnsi="Times New Roman" w:cs="Times New Roman"/>
                <w:b/>
                <w:bCs/>
                <w:color w:val="000000"/>
                <w:sz w:val="24"/>
                <w:szCs w:val="24"/>
                <w:lang w:val="en-US" w:bidi="ar-SA"/>
              </w:rPr>
              <w:t>E (%)</w:t>
            </w:r>
          </w:p>
        </w:tc>
      </w:tr>
      <w:tr w:rsidR="00B544FD" w14:paraId="3AC045DB" w14:textId="77777777">
        <w:tc>
          <w:tcPr>
            <w:tcW w:w="3192" w:type="dxa"/>
          </w:tcPr>
          <w:p w14:paraId="1371E7B7"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Toluene</w:t>
            </w:r>
          </w:p>
        </w:tc>
        <w:tc>
          <w:tcPr>
            <w:tcW w:w="3192" w:type="dxa"/>
          </w:tcPr>
          <w:p w14:paraId="13D31BAB"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0,06528</w:t>
            </w:r>
          </w:p>
        </w:tc>
        <w:tc>
          <w:tcPr>
            <w:tcW w:w="3192" w:type="dxa"/>
          </w:tcPr>
          <w:p w14:paraId="24D92DD7"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6,12777</w:t>
            </w:r>
          </w:p>
        </w:tc>
      </w:tr>
      <w:tr w:rsidR="00B544FD" w14:paraId="38B84C5B" w14:textId="77777777">
        <w:tc>
          <w:tcPr>
            <w:tcW w:w="3192" w:type="dxa"/>
          </w:tcPr>
          <w:p w14:paraId="7D44B799"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Chloroform</w:t>
            </w:r>
          </w:p>
        </w:tc>
        <w:tc>
          <w:tcPr>
            <w:tcW w:w="3192" w:type="dxa"/>
          </w:tcPr>
          <w:p w14:paraId="50446F01"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0,12371</w:t>
            </w:r>
          </w:p>
        </w:tc>
        <w:tc>
          <w:tcPr>
            <w:tcW w:w="3192" w:type="dxa"/>
          </w:tcPr>
          <w:p w14:paraId="6C634E1B"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11,00887</w:t>
            </w:r>
          </w:p>
        </w:tc>
      </w:tr>
      <w:tr w:rsidR="00B544FD" w14:paraId="333106EA" w14:textId="77777777">
        <w:tc>
          <w:tcPr>
            <w:tcW w:w="3192" w:type="dxa"/>
          </w:tcPr>
          <w:p w14:paraId="1156244A"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Dichloromethane</w:t>
            </w:r>
          </w:p>
        </w:tc>
        <w:tc>
          <w:tcPr>
            <w:tcW w:w="3192" w:type="dxa"/>
          </w:tcPr>
          <w:p w14:paraId="30BAED92"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0,23635</w:t>
            </w:r>
          </w:p>
        </w:tc>
        <w:tc>
          <w:tcPr>
            <w:tcW w:w="3192" w:type="dxa"/>
          </w:tcPr>
          <w:p w14:paraId="0E38C6D8"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19,11703</w:t>
            </w:r>
          </w:p>
        </w:tc>
      </w:tr>
      <w:tr w:rsidR="00B544FD" w14:paraId="32039E67" w14:textId="77777777">
        <w:tc>
          <w:tcPr>
            <w:tcW w:w="3192" w:type="dxa"/>
          </w:tcPr>
          <w:p w14:paraId="7AE30C8E"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bidi="ar-SA"/>
              </w:rPr>
              <w:t>Carbon-tetrachloride</w:t>
            </w:r>
          </w:p>
        </w:tc>
        <w:tc>
          <w:tcPr>
            <w:tcW w:w="3192" w:type="dxa"/>
          </w:tcPr>
          <w:p w14:paraId="7365A3B6"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0,48197</w:t>
            </w:r>
          </w:p>
        </w:tc>
        <w:tc>
          <w:tcPr>
            <w:tcW w:w="3192" w:type="dxa"/>
          </w:tcPr>
          <w:p w14:paraId="1D466E56"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32,52245</w:t>
            </w:r>
          </w:p>
        </w:tc>
      </w:tr>
      <w:tr w:rsidR="00B544FD" w14:paraId="321EC400" w14:textId="77777777">
        <w:tc>
          <w:tcPr>
            <w:tcW w:w="3192" w:type="dxa"/>
          </w:tcPr>
          <w:p w14:paraId="4FE0A1FE"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MIBK</w:t>
            </w:r>
          </w:p>
        </w:tc>
        <w:tc>
          <w:tcPr>
            <w:tcW w:w="3192" w:type="dxa"/>
          </w:tcPr>
          <w:p w14:paraId="77B37F89"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0,83512</w:t>
            </w:r>
          </w:p>
        </w:tc>
        <w:tc>
          <w:tcPr>
            <w:tcW w:w="3192" w:type="dxa"/>
          </w:tcPr>
          <w:p w14:paraId="3C30AB0C"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45,50775</w:t>
            </w:r>
          </w:p>
        </w:tc>
      </w:tr>
      <w:tr w:rsidR="00B544FD" w14:paraId="0A9D5C6F" w14:textId="77777777">
        <w:tc>
          <w:tcPr>
            <w:tcW w:w="3192" w:type="dxa"/>
          </w:tcPr>
          <w:p w14:paraId="61520944"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Cyclohexane</w:t>
            </w:r>
          </w:p>
        </w:tc>
        <w:tc>
          <w:tcPr>
            <w:tcW w:w="3192" w:type="dxa"/>
          </w:tcPr>
          <w:p w14:paraId="233A6AAB"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0,88953</w:t>
            </w:r>
          </w:p>
        </w:tc>
        <w:tc>
          <w:tcPr>
            <w:tcW w:w="3192" w:type="dxa"/>
          </w:tcPr>
          <w:p w14:paraId="131AEA5B"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47,07675</w:t>
            </w:r>
          </w:p>
        </w:tc>
      </w:tr>
      <w:tr w:rsidR="00B544FD" w14:paraId="1FB474BC" w14:textId="77777777">
        <w:tc>
          <w:tcPr>
            <w:tcW w:w="3192" w:type="dxa"/>
          </w:tcPr>
          <w:p w14:paraId="51EFCAB7"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eastAsia="zh-CN"/>
              </w:rPr>
            </w:pPr>
            <w:r>
              <w:rPr>
                <w:rFonts w:ascii="Times New Roman" w:eastAsia="Times New Roman" w:hAnsi="Times New Roman" w:cs="Times New Roman"/>
                <w:color w:val="000000"/>
                <w:sz w:val="24"/>
                <w:szCs w:val="24"/>
                <w:lang w:val="en-US" w:eastAsia="zh-CN"/>
              </w:rPr>
              <w:t>1-Octanol</w:t>
            </w:r>
          </w:p>
        </w:tc>
        <w:tc>
          <w:tcPr>
            <w:tcW w:w="3192" w:type="dxa"/>
          </w:tcPr>
          <w:p w14:paraId="7740B7C0"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73,31006</w:t>
            </w:r>
          </w:p>
        </w:tc>
        <w:tc>
          <w:tcPr>
            <w:tcW w:w="3192" w:type="dxa"/>
          </w:tcPr>
          <w:p w14:paraId="08D648D3"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highlight w:val="yellow"/>
                <w:lang w:val="en-US" w:bidi="ar-SA"/>
              </w:rPr>
            </w:pPr>
            <w:r>
              <w:rPr>
                <w:rFonts w:ascii="Times New Roman" w:eastAsia="Times New Roman" w:hAnsi="Times New Roman" w:cs="Times New Roman"/>
                <w:color w:val="000000"/>
                <w:sz w:val="24"/>
                <w:szCs w:val="24"/>
                <w:lang w:val="en-US" w:eastAsia="zh-CN"/>
              </w:rPr>
              <w:t>98,65429</w:t>
            </w:r>
          </w:p>
        </w:tc>
      </w:tr>
    </w:tbl>
    <w:p w14:paraId="68EF1EF8" w14:textId="77777777" w:rsidR="00B544FD" w:rsidRDefault="00B544FD">
      <w:pPr>
        <w:spacing w:after="0" w:line="240" w:lineRule="auto"/>
        <w:ind w:firstLine="720"/>
        <w:rPr>
          <w:rFonts w:ascii="Times New Roman" w:eastAsia="Times New Roman" w:hAnsi="Times New Roman" w:cs="Times New Roman"/>
          <w:color w:val="000000"/>
          <w:sz w:val="24"/>
          <w:szCs w:val="24"/>
          <w:lang w:val="en-US" w:bidi="ar-SA"/>
        </w:rPr>
      </w:pPr>
    </w:p>
    <w:p w14:paraId="388405A8" w14:textId="77777777" w:rsidR="00B544FD" w:rsidRDefault="00B544FD">
      <w:pPr>
        <w:spacing w:after="0"/>
        <w:ind w:firstLine="720"/>
        <w:jc w:val="both"/>
        <w:rPr>
          <w:rFonts w:ascii="Times New Roman" w:hAnsi="Times New Roman" w:cs="Times New Roman"/>
          <w:color w:val="000000"/>
          <w:sz w:val="24"/>
          <w:szCs w:val="24"/>
          <w:lang w:bidi="ar-SA"/>
        </w:rPr>
      </w:pPr>
      <w:r>
        <w:rPr>
          <w:rFonts w:ascii="Times New Roman" w:hAnsi="Times New Roman" w:cs="Times New Roman"/>
          <w:color w:val="000000"/>
          <w:sz w:val="24"/>
          <w:szCs w:val="24"/>
          <w:lang w:bidi="ar-SA"/>
        </w:rPr>
        <w:t xml:space="preserve">This work investigates the performance of </w:t>
      </w:r>
      <w:r w:rsidR="00730FC6" w:rsidRPr="00B85055">
        <w:rPr>
          <w:color w:val="000000"/>
          <w:highlight w:val="yellow"/>
          <w:lang w:bidi="ar-SA"/>
        </w:rPr>
        <w:t>Di(2-ethylhexyl) phosphoric acid</w:t>
      </w:r>
      <w:r>
        <w:rPr>
          <w:rFonts w:ascii="Times New Roman" w:hAnsi="Times New Roman" w:cs="Times New Roman"/>
          <w:color w:val="000000"/>
          <w:sz w:val="24"/>
          <w:szCs w:val="24"/>
          <w:lang w:bidi="ar-SA"/>
        </w:rPr>
        <w:t xml:space="preserve"> in extracting Ni(II) across a range of organic solvents. Consistent with earlier findings for Cu(II) and Co(II) </w:t>
      </w:r>
      <w:r>
        <w:rPr>
          <w:rFonts w:ascii="Times New Roman" w:hAnsi="Times New Roman" w:cs="Times New Roman"/>
          <w:b/>
          <w:bCs/>
          <w:color w:val="000000"/>
          <w:sz w:val="24"/>
          <w:szCs w:val="24"/>
          <w:lang w:bidi="ar-SA"/>
        </w:rPr>
        <w:t>[2</w:t>
      </w:r>
      <w:r w:rsidR="0044042B">
        <w:rPr>
          <w:rFonts w:ascii="Times New Roman" w:hAnsi="Times New Roman" w:cs="Times New Roman"/>
          <w:b/>
          <w:bCs/>
          <w:color w:val="000000"/>
          <w:sz w:val="24"/>
          <w:szCs w:val="24"/>
          <w:lang w:bidi="ar-SA"/>
        </w:rPr>
        <w:t>4</w:t>
      </w:r>
      <w:r>
        <w:rPr>
          <w:rFonts w:ascii="Times New Roman" w:hAnsi="Times New Roman" w:cs="Times New Roman"/>
          <w:b/>
          <w:bCs/>
          <w:color w:val="000000"/>
          <w:sz w:val="24"/>
          <w:szCs w:val="24"/>
          <w:lang w:bidi="ar-SA"/>
        </w:rPr>
        <w:t>]</w:t>
      </w:r>
      <w:r>
        <w:rPr>
          <w:rFonts w:ascii="Times New Roman" w:hAnsi="Times New Roman" w:cs="Times New Roman"/>
          <w:color w:val="000000"/>
          <w:sz w:val="24"/>
          <w:szCs w:val="24"/>
          <w:lang w:bidi="ar-SA"/>
        </w:rPr>
        <w:t xml:space="preserve">, the results show that 1-octanol provides particularly </w:t>
      </w:r>
      <w:r w:rsidR="00126151">
        <w:rPr>
          <w:rFonts w:ascii="Times New Roman" w:hAnsi="Times New Roman" w:cs="Times New Roman"/>
          <w:color w:val="000000"/>
          <w:sz w:val="24"/>
          <w:szCs w:val="24"/>
          <w:lang w:bidi="ar-SA"/>
        </w:rPr>
        <w:t>favourable</w:t>
      </w:r>
      <w:r>
        <w:rPr>
          <w:rFonts w:ascii="Times New Roman" w:hAnsi="Times New Roman" w:cs="Times New Roman"/>
          <w:color w:val="000000"/>
          <w:sz w:val="24"/>
          <w:szCs w:val="24"/>
          <w:lang w:bidi="ar-SA"/>
        </w:rPr>
        <w:t xml:space="preserve"> extraction conditions for Ni(II), even though noticeable interactions occur between the extractant and the diluent. The efficiency observed in 1-octanol highlights its ability to maintain and stabilize the nickel–</w:t>
      </w:r>
      <w:r w:rsidR="00730FC6" w:rsidRPr="00730FC6">
        <w:rPr>
          <w:color w:val="000000"/>
          <w:highlight w:val="yellow"/>
          <w:lang w:bidi="ar-SA"/>
        </w:rPr>
        <w:t xml:space="preserve"> </w:t>
      </w:r>
      <w:r w:rsidR="00730FC6" w:rsidRPr="00B85055">
        <w:rPr>
          <w:color w:val="000000"/>
          <w:highlight w:val="yellow"/>
          <w:lang w:bidi="ar-SA"/>
        </w:rPr>
        <w:t>Di(2-ethylhexyl) phosphoric acid</w:t>
      </w:r>
      <w:r>
        <w:rPr>
          <w:rFonts w:ascii="Times New Roman" w:hAnsi="Times New Roman" w:cs="Times New Roman"/>
          <w:color w:val="000000"/>
          <w:sz w:val="24"/>
          <w:szCs w:val="24"/>
          <w:lang w:bidi="ar-SA"/>
        </w:rPr>
        <w:t xml:space="preserve"> complex more effectively than the other solvents examined.</w:t>
      </w:r>
    </w:p>
    <w:p w14:paraId="3BD9D7A5" w14:textId="77777777" w:rsidR="00B544FD" w:rsidRDefault="00B544FD">
      <w:pPr>
        <w:pStyle w:val="1"/>
        <w:spacing w:line="240" w:lineRule="auto"/>
        <w:ind w:firstLine="720"/>
        <w:rPr>
          <w:rFonts w:eastAsia="宋体"/>
        </w:rPr>
      </w:pPr>
      <w:r>
        <w:rPr>
          <w:rFonts w:eastAsia="宋体"/>
        </w:rPr>
        <w:t xml:space="preserve">Visible Spectra of the Organic Phase During Nickel (II) Extraction </w:t>
      </w:r>
    </w:p>
    <w:p w14:paraId="2F32B813"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color w:val="000000"/>
          <w:sz w:val="24"/>
          <w:szCs w:val="24"/>
          <w:lang w:val="en-US" w:bidi="ar-SA"/>
        </w:rPr>
        <w:t xml:space="preserve">Figure </w:t>
      </w:r>
      <w:r w:rsidRPr="00C955D7">
        <w:rPr>
          <w:rFonts w:ascii="Times New Roman" w:eastAsia="Times New Roman" w:hAnsi="Times New Roman" w:cs="Times New Roman"/>
          <w:color w:val="000000"/>
          <w:sz w:val="24"/>
          <w:szCs w:val="24"/>
          <w:lang w:val="en-US" w:bidi="ar-SA"/>
        </w:rPr>
        <w:t>5</w:t>
      </w:r>
      <w:r>
        <w:rPr>
          <w:rFonts w:ascii="Times New Roman" w:eastAsia="Times New Roman" w:hAnsi="Times New Roman" w:cs="Times New Roman"/>
          <w:color w:val="000000"/>
          <w:sz w:val="24"/>
          <w:szCs w:val="24"/>
          <w:lang w:val="en-US" w:bidi="ar-SA"/>
        </w:rPr>
        <w:t xml:space="preserve"> displays the visible-region absorption spectra recorded for the organic phase during the extraction of Ni(II) by </w:t>
      </w:r>
      <w:r w:rsidR="00730FC6" w:rsidRPr="00B85055">
        <w:rPr>
          <w:color w:val="000000"/>
          <w:highlight w:val="yellow"/>
          <w:lang w:bidi="ar-SA"/>
        </w:rPr>
        <w:t>Di(2-ethylhexyl) phosphoric acid</w:t>
      </w:r>
      <w:r>
        <w:rPr>
          <w:rFonts w:ascii="Times New Roman" w:eastAsia="Times New Roman" w:hAnsi="Times New Roman" w:cs="Times New Roman"/>
          <w:color w:val="000000"/>
          <w:sz w:val="24"/>
          <w:szCs w:val="24"/>
          <w:lang w:val="en-US" w:bidi="ar-SA"/>
        </w:rPr>
        <w:t xml:space="preserve"> in the different organic solvents investigated. These spectra provide insight into how the optical properties of the nickel–extractant complexes vary according to the nature of the diluent. Because each solvent offers a distinct microenvironment differing in polarity, solvating ability, and potential for hydrogen bonding the recorded spectra reveal subtle but significant shifts in absorbance intensity and wavelength maxima.</w:t>
      </w:r>
    </w:p>
    <w:p w14:paraId="47CC704B"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color w:val="000000"/>
          <w:sz w:val="24"/>
          <w:szCs w:val="24"/>
          <w:lang w:val="en-US" w:bidi="ar-SA"/>
        </w:rPr>
        <w:t xml:space="preserve">Such spectral features are closely linked to the coordination environment of the Ni(II) ion once transferred into the organic phase. Variations in band position or intensity indicate differences in complex stability, ligand interactions, and the extent of solvation provided by each diluent. Consequently, the spectral data serve as an informative tool for probing the interaction between </w:t>
      </w:r>
      <w:r w:rsidR="00126151">
        <w:rPr>
          <w:rFonts w:ascii="Times New Roman" w:eastAsia="Times New Roman" w:hAnsi="Times New Roman" w:cs="Times New Roman"/>
          <w:color w:val="000000"/>
          <w:sz w:val="24"/>
          <w:szCs w:val="24"/>
          <w:lang w:val="en-US" w:bidi="ar-SA"/>
        </w:rPr>
        <w:t>Ni (</w:t>
      </w:r>
      <w:r>
        <w:rPr>
          <w:rFonts w:ascii="Times New Roman" w:eastAsia="Times New Roman" w:hAnsi="Times New Roman" w:cs="Times New Roman"/>
          <w:color w:val="000000"/>
          <w:sz w:val="24"/>
          <w:szCs w:val="24"/>
          <w:lang w:val="en-US" w:bidi="ar-SA"/>
        </w:rPr>
        <w:t xml:space="preserve">II), the deprotonated and protonated forms of </w:t>
      </w:r>
      <w:r w:rsidR="00730FC6" w:rsidRPr="00B85055">
        <w:rPr>
          <w:color w:val="000000"/>
          <w:highlight w:val="yellow"/>
          <w:lang w:bidi="ar-SA"/>
        </w:rPr>
        <w:t>Di(2-ethylhexyl) phosphoric acid</w:t>
      </w:r>
      <w:r>
        <w:rPr>
          <w:rFonts w:ascii="Times New Roman" w:eastAsia="Times New Roman" w:hAnsi="Times New Roman" w:cs="Times New Roman"/>
          <w:color w:val="000000"/>
          <w:sz w:val="24"/>
          <w:szCs w:val="24"/>
          <w:lang w:val="en-US" w:bidi="ar-SA"/>
        </w:rPr>
        <w:t>, and the surrounding organic medium. By comparing spectra across solvents, it becomes possible to identify how the nature of the diluent influences the geometry, electronic transitions, and overall structure of the extracted nickel complexes.</w:t>
      </w:r>
    </w:p>
    <w:p w14:paraId="08FCBA5A"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color w:val="000000"/>
          <w:sz w:val="24"/>
          <w:szCs w:val="24"/>
          <w:lang w:val="en-US" w:bidi="ar-SA"/>
        </w:rPr>
        <w:t>Each spectrum shown in the figure corresponds to a specific organic solvent, and the differences observed among these curves whether in peak positions, relative intensities, or overall spectral profiles highlight clear variations in the characteristics of the extracted nickel complexes. Such distinctions suggest that the coordination environment surrounding the Ni–</w:t>
      </w:r>
      <w:r w:rsidR="00730FC6" w:rsidRPr="00730FC6">
        <w:rPr>
          <w:color w:val="000000"/>
          <w:highlight w:val="yellow"/>
          <w:lang w:bidi="ar-SA"/>
        </w:rPr>
        <w:t xml:space="preserve"> </w:t>
      </w:r>
      <w:r w:rsidR="00730FC6" w:rsidRPr="00B85055">
        <w:rPr>
          <w:color w:val="000000"/>
          <w:highlight w:val="yellow"/>
          <w:lang w:bidi="ar-SA"/>
        </w:rPr>
        <w:t>Di(2-ethylhexyl) phosphoric acid</w:t>
      </w:r>
      <w:r>
        <w:rPr>
          <w:rFonts w:ascii="Times New Roman" w:eastAsia="Times New Roman" w:hAnsi="Times New Roman" w:cs="Times New Roman"/>
          <w:color w:val="000000"/>
          <w:sz w:val="24"/>
          <w:szCs w:val="24"/>
          <w:lang w:val="en-US" w:bidi="ar-SA"/>
        </w:rPr>
        <w:t xml:space="preserve"> species is strongly influenced by the solvent in which the extraction occurs.</w:t>
      </w:r>
    </w:p>
    <w:p w14:paraId="6285BEA6"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color w:val="000000"/>
          <w:sz w:val="24"/>
          <w:szCs w:val="24"/>
          <w:lang w:val="en-US" w:bidi="ar-SA"/>
        </w:rPr>
        <w:t xml:space="preserve">Shifts in the absorption maxima provide evidence of changes in the ligand field experienced by Ni(II), implying that the geometry or the donor interactions of the extractant molecules may differ depending on the diluent. Likewise, modifications in the shapes, widths, or intensities of the absorption bands point to solvent-dependent variations </w:t>
      </w:r>
      <w:r>
        <w:rPr>
          <w:rFonts w:ascii="Times New Roman" w:eastAsia="Times New Roman" w:hAnsi="Times New Roman" w:cs="Times New Roman"/>
          <w:color w:val="000000"/>
          <w:sz w:val="24"/>
          <w:szCs w:val="24"/>
          <w:lang w:val="en-US" w:bidi="ar-SA"/>
        </w:rPr>
        <w:lastRenderedPageBreak/>
        <w:t>in complex stability, solvation effects, and possible aggregation or reorganization of the extracted species within the organic phase.</w:t>
      </w:r>
    </w:p>
    <w:p w14:paraId="3FEFC9BC"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color w:val="000000"/>
          <w:sz w:val="24"/>
          <w:szCs w:val="24"/>
          <w:lang w:val="en-US" w:bidi="ar-SA"/>
        </w:rPr>
        <w:t>Altogether, these spectral variations reinforce the conclusion that the solvent plays a significant role in determining the structural and electronic properties of the Ni–</w:t>
      </w:r>
      <w:r w:rsidR="00730FC6" w:rsidRPr="00B85055">
        <w:rPr>
          <w:color w:val="000000"/>
          <w:highlight w:val="yellow"/>
          <w:lang w:bidi="ar-SA"/>
        </w:rPr>
        <w:t>Di(2-ethylhexyl) phosphoric acid</w:t>
      </w:r>
      <w:r>
        <w:rPr>
          <w:rFonts w:ascii="Times New Roman" w:eastAsia="Times New Roman" w:hAnsi="Times New Roman" w:cs="Times New Roman"/>
          <w:color w:val="000000"/>
          <w:sz w:val="24"/>
          <w:szCs w:val="24"/>
          <w:lang w:val="en-US" w:bidi="ar-SA"/>
        </w:rPr>
        <w:t xml:space="preserve"> complexes formed during extraction. The observed differences therefore offer valuable insights into how the microenvironment of the organic phase governs the behavior and final configuration of the extracted metal species.</w:t>
      </w:r>
    </w:p>
    <w:p w14:paraId="6D1B0C8F"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color w:val="000000"/>
          <w:sz w:val="24"/>
          <w:szCs w:val="24"/>
          <w:lang w:val="en-US" w:bidi="ar-SA"/>
        </w:rPr>
        <w:t xml:space="preserve">Such spectral distinctions provide insight into how effectively </w:t>
      </w:r>
      <w:r w:rsidR="00126151">
        <w:rPr>
          <w:rFonts w:ascii="Times New Roman" w:eastAsia="Times New Roman" w:hAnsi="Times New Roman" w:cs="Times New Roman"/>
          <w:color w:val="000000"/>
          <w:sz w:val="24"/>
          <w:szCs w:val="24"/>
          <w:lang w:val="en-US" w:bidi="ar-SA"/>
        </w:rPr>
        <w:t>Ni (</w:t>
      </w:r>
      <w:r>
        <w:rPr>
          <w:rFonts w:ascii="Times New Roman" w:eastAsia="Times New Roman" w:hAnsi="Times New Roman" w:cs="Times New Roman"/>
          <w:color w:val="000000"/>
          <w:sz w:val="24"/>
          <w:szCs w:val="24"/>
          <w:lang w:val="en-US" w:bidi="ar-SA"/>
        </w:rPr>
        <w:t>II) is transferred into each organic phase and how the solvent contributes to stabilizing the metal–extractant complex. These observations can be directly related to the differences in extraction efficiency noted across the diluents, reinforcing the role of solvent–extractant interactions in governing complex formation and stability.</w:t>
      </w:r>
    </w:p>
    <w:p w14:paraId="41BDACEE" w14:textId="77777777" w:rsidR="00B544FD" w:rsidRDefault="00B544FD">
      <w:pPr>
        <w:spacing w:before="100" w:beforeAutospacing="1" w:after="100" w:afterAutospacing="1" w:line="240" w:lineRule="auto"/>
        <w:ind w:firstLine="720"/>
        <w:jc w:val="center"/>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i/>
          <w:iCs/>
          <w:color w:val="000000"/>
          <w:sz w:val="24"/>
          <w:szCs w:val="24"/>
          <w:lang w:val="en-US" w:bidi="ar-SA"/>
        </w:rPr>
        <w:t xml:space="preserve">Scheme 1 outlines the proposed structural framework of the extracted </w:t>
      </w:r>
      <w:r w:rsidR="00126151">
        <w:rPr>
          <w:rFonts w:ascii="Times New Roman" w:eastAsia="Times New Roman" w:hAnsi="Times New Roman" w:cs="Times New Roman"/>
          <w:i/>
          <w:iCs/>
          <w:color w:val="000000"/>
          <w:sz w:val="24"/>
          <w:szCs w:val="24"/>
          <w:lang w:val="en-US" w:bidi="ar-SA"/>
        </w:rPr>
        <w:t>nickel (</w:t>
      </w:r>
      <w:r>
        <w:rPr>
          <w:rFonts w:ascii="Times New Roman" w:eastAsia="Times New Roman" w:hAnsi="Times New Roman" w:cs="Times New Roman"/>
          <w:i/>
          <w:iCs/>
          <w:color w:val="000000"/>
          <w:sz w:val="24"/>
          <w:szCs w:val="24"/>
          <w:lang w:val="en-US" w:bidi="ar-SA"/>
        </w:rPr>
        <w:t>II) complexes, including a detailed depiction of the NiL₂·2HL species formed in the organic phase.</w:t>
      </w:r>
    </w:p>
    <w:p w14:paraId="249FFE5B" w14:textId="0ED87186" w:rsidR="00B544FD" w:rsidRDefault="00E01951">
      <w:pPr>
        <w:spacing w:before="100" w:beforeAutospacing="1" w:after="100" w:afterAutospacing="1" w:line="240" w:lineRule="auto"/>
        <w:ind w:firstLine="720"/>
        <w:jc w:val="center"/>
        <w:rPr>
          <w:rFonts w:ascii="Times New Roman" w:eastAsia="Times New Roman" w:hAnsi="Times New Roman" w:cs="Times New Roman"/>
          <w:color w:val="000000"/>
          <w:sz w:val="24"/>
          <w:szCs w:val="24"/>
          <w:lang w:val="en-US" w:bidi="ar-SA"/>
        </w:rPr>
      </w:pPr>
      <w:r>
        <w:rPr>
          <w:rFonts w:ascii="Times New Roman" w:hAnsi="Times New Roman" w:cs="Times New Roman"/>
          <w:noProof/>
        </w:rPr>
        <w:drawing>
          <wp:inline distT="0" distB="0" distL="0" distR="0" wp14:anchorId="447DBBA1" wp14:editId="50B19CBE">
            <wp:extent cx="1276350" cy="1123950"/>
            <wp:effectExtent l="0" t="0" r="0" b="0"/>
            <wp:docPr id="3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76350" cy="1123950"/>
                    </a:xfrm>
                    <a:prstGeom prst="rect">
                      <a:avLst/>
                    </a:prstGeom>
                    <a:noFill/>
                    <a:ln>
                      <a:noFill/>
                    </a:ln>
                  </pic:spPr>
                </pic:pic>
              </a:graphicData>
            </a:graphic>
          </wp:inline>
        </w:drawing>
      </w:r>
    </w:p>
    <w:p w14:paraId="28ED9F02" w14:textId="77777777" w:rsidR="00B544FD" w:rsidRDefault="00B544FD">
      <w:pPr>
        <w:spacing w:before="100" w:beforeAutospacing="1" w:after="100" w:afterAutospacing="1" w:line="240" w:lineRule="auto"/>
        <w:ind w:firstLine="720"/>
        <w:jc w:val="center"/>
        <w:rPr>
          <w:rFonts w:ascii="Times New Roman" w:eastAsia="Times New Roman" w:hAnsi="Times New Roman" w:cs="Times New Roman"/>
          <w:i/>
          <w:iCs/>
          <w:color w:val="000000"/>
          <w:sz w:val="20"/>
          <w:szCs w:val="20"/>
          <w:lang w:val="en-US" w:bidi="ar-SA"/>
        </w:rPr>
      </w:pPr>
      <w:r>
        <w:rPr>
          <w:rFonts w:ascii="Times New Roman" w:eastAsia="Times New Roman" w:hAnsi="Times New Roman" w:cs="Times New Roman"/>
          <w:i/>
          <w:iCs/>
          <w:color w:val="000000"/>
          <w:sz w:val="20"/>
          <w:szCs w:val="20"/>
          <w:lang w:val="en-US" w:bidi="ar-SA"/>
        </w:rPr>
        <w:t>Scheme 1: Structure of the NiL</w:t>
      </w:r>
      <w:r>
        <w:rPr>
          <w:rFonts w:ascii="Times New Roman" w:eastAsia="Times New Roman" w:hAnsi="Times New Roman" w:cs="Times New Roman"/>
          <w:i/>
          <w:iCs/>
          <w:color w:val="000000"/>
          <w:sz w:val="20"/>
          <w:szCs w:val="20"/>
          <w:vertAlign w:val="subscript"/>
          <w:lang w:val="en-US" w:bidi="ar-SA"/>
        </w:rPr>
        <w:t>2</w:t>
      </w:r>
      <w:r>
        <w:rPr>
          <w:rFonts w:ascii="Times New Roman" w:eastAsia="Times New Roman" w:hAnsi="Times New Roman" w:cs="Times New Roman"/>
          <w:i/>
          <w:iCs/>
          <w:color w:val="000000"/>
          <w:sz w:val="20"/>
          <w:szCs w:val="20"/>
          <w:lang w:val="en-US" w:bidi="ar-SA"/>
        </w:rPr>
        <w:t>2HL complex.</w:t>
      </w:r>
      <w:r>
        <w:rPr>
          <w:rFonts w:ascii="Times New Roman" w:hAnsi="Times New Roman" w:cs="Times New Roman"/>
          <w:i/>
          <w:iCs/>
          <w:sz w:val="18"/>
          <w:szCs w:val="18"/>
        </w:rPr>
        <w:t xml:space="preserve"> </w:t>
      </w:r>
      <w:r>
        <w:rPr>
          <w:rFonts w:ascii="Times New Roman" w:eastAsia="Times New Roman" w:hAnsi="Times New Roman" w:cs="Times New Roman"/>
          <w:i/>
          <w:iCs/>
          <w:color w:val="000000"/>
          <w:sz w:val="20"/>
          <w:szCs w:val="20"/>
          <w:lang w:val="en-US" w:bidi="ar-SA"/>
        </w:rPr>
        <w:t xml:space="preserve"> (R=C</w:t>
      </w:r>
      <w:r>
        <w:rPr>
          <w:rFonts w:ascii="Times New Roman" w:eastAsia="Times New Roman" w:hAnsi="Times New Roman" w:cs="Times New Roman"/>
          <w:i/>
          <w:iCs/>
          <w:color w:val="000000"/>
          <w:sz w:val="20"/>
          <w:szCs w:val="20"/>
          <w:vertAlign w:val="subscript"/>
          <w:lang w:val="en-US" w:bidi="ar-SA"/>
        </w:rPr>
        <w:t>8</w:t>
      </w:r>
      <w:r>
        <w:rPr>
          <w:rFonts w:ascii="Times New Roman" w:eastAsia="Times New Roman" w:hAnsi="Times New Roman" w:cs="Times New Roman"/>
          <w:i/>
          <w:iCs/>
          <w:color w:val="000000"/>
          <w:sz w:val="20"/>
          <w:szCs w:val="20"/>
          <w:lang w:val="en-US" w:bidi="ar-SA"/>
        </w:rPr>
        <w:t>H</w:t>
      </w:r>
      <w:r>
        <w:rPr>
          <w:rFonts w:ascii="Times New Roman" w:eastAsia="Times New Roman" w:hAnsi="Times New Roman" w:cs="Times New Roman"/>
          <w:i/>
          <w:iCs/>
          <w:color w:val="000000"/>
          <w:sz w:val="20"/>
          <w:szCs w:val="20"/>
          <w:vertAlign w:val="subscript"/>
          <w:lang w:val="en-US" w:bidi="ar-SA"/>
        </w:rPr>
        <w:t>17</w:t>
      </w:r>
      <w:r>
        <w:rPr>
          <w:rFonts w:ascii="Times New Roman" w:eastAsia="Times New Roman" w:hAnsi="Times New Roman" w:cs="Times New Roman"/>
          <w:i/>
          <w:iCs/>
          <w:color w:val="000000"/>
          <w:sz w:val="20"/>
          <w:szCs w:val="20"/>
          <w:lang w:val="en-US" w:bidi="ar-SA"/>
        </w:rPr>
        <w:t>)</w:t>
      </w:r>
    </w:p>
    <w:p w14:paraId="3EF9E12D" w14:textId="77777777" w:rsidR="00B544FD" w:rsidRDefault="00B544FD">
      <w:pPr>
        <w:ind w:firstLine="851"/>
        <w:jc w:val="both"/>
        <w:rPr>
          <w:rFonts w:ascii="Times New Roman" w:hAnsi="Times New Roman" w:cs="Times New Roman"/>
          <w:color w:val="000000"/>
          <w:sz w:val="24"/>
          <w:szCs w:val="24"/>
          <w:lang w:bidi="ar-SA"/>
        </w:rPr>
      </w:pPr>
      <w:r>
        <w:rPr>
          <w:rFonts w:ascii="Times New Roman" w:eastAsia="Times New Roman" w:hAnsi="Times New Roman" w:cs="Times New Roman"/>
          <w:color w:val="000000"/>
          <w:sz w:val="24"/>
          <w:szCs w:val="24"/>
          <w:lang w:val="en-US" w:bidi="ar-SA"/>
        </w:rPr>
        <w:t>The</w:t>
      </w:r>
      <w:r>
        <w:rPr>
          <w:rFonts w:ascii="Times New Roman" w:hAnsi="Times New Roman" w:cs="Times New Roman"/>
          <w:color w:val="000000"/>
          <w:sz w:val="24"/>
          <w:szCs w:val="24"/>
          <w:lang w:bidi="ar-SA"/>
        </w:rPr>
        <w:t xml:space="preserve"> stoichiometry of the extracted organometallic species was further confirmed through electronic spectroscopy of the organic phase during </w:t>
      </w:r>
      <w:r w:rsidR="00126151">
        <w:rPr>
          <w:rFonts w:ascii="Times New Roman" w:hAnsi="Times New Roman" w:cs="Times New Roman"/>
          <w:color w:val="000000"/>
          <w:sz w:val="24"/>
          <w:szCs w:val="24"/>
          <w:lang w:bidi="ar-SA"/>
        </w:rPr>
        <w:t>nickel (</w:t>
      </w:r>
      <w:r>
        <w:rPr>
          <w:rFonts w:ascii="Times New Roman" w:hAnsi="Times New Roman" w:cs="Times New Roman"/>
          <w:color w:val="000000"/>
          <w:sz w:val="24"/>
          <w:szCs w:val="24"/>
          <w:lang w:bidi="ar-SA"/>
        </w:rPr>
        <w:t xml:space="preserve">II) extraction. Spectral measurements were carried out on the organic layers containing the </w:t>
      </w:r>
      <w:r w:rsidR="00126151">
        <w:rPr>
          <w:rFonts w:ascii="Times New Roman" w:hAnsi="Times New Roman" w:cs="Times New Roman"/>
          <w:color w:val="000000"/>
          <w:sz w:val="24"/>
          <w:szCs w:val="24"/>
          <w:lang w:bidi="ar-SA"/>
        </w:rPr>
        <w:t>Ni (</w:t>
      </w:r>
      <w:r>
        <w:rPr>
          <w:rFonts w:ascii="Times New Roman" w:hAnsi="Times New Roman" w:cs="Times New Roman"/>
          <w:color w:val="000000"/>
          <w:sz w:val="24"/>
          <w:szCs w:val="24"/>
          <w:lang w:bidi="ar-SA"/>
        </w:rPr>
        <w:t>II) complexes formed in various nonpolar solvents. The absorption maxima observed in these spectra provide valuable information regarding the structural arrangement of the metal complex once transferred into the organic medium.</w:t>
      </w:r>
    </w:p>
    <w:p w14:paraId="13403FD6" w14:textId="77777777" w:rsidR="00B544FD" w:rsidRDefault="00B544FD">
      <w:pPr>
        <w:ind w:firstLine="851"/>
        <w:jc w:val="both"/>
        <w:rPr>
          <w:rFonts w:ascii="Times New Roman" w:hAnsi="Times New Roman" w:cs="Times New Roman"/>
          <w:color w:val="000000"/>
          <w:sz w:val="24"/>
          <w:szCs w:val="24"/>
          <w:lang w:bidi="ar-SA"/>
        </w:rPr>
      </w:pPr>
      <w:r>
        <w:rPr>
          <w:rFonts w:ascii="Times New Roman" w:eastAsia="Times New Roman" w:hAnsi="Times New Roman" w:cs="Times New Roman"/>
          <w:color w:val="000000"/>
          <w:sz w:val="24"/>
          <w:szCs w:val="24"/>
          <w:lang w:val="en-US" w:bidi="ar-SA"/>
        </w:rPr>
        <w:t xml:space="preserve">The </w:t>
      </w:r>
      <w:r>
        <w:rPr>
          <w:rFonts w:ascii="Times New Roman" w:hAnsi="Times New Roman" w:cs="Times New Roman"/>
          <w:color w:val="000000"/>
          <w:sz w:val="24"/>
          <w:szCs w:val="24"/>
          <w:lang w:bidi="ar-SA"/>
        </w:rPr>
        <w:t xml:space="preserve">The recorded spectra shown in Figure 5 display features characteristic of octahedral coordination, thereby supporting the formation of octahedral </w:t>
      </w:r>
      <w:r w:rsidR="00126151">
        <w:rPr>
          <w:rFonts w:ascii="Times New Roman" w:hAnsi="Times New Roman" w:cs="Times New Roman"/>
          <w:color w:val="000000"/>
          <w:sz w:val="24"/>
          <w:szCs w:val="24"/>
          <w:lang w:bidi="ar-SA"/>
        </w:rPr>
        <w:t>Ni (</w:t>
      </w:r>
      <w:r>
        <w:rPr>
          <w:rFonts w:ascii="Times New Roman" w:hAnsi="Times New Roman" w:cs="Times New Roman"/>
          <w:color w:val="000000"/>
          <w:sz w:val="24"/>
          <w:szCs w:val="24"/>
          <w:lang w:bidi="ar-SA"/>
        </w:rPr>
        <w:t xml:space="preserve">II) complexes within the organic phase. Table 4 summarizes the wavelengths of the principal absorption bands for the complexes formed in the different nonpolar diluents. These values are consistent across the solvent series and align well with the octahedral geometries previously described by J. Preston and other researchers </w:t>
      </w:r>
      <w:r>
        <w:rPr>
          <w:rFonts w:ascii="Times New Roman" w:hAnsi="Times New Roman" w:cs="Times New Roman"/>
          <w:b/>
          <w:bCs/>
          <w:color w:val="000000"/>
          <w:sz w:val="24"/>
          <w:szCs w:val="24"/>
          <w:lang w:bidi="ar-SA"/>
        </w:rPr>
        <w:t>[2</w:t>
      </w:r>
      <w:r w:rsidR="0044042B">
        <w:rPr>
          <w:rFonts w:ascii="Times New Roman" w:hAnsi="Times New Roman" w:cs="Times New Roman"/>
          <w:b/>
          <w:bCs/>
          <w:color w:val="000000"/>
          <w:sz w:val="24"/>
          <w:szCs w:val="24"/>
          <w:lang w:bidi="ar-SA"/>
        </w:rPr>
        <w:t>7</w:t>
      </w:r>
      <w:r>
        <w:rPr>
          <w:rFonts w:ascii="Times New Roman" w:hAnsi="Times New Roman" w:cs="Times New Roman"/>
          <w:b/>
          <w:bCs/>
          <w:color w:val="000000"/>
          <w:sz w:val="24"/>
          <w:szCs w:val="24"/>
          <w:lang w:bidi="ar-SA"/>
        </w:rPr>
        <w:t>–2</w:t>
      </w:r>
      <w:r w:rsidR="0044042B">
        <w:rPr>
          <w:rFonts w:ascii="Times New Roman" w:hAnsi="Times New Roman" w:cs="Times New Roman"/>
          <w:b/>
          <w:bCs/>
          <w:color w:val="000000"/>
          <w:sz w:val="24"/>
          <w:szCs w:val="24"/>
          <w:lang w:bidi="ar-SA"/>
        </w:rPr>
        <w:t>9</w:t>
      </w:r>
      <w:r>
        <w:rPr>
          <w:rFonts w:ascii="Times New Roman" w:hAnsi="Times New Roman" w:cs="Times New Roman"/>
          <w:b/>
          <w:bCs/>
          <w:color w:val="000000"/>
          <w:sz w:val="24"/>
          <w:szCs w:val="24"/>
          <w:lang w:bidi="ar-SA"/>
        </w:rPr>
        <w:t>]</w:t>
      </w:r>
      <w:r>
        <w:rPr>
          <w:rFonts w:ascii="Times New Roman" w:hAnsi="Times New Roman" w:cs="Times New Roman"/>
          <w:color w:val="000000"/>
          <w:sz w:val="24"/>
          <w:szCs w:val="24"/>
          <w:lang w:bidi="ar-SA"/>
        </w:rPr>
        <w:t>.</w:t>
      </w:r>
    </w:p>
    <w:p w14:paraId="22DDA8F8" w14:textId="77777777" w:rsidR="00B544FD" w:rsidRDefault="00B544FD">
      <w:pPr>
        <w:ind w:firstLine="851"/>
        <w:jc w:val="both"/>
        <w:rPr>
          <w:rFonts w:ascii="Times New Roman" w:hAnsi="Times New Roman" w:cs="Times New Roman"/>
          <w:color w:val="000000"/>
          <w:sz w:val="24"/>
          <w:szCs w:val="24"/>
          <w:lang w:bidi="ar-SA"/>
        </w:rPr>
      </w:pPr>
      <w:r>
        <w:rPr>
          <w:rFonts w:ascii="Times New Roman" w:eastAsia="Times New Roman" w:hAnsi="Times New Roman" w:cs="Times New Roman"/>
          <w:color w:val="000000"/>
          <w:sz w:val="24"/>
          <w:szCs w:val="24"/>
          <w:lang w:val="en-US" w:bidi="ar-SA"/>
        </w:rPr>
        <w:t xml:space="preserve">The </w:t>
      </w:r>
      <w:r>
        <w:rPr>
          <w:rFonts w:ascii="Times New Roman" w:hAnsi="Times New Roman" w:cs="Times New Roman"/>
          <w:color w:val="000000"/>
          <w:sz w:val="24"/>
          <w:szCs w:val="24"/>
          <w:lang w:bidi="ar-SA"/>
        </w:rPr>
        <w:t xml:space="preserve">The literature further confirms that </w:t>
      </w:r>
      <w:r w:rsidR="00126151">
        <w:rPr>
          <w:rFonts w:ascii="Times New Roman" w:hAnsi="Times New Roman" w:cs="Times New Roman"/>
          <w:color w:val="000000"/>
          <w:sz w:val="24"/>
          <w:szCs w:val="24"/>
          <w:lang w:bidi="ar-SA"/>
        </w:rPr>
        <w:t>Ni (</w:t>
      </w:r>
      <w:r>
        <w:rPr>
          <w:rFonts w:ascii="Times New Roman" w:hAnsi="Times New Roman" w:cs="Times New Roman"/>
          <w:color w:val="000000"/>
          <w:sz w:val="24"/>
          <w:szCs w:val="24"/>
          <w:lang w:bidi="ar-SA"/>
        </w:rPr>
        <w:t xml:space="preserve">II), with its d⁸ electronic configuration, is capable of forming both octahedral and, under certain conditions, tetrahedral complexes </w:t>
      </w:r>
      <w:r>
        <w:rPr>
          <w:rFonts w:ascii="Times New Roman" w:hAnsi="Times New Roman" w:cs="Times New Roman"/>
          <w:b/>
          <w:bCs/>
          <w:color w:val="000000"/>
          <w:sz w:val="24"/>
          <w:szCs w:val="24"/>
          <w:lang w:bidi="ar-SA"/>
        </w:rPr>
        <w:t>[</w:t>
      </w:r>
      <w:r w:rsidR="0044042B">
        <w:rPr>
          <w:rFonts w:ascii="Times New Roman" w:hAnsi="Times New Roman" w:cs="Times New Roman"/>
          <w:b/>
          <w:bCs/>
          <w:color w:val="000000"/>
          <w:sz w:val="24"/>
          <w:szCs w:val="24"/>
          <w:lang w:bidi="ar-SA"/>
        </w:rPr>
        <w:t>30</w:t>
      </w:r>
      <w:r>
        <w:rPr>
          <w:rFonts w:ascii="Times New Roman" w:hAnsi="Times New Roman" w:cs="Times New Roman"/>
          <w:b/>
          <w:bCs/>
          <w:color w:val="000000"/>
          <w:sz w:val="24"/>
          <w:szCs w:val="24"/>
          <w:lang w:bidi="ar-SA"/>
        </w:rPr>
        <w:t>, 3</w:t>
      </w:r>
      <w:r w:rsidR="0044042B">
        <w:rPr>
          <w:rFonts w:ascii="Times New Roman" w:hAnsi="Times New Roman" w:cs="Times New Roman"/>
          <w:b/>
          <w:bCs/>
          <w:color w:val="000000"/>
          <w:sz w:val="24"/>
          <w:szCs w:val="24"/>
          <w:lang w:bidi="ar-SA"/>
        </w:rPr>
        <w:t>1</w:t>
      </w:r>
      <w:r>
        <w:rPr>
          <w:rFonts w:ascii="Times New Roman" w:hAnsi="Times New Roman" w:cs="Times New Roman"/>
          <w:b/>
          <w:bCs/>
          <w:color w:val="000000"/>
          <w:sz w:val="24"/>
          <w:szCs w:val="24"/>
          <w:lang w:bidi="ar-SA"/>
        </w:rPr>
        <w:t>]</w:t>
      </w:r>
      <w:r>
        <w:rPr>
          <w:rFonts w:ascii="Times New Roman" w:hAnsi="Times New Roman" w:cs="Times New Roman"/>
          <w:color w:val="000000"/>
          <w:sz w:val="24"/>
          <w:szCs w:val="24"/>
          <w:lang w:bidi="ar-SA"/>
        </w:rPr>
        <w:t>. The spectroscopic evidence obtained in this study strongly supports the predominance of octahedral species under the extraction conditions employed.</w:t>
      </w:r>
    </w:p>
    <w:p w14:paraId="2CA7FCB9" w14:textId="77777777" w:rsidR="00B544FD" w:rsidRDefault="00B544FD">
      <w:pPr>
        <w:ind w:firstLine="851"/>
        <w:jc w:val="both"/>
        <w:rPr>
          <w:rFonts w:ascii="Times New Roman" w:hAnsi="Times New Roman" w:cs="Times New Roman"/>
          <w:color w:val="000000"/>
          <w:sz w:val="24"/>
          <w:szCs w:val="24"/>
          <w:lang w:bidi="ar-SA"/>
        </w:rPr>
      </w:pPr>
    </w:p>
    <w:p w14:paraId="43971BC0" w14:textId="77777777" w:rsidR="00B544FD" w:rsidRDefault="00B544FD">
      <w:pPr>
        <w:ind w:firstLine="851"/>
        <w:jc w:val="both"/>
        <w:rPr>
          <w:rFonts w:ascii="Times New Roman" w:hAnsi="Times New Roman" w:cs="Times New Roman"/>
          <w:color w:val="000000"/>
          <w:sz w:val="24"/>
          <w:szCs w:val="24"/>
          <w:lang w:bidi="ar-SA"/>
        </w:rPr>
      </w:pPr>
    </w:p>
    <w:p w14:paraId="171066B9" w14:textId="77777777" w:rsidR="00B544FD" w:rsidRDefault="00B544FD">
      <w:pPr>
        <w:ind w:firstLine="851"/>
        <w:jc w:val="both"/>
        <w:rPr>
          <w:rFonts w:ascii="Times New Roman" w:hAnsi="Times New Roman" w:cs="Times New Roman"/>
          <w:color w:val="000000"/>
          <w:sz w:val="24"/>
          <w:szCs w:val="24"/>
          <w:lang w:bidi="ar-SA"/>
        </w:rPr>
      </w:pPr>
    </w:p>
    <w:p w14:paraId="6B41961B" w14:textId="77777777" w:rsidR="00B544FD" w:rsidRDefault="00B544FD">
      <w:pPr>
        <w:ind w:firstLine="851"/>
        <w:jc w:val="both"/>
        <w:rPr>
          <w:rFonts w:ascii="Times New Roman" w:hAnsi="Times New Roman" w:cs="Times New Roman"/>
          <w:color w:val="000000"/>
          <w:sz w:val="24"/>
          <w:szCs w:val="24"/>
          <w:lang w:bidi="ar-SA"/>
        </w:rPr>
      </w:pPr>
    </w:p>
    <w:p w14:paraId="4E286DEA" w14:textId="77777777" w:rsidR="00B544FD" w:rsidRDefault="00B544FD">
      <w:pPr>
        <w:spacing w:before="100" w:beforeAutospacing="1" w:after="100" w:afterAutospacing="1" w:line="240" w:lineRule="auto"/>
        <w:ind w:firstLine="720"/>
        <w:jc w:val="center"/>
        <w:rPr>
          <w:rFonts w:ascii="Times New Roman" w:eastAsia="Times New Roman" w:hAnsi="Times New Roman" w:cs="Times New Roman"/>
          <w:i/>
          <w:iCs/>
          <w:color w:val="000000"/>
          <w:sz w:val="20"/>
          <w:szCs w:val="20"/>
          <w:lang w:val="en-US" w:bidi="ar-SA"/>
        </w:rPr>
      </w:pPr>
      <w:r>
        <w:rPr>
          <w:rFonts w:ascii="Times New Roman" w:eastAsia="Times New Roman" w:hAnsi="Times New Roman" w:cs="Times New Roman"/>
          <w:i/>
          <w:iCs/>
          <w:color w:val="000000"/>
          <w:sz w:val="20"/>
          <w:szCs w:val="20"/>
          <w:lang w:val="en-US" w:bidi="ar-SA"/>
        </w:rPr>
        <w:t>Table 3: Maximum wavelengths of nickel (II) complexes.</w:t>
      </w:r>
    </w:p>
    <w:tbl>
      <w:tblPr>
        <w:tblW w:w="0" w:type="auto"/>
        <w:tblInd w:w="0" w:type="dxa"/>
        <w:tblBorders>
          <w:top w:val="single" w:sz="4" w:space="0" w:color="auto"/>
          <w:bottom w:val="single" w:sz="4" w:space="0" w:color="auto"/>
          <w:insideH w:val="single" w:sz="4" w:space="0" w:color="auto"/>
        </w:tblBorders>
        <w:tblLook w:val="0000" w:firstRow="0" w:lastRow="0" w:firstColumn="0" w:lastColumn="0" w:noHBand="0" w:noVBand="0"/>
      </w:tblPr>
      <w:tblGrid>
        <w:gridCol w:w="4398"/>
        <w:gridCol w:w="4333"/>
      </w:tblGrid>
      <w:tr w:rsidR="00B544FD" w14:paraId="1879C9A0" w14:textId="77777777">
        <w:tc>
          <w:tcPr>
            <w:tcW w:w="4492" w:type="dxa"/>
          </w:tcPr>
          <w:p w14:paraId="000D7743"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Solvents</w:t>
            </w:r>
          </w:p>
        </w:tc>
        <w:tc>
          <w:tcPr>
            <w:tcW w:w="4455" w:type="dxa"/>
          </w:tcPr>
          <w:p w14:paraId="1FA5033C"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Wavelength (nm),</w:t>
            </w:r>
          </w:p>
        </w:tc>
      </w:tr>
      <w:tr w:rsidR="00B544FD" w14:paraId="7023C0B7" w14:textId="77777777">
        <w:tc>
          <w:tcPr>
            <w:tcW w:w="4492" w:type="dxa"/>
          </w:tcPr>
          <w:p w14:paraId="1338C26A"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Chloroform</w:t>
            </w:r>
          </w:p>
        </w:tc>
        <w:tc>
          <w:tcPr>
            <w:tcW w:w="4455" w:type="dxa"/>
          </w:tcPr>
          <w:p w14:paraId="03871455"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750</w:t>
            </w:r>
          </w:p>
        </w:tc>
      </w:tr>
      <w:tr w:rsidR="00B544FD" w14:paraId="76FA6AB4" w14:textId="77777777">
        <w:tc>
          <w:tcPr>
            <w:tcW w:w="4492" w:type="dxa"/>
          </w:tcPr>
          <w:p w14:paraId="26A52365"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Toluene</w:t>
            </w:r>
          </w:p>
        </w:tc>
        <w:tc>
          <w:tcPr>
            <w:tcW w:w="4455" w:type="dxa"/>
          </w:tcPr>
          <w:p w14:paraId="284B975C"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753</w:t>
            </w:r>
          </w:p>
        </w:tc>
      </w:tr>
      <w:tr w:rsidR="00B544FD" w14:paraId="342425EF" w14:textId="77777777">
        <w:tc>
          <w:tcPr>
            <w:tcW w:w="4492" w:type="dxa"/>
          </w:tcPr>
          <w:p w14:paraId="7FDC63C3"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Dichloromethane</w:t>
            </w:r>
          </w:p>
        </w:tc>
        <w:tc>
          <w:tcPr>
            <w:tcW w:w="4455" w:type="dxa"/>
          </w:tcPr>
          <w:p w14:paraId="44EC3117"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751</w:t>
            </w:r>
          </w:p>
        </w:tc>
      </w:tr>
      <w:tr w:rsidR="00B544FD" w14:paraId="5B740C0C" w14:textId="77777777">
        <w:tc>
          <w:tcPr>
            <w:tcW w:w="4492" w:type="dxa"/>
          </w:tcPr>
          <w:p w14:paraId="69D00ED9"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Carbon Tetrachloride</w:t>
            </w:r>
          </w:p>
        </w:tc>
        <w:tc>
          <w:tcPr>
            <w:tcW w:w="4455" w:type="dxa"/>
          </w:tcPr>
          <w:p w14:paraId="6DD6908B"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749</w:t>
            </w:r>
          </w:p>
        </w:tc>
      </w:tr>
      <w:tr w:rsidR="00B544FD" w14:paraId="1F208C2B" w14:textId="77777777">
        <w:tc>
          <w:tcPr>
            <w:tcW w:w="4492" w:type="dxa"/>
          </w:tcPr>
          <w:p w14:paraId="0DFF0367"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Cyclohexane</w:t>
            </w:r>
          </w:p>
        </w:tc>
        <w:tc>
          <w:tcPr>
            <w:tcW w:w="4455" w:type="dxa"/>
          </w:tcPr>
          <w:p w14:paraId="0B322E22"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745</w:t>
            </w:r>
          </w:p>
        </w:tc>
      </w:tr>
      <w:tr w:rsidR="00B544FD" w14:paraId="101CA0BA" w14:textId="77777777">
        <w:tc>
          <w:tcPr>
            <w:tcW w:w="4492" w:type="dxa"/>
          </w:tcPr>
          <w:p w14:paraId="3EAE21D7"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MIBK</w:t>
            </w:r>
          </w:p>
        </w:tc>
        <w:tc>
          <w:tcPr>
            <w:tcW w:w="4455" w:type="dxa"/>
          </w:tcPr>
          <w:p w14:paraId="3955153D"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743</w:t>
            </w:r>
          </w:p>
        </w:tc>
      </w:tr>
      <w:tr w:rsidR="00B544FD" w14:paraId="5BCF8B43" w14:textId="77777777">
        <w:tc>
          <w:tcPr>
            <w:tcW w:w="4492" w:type="dxa"/>
          </w:tcPr>
          <w:p w14:paraId="354EB1B3"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1-octanol</w:t>
            </w:r>
          </w:p>
        </w:tc>
        <w:tc>
          <w:tcPr>
            <w:tcW w:w="4455" w:type="dxa"/>
          </w:tcPr>
          <w:p w14:paraId="2703E75C"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r>
              <w:rPr>
                <w:rFonts w:ascii="Times New Roman" w:eastAsia="Times New Roman" w:hAnsi="Times New Roman" w:cs="Times New Roman"/>
                <w:b/>
                <w:bCs/>
                <w:color w:val="000000"/>
                <w:sz w:val="24"/>
                <w:szCs w:val="24"/>
                <w:highlight w:val="yellow"/>
                <w:lang w:val="en-US" w:bidi="ar-SA"/>
              </w:rPr>
              <w:t>745</w:t>
            </w:r>
          </w:p>
        </w:tc>
      </w:tr>
    </w:tbl>
    <w:p w14:paraId="441E772F"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b/>
          <w:bCs/>
          <w:color w:val="000000"/>
          <w:sz w:val="24"/>
          <w:szCs w:val="24"/>
          <w:highlight w:val="yellow"/>
          <w:lang w:val="en-US" w:bidi="ar-SA"/>
        </w:rPr>
      </w:pPr>
    </w:p>
    <w:p w14:paraId="5FCF2ADA"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color w:val="000000"/>
          <w:sz w:val="24"/>
          <w:szCs w:val="24"/>
          <w:lang w:val="en-US" w:bidi="ar-SA"/>
        </w:rPr>
        <w:t>Furthermore, Scheme 2 illustrates the proposed structure for the nickel (II) complexes, showcased as the NiL</w:t>
      </w:r>
      <w:r>
        <w:rPr>
          <w:rFonts w:ascii="Times New Roman" w:eastAsia="Times New Roman" w:hAnsi="Times New Roman" w:cs="Times New Roman"/>
          <w:color w:val="000000"/>
          <w:sz w:val="24"/>
          <w:szCs w:val="24"/>
          <w:vertAlign w:val="subscript"/>
          <w:lang w:val="en-US" w:bidi="ar-SA"/>
        </w:rPr>
        <w:t>2</w:t>
      </w:r>
      <w:r>
        <w:rPr>
          <w:rFonts w:ascii="Times New Roman" w:eastAsia="Times New Roman" w:hAnsi="Times New Roman" w:cs="Times New Roman"/>
          <w:color w:val="000000"/>
          <w:sz w:val="24"/>
          <w:szCs w:val="24"/>
          <w:lang w:val="en-US" w:bidi="ar-SA"/>
        </w:rPr>
        <w:t xml:space="preserve"> complex. </w:t>
      </w:r>
    </w:p>
    <w:p w14:paraId="29ABD2CD" w14:textId="77777777" w:rsidR="00B544FD" w:rsidRDefault="00B544FD">
      <w:pPr>
        <w:spacing w:before="100" w:beforeAutospacing="1" w:after="100" w:afterAutospacing="1" w:line="240" w:lineRule="auto"/>
        <w:ind w:firstLine="720"/>
        <w:jc w:val="center"/>
        <w:rPr>
          <w:rFonts w:ascii="Times New Roman" w:eastAsia="Times New Roman" w:hAnsi="Times New Roman" w:cs="Times New Roman"/>
          <w:color w:val="000000"/>
          <w:sz w:val="24"/>
          <w:szCs w:val="24"/>
          <w:lang w:val="en-US" w:bidi="ar-SA"/>
        </w:rPr>
      </w:pPr>
      <w:r>
        <w:rPr>
          <w:rFonts w:ascii="Times New Roman" w:hAnsi="Times New Roman" w:cs="Times New Roman"/>
          <w:color w:val="000000"/>
        </w:rPr>
        <w:object w:dxaOrig="4143" w:dyaOrig="1643" w14:anchorId="2693EC1A">
          <v:shape id="_x0000_i1061" type="#_x0000_t75" style="width:215.25pt;height:86.25pt;mso-position-horizontal-relative:page;mso-position-vertical-relative:page" o:ole="">
            <v:imagedata r:id="rId68" o:title=""/>
          </v:shape>
          <o:OLEObject Type="Embed" ProgID="ChemDraw.Document.6.0" ShapeID="_x0000_i1061" DrawAspect="Content" ObjectID="_1847254633" r:id="rId69"/>
        </w:object>
      </w:r>
    </w:p>
    <w:p w14:paraId="3FC2C1A3" w14:textId="77777777" w:rsidR="00B544FD" w:rsidRDefault="00B544FD">
      <w:pPr>
        <w:spacing w:before="100" w:beforeAutospacing="1" w:after="100" w:afterAutospacing="1" w:line="240" w:lineRule="auto"/>
        <w:ind w:firstLine="720"/>
        <w:jc w:val="center"/>
        <w:rPr>
          <w:rFonts w:ascii="Times New Roman" w:eastAsia="Times New Roman" w:hAnsi="Times New Roman" w:cs="Times New Roman"/>
          <w:i/>
          <w:iCs/>
          <w:color w:val="000000"/>
          <w:sz w:val="20"/>
          <w:szCs w:val="20"/>
          <w:lang w:val="en-US" w:bidi="ar-SA"/>
        </w:rPr>
      </w:pPr>
      <w:r>
        <w:rPr>
          <w:rFonts w:ascii="Times New Roman" w:eastAsia="Times New Roman" w:hAnsi="Times New Roman" w:cs="Times New Roman"/>
          <w:i/>
          <w:iCs/>
          <w:color w:val="000000"/>
          <w:sz w:val="20"/>
          <w:szCs w:val="20"/>
          <w:lang w:val="en-US" w:bidi="ar-SA"/>
        </w:rPr>
        <w:t>Scheme 2: Structure of the NiL</w:t>
      </w:r>
      <w:r>
        <w:rPr>
          <w:rFonts w:ascii="Times New Roman" w:eastAsia="Times New Roman" w:hAnsi="Times New Roman" w:cs="Times New Roman"/>
          <w:i/>
          <w:iCs/>
          <w:color w:val="000000"/>
          <w:sz w:val="20"/>
          <w:szCs w:val="20"/>
          <w:vertAlign w:val="subscript"/>
          <w:lang w:val="en-US" w:bidi="ar-SA"/>
        </w:rPr>
        <w:t>2</w:t>
      </w:r>
      <w:r>
        <w:rPr>
          <w:rFonts w:ascii="Times New Roman" w:eastAsia="Times New Roman" w:hAnsi="Times New Roman" w:cs="Times New Roman"/>
          <w:i/>
          <w:iCs/>
          <w:color w:val="000000"/>
          <w:sz w:val="20"/>
          <w:szCs w:val="20"/>
          <w:lang w:val="en-US" w:bidi="ar-SA"/>
        </w:rPr>
        <w:t xml:space="preserve"> complex.</w:t>
      </w:r>
      <w:r>
        <w:rPr>
          <w:rFonts w:ascii="Times New Roman" w:hAnsi="Times New Roman" w:cs="Times New Roman"/>
          <w:i/>
          <w:iCs/>
          <w:sz w:val="18"/>
          <w:szCs w:val="18"/>
        </w:rPr>
        <w:t xml:space="preserve"> </w:t>
      </w:r>
      <w:r>
        <w:rPr>
          <w:rFonts w:ascii="Times New Roman" w:eastAsia="Times New Roman" w:hAnsi="Times New Roman" w:cs="Times New Roman"/>
          <w:i/>
          <w:iCs/>
          <w:color w:val="000000"/>
          <w:sz w:val="20"/>
          <w:szCs w:val="20"/>
          <w:lang w:val="en-US" w:bidi="ar-SA"/>
        </w:rPr>
        <w:t>(R=C</w:t>
      </w:r>
      <w:r>
        <w:rPr>
          <w:rFonts w:ascii="Times New Roman" w:eastAsia="Times New Roman" w:hAnsi="Times New Roman" w:cs="Times New Roman"/>
          <w:i/>
          <w:iCs/>
          <w:color w:val="000000"/>
          <w:sz w:val="20"/>
          <w:szCs w:val="20"/>
          <w:vertAlign w:val="subscript"/>
          <w:lang w:val="en-US" w:bidi="ar-SA"/>
        </w:rPr>
        <w:t>8</w:t>
      </w:r>
      <w:r>
        <w:rPr>
          <w:rFonts w:ascii="Times New Roman" w:eastAsia="Times New Roman" w:hAnsi="Times New Roman" w:cs="Times New Roman"/>
          <w:i/>
          <w:iCs/>
          <w:color w:val="000000"/>
          <w:sz w:val="20"/>
          <w:szCs w:val="20"/>
          <w:lang w:val="en-US" w:bidi="ar-SA"/>
        </w:rPr>
        <w:t>H</w:t>
      </w:r>
      <w:r>
        <w:rPr>
          <w:rFonts w:ascii="Times New Roman" w:eastAsia="Times New Roman" w:hAnsi="Times New Roman" w:cs="Times New Roman"/>
          <w:i/>
          <w:iCs/>
          <w:color w:val="000000"/>
          <w:sz w:val="20"/>
          <w:szCs w:val="20"/>
          <w:vertAlign w:val="subscript"/>
          <w:lang w:val="en-US" w:bidi="ar-SA"/>
        </w:rPr>
        <w:t>17</w:t>
      </w:r>
      <w:r>
        <w:rPr>
          <w:rFonts w:ascii="Times New Roman" w:eastAsia="Times New Roman" w:hAnsi="Times New Roman" w:cs="Times New Roman"/>
          <w:i/>
          <w:iCs/>
          <w:color w:val="000000"/>
          <w:sz w:val="20"/>
          <w:szCs w:val="20"/>
          <w:lang w:val="en-US" w:bidi="ar-SA"/>
        </w:rPr>
        <w:t>)</w:t>
      </w:r>
    </w:p>
    <w:p w14:paraId="2D8B68C7" w14:textId="77777777" w:rsidR="00B544FD" w:rsidRDefault="00B544FD">
      <w:pPr>
        <w:ind w:firstLine="720"/>
        <w:jc w:val="both"/>
        <w:rPr>
          <w:rFonts w:ascii="Times New Roman" w:hAnsi="Times New Roman" w:cs="Times New Roman"/>
          <w:color w:val="000000"/>
          <w:sz w:val="24"/>
          <w:szCs w:val="24"/>
          <w:lang w:val="en-US" w:bidi="ar-SA"/>
        </w:rPr>
      </w:pPr>
      <w:r>
        <w:rPr>
          <w:rFonts w:ascii="Times New Roman" w:hAnsi="Times New Roman" w:cs="Times New Roman"/>
          <w:color w:val="000000"/>
          <w:sz w:val="24"/>
          <w:szCs w:val="24"/>
          <w:lang w:val="en-US" w:bidi="ar-SA"/>
        </w:rPr>
        <w:t xml:space="preserve">The electronic spectra recorded for the organic phase during the extraction of </w:t>
      </w:r>
      <w:r w:rsidR="00126151">
        <w:rPr>
          <w:rFonts w:ascii="Times New Roman" w:hAnsi="Times New Roman" w:cs="Times New Roman"/>
          <w:color w:val="000000"/>
          <w:sz w:val="24"/>
          <w:szCs w:val="24"/>
          <w:lang w:val="en-US" w:bidi="ar-SA"/>
        </w:rPr>
        <w:t>Ni (</w:t>
      </w:r>
      <w:r>
        <w:rPr>
          <w:rFonts w:ascii="Times New Roman" w:hAnsi="Times New Roman" w:cs="Times New Roman"/>
          <w:color w:val="000000"/>
          <w:sz w:val="24"/>
          <w:szCs w:val="24"/>
          <w:lang w:val="en-US" w:bidi="ar-SA"/>
        </w:rPr>
        <w:t xml:space="preserve">II) by </w:t>
      </w:r>
      <w:r w:rsidR="00730FC6" w:rsidRPr="00B85055">
        <w:rPr>
          <w:color w:val="000000"/>
          <w:highlight w:val="yellow"/>
          <w:lang w:bidi="ar-SA"/>
        </w:rPr>
        <w:t>Di(2-ethylhexyl) phosphoric acid</w:t>
      </w:r>
      <w:r>
        <w:rPr>
          <w:rFonts w:ascii="Times New Roman" w:hAnsi="Times New Roman" w:cs="Times New Roman"/>
          <w:color w:val="000000"/>
          <w:sz w:val="24"/>
          <w:szCs w:val="24"/>
          <w:lang w:val="en-US" w:bidi="ar-SA"/>
        </w:rPr>
        <w:t xml:space="preserve"> in the relatively more polar solvents namely 1-octanol and methyl isobutyl ketone (MIBK) provide compelling and direct evidence regarding the stoichiometry of the organometallic species generated in these media. Unlike less polar diluents, these solvents create a distinct solvation environment that enhances the clarity and resolution of the observed spectral features, allowing for unambiguous interpretation of the complex species present.</w:t>
      </w:r>
    </w:p>
    <w:p w14:paraId="583F569C" w14:textId="77777777" w:rsidR="00B544FD" w:rsidRDefault="00B544FD">
      <w:pPr>
        <w:ind w:firstLine="720"/>
        <w:jc w:val="both"/>
        <w:rPr>
          <w:rFonts w:ascii="Times New Roman" w:hAnsi="Times New Roman" w:cs="Times New Roman"/>
          <w:color w:val="000000"/>
          <w:sz w:val="24"/>
          <w:szCs w:val="24"/>
          <w:lang w:val="en-US" w:bidi="ar-SA"/>
        </w:rPr>
      </w:pPr>
      <w:r>
        <w:rPr>
          <w:rFonts w:ascii="Times New Roman" w:hAnsi="Times New Roman" w:cs="Times New Roman"/>
          <w:color w:val="000000"/>
          <w:sz w:val="24"/>
          <w:szCs w:val="24"/>
          <w:lang w:val="en-US" w:bidi="ar-SA"/>
        </w:rPr>
        <w:t xml:space="preserve">The spectra display well-defined absorption bands whose wavelengths and relative intensities are characteristic of the ligand-field interactions surrounding the </w:t>
      </w:r>
      <w:r w:rsidR="00126151">
        <w:rPr>
          <w:rFonts w:ascii="Times New Roman" w:hAnsi="Times New Roman" w:cs="Times New Roman"/>
          <w:color w:val="000000"/>
          <w:sz w:val="24"/>
          <w:szCs w:val="24"/>
          <w:lang w:val="en-US" w:bidi="ar-SA"/>
        </w:rPr>
        <w:t>Ni (</w:t>
      </w:r>
      <w:r>
        <w:rPr>
          <w:rFonts w:ascii="Times New Roman" w:hAnsi="Times New Roman" w:cs="Times New Roman"/>
          <w:color w:val="000000"/>
          <w:sz w:val="24"/>
          <w:szCs w:val="24"/>
          <w:lang w:val="en-US" w:bidi="ar-SA"/>
        </w:rPr>
        <w:t xml:space="preserve">II) center. These spectral patterns, including the positions of the d–d transition bands and their intensity ratios, align with expectations for a complex containing two deprotonated extractant ligands and two neutral </w:t>
      </w:r>
      <w:r w:rsidR="00730FC6" w:rsidRPr="00B85055">
        <w:rPr>
          <w:color w:val="000000"/>
          <w:highlight w:val="yellow"/>
          <w:lang w:bidi="ar-SA"/>
        </w:rPr>
        <w:t>Di(2-ethylhexyl) phosphoric acid</w:t>
      </w:r>
      <w:r>
        <w:rPr>
          <w:rFonts w:ascii="Times New Roman" w:hAnsi="Times New Roman" w:cs="Times New Roman"/>
          <w:color w:val="000000"/>
          <w:sz w:val="24"/>
          <w:szCs w:val="24"/>
          <w:lang w:val="en-US" w:bidi="ar-SA"/>
        </w:rPr>
        <w:t xml:space="preserve"> molecules. Consequently, the spectral signatures provide strong confirmation of the formation of the </w:t>
      </w:r>
      <w:r>
        <w:rPr>
          <w:rFonts w:ascii="Times New Roman" w:hAnsi="Times New Roman" w:cs="Times New Roman"/>
          <w:b/>
          <w:bCs/>
          <w:color w:val="000000"/>
          <w:sz w:val="24"/>
          <w:szCs w:val="24"/>
          <w:lang w:val="en-US" w:bidi="ar-SA"/>
        </w:rPr>
        <w:t>NiL₂·2HL</w:t>
      </w:r>
      <w:r>
        <w:rPr>
          <w:rFonts w:ascii="Times New Roman" w:hAnsi="Times New Roman" w:cs="Times New Roman"/>
          <w:color w:val="000000"/>
          <w:sz w:val="24"/>
          <w:szCs w:val="24"/>
          <w:lang w:val="en-US" w:bidi="ar-SA"/>
        </w:rPr>
        <w:t xml:space="preserve"> species in the organic phase.</w:t>
      </w:r>
    </w:p>
    <w:p w14:paraId="10EA80FB" w14:textId="77777777" w:rsidR="00B544FD" w:rsidRDefault="00B544FD">
      <w:pPr>
        <w:ind w:firstLine="720"/>
        <w:jc w:val="both"/>
        <w:rPr>
          <w:rFonts w:ascii="Times New Roman" w:hAnsi="Times New Roman" w:cs="Times New Roman"/>
          <w:color w:val="000000"/>
          <w:sz w:val="24"/>
          <w:szCs w:val="24"/>
          <w:lang w:val="en-US" w:bidi="ar-SA"/>
        </w:rPr>
      </w:pPr>
      <w:r>
        <w:rPr>
          <w:rFonts w:ascii="Times New Roman" w:hAnsi="Times New Roman" w:cs="Times New Roman"/>
          <w:color w:val="000000"/>
          <w:sz w:val="24"/>
          <w:szCs w:val="24"/>
          <w:lang w:val="en-US" w:bidi="ar-SA"/>
        </w:rPr>
        <w:t xml:space="preserve">Furthermore, the behavior observed in 1-octanol and MIBK underscores the important role of solvent polarity in stabilizing the extracted nickel complex. The enhanced solvation afforded by these solvents likely supports the organization of the mixed-ligand cluster and helps preserve its geometry, thereby yielding well-resolved electronic transitions. The precise locations of the absorbance maxima thus serve as </w:t>
      </w:r>
      <w:r>
        <w:rPr>
          <w:rFonts w:ascii="Times New Roman" w:hAnsi="Times New Roman" w:cs="Times New Roman"/>
          <w:color w:val="000000"/>
          <w:sz w:val="24"/>
          <w:szCs w:val="24"/>
          <w:lang w:val="en-US" w:bidi="ar-SA"/>
        </w:rPr>
        <w:lastRenderedPageBreak/>
        <w:t>diagnostic markers for the coordination environment, revealing valuable information about the structure, bonding interactions, and overall electronic configuration of the Ni–D2EHPA complex under the extraction conditions employed.</w:t>
      </w:r>
    </w:p>
    <w:p w14:paraId="0F62DCA7" w14:textId="77777777" w:rsidR="00B544FD" w:rsidRDefault="00B544FD">
      <w:pPr>
        <w:ind w:firstLine="720"/>
        <w:jc w:val="both"/>
        <w:rPr>
          <w:color w:val="000000"/>
          <w:lang w:bidi="ar-SA"/>
        </w:rPr>
      </w:pPr>
      <w:r>
        <w:rPr>
          <w:rFonts w:ascii="Times New Roman" w:eastAsia="Times New Roman" w:hAnsi="Times New Roman" w:cs="Times New Roman"/>
          <w:color w:val="000000"/>
          <w:sz w:val="24"/>
          <w:szCs w:val="24"/>
          <w:lang w:val="en-US" w:bidi="ar-SA"/>
        </w:rPr>
        <w:t>Figure</w:t>
      </w:r>
      <w:r>
        <w:rPr>
          <w:rFonts w:ascii="Times New Roman" w:hAnsi="Times New Roman" w:cs="Times New Roman"/>
          <w:color w:val="000000"/>
          <w:sz w:val="24"/>
          <w:szCs w:val="24"/>
          <w:lang w:bidi="ar-SA"/>
        </w:rPr>
        <w:t xml:space="preserve"> 6 displays the electronic absorption spectra of the Ni (II)–</w:t>
      </w:r>
      <w:r w:rsidR="00730FC6" w:rsidRPr="00730FC6">
        <w:rPr>
          <w:color w:val="000000"/>
          <w:highlight w:val="yellow"/>
          <w:lang w:bidi="ar-SA"/>
        </w:rPr>
        <w:t xml:space="preserve"> </w:t>
      </w:r>
      <w:r w:rsidR="00730FC6" w:rsidRPr="00B85055">
        <w:rPr>
          <w:color w:val="000000"/>
          <w:highlight w:val="yellow"/>
          <w:lang w:bidi="ar-SA"/>
        </w:rPr>
        <w:t xml:space="preserve">Di(2-ethylhexyl) phosphoric acid </w:t>
      </w:r>
      <w:r>
        <w:rPr>
          <w:rFonts w:ascii="Times New Roman" w:hAnsi="Times New Roman" w:cs="Times New Roman"/>
          <w:color w:val="000000"/>
          <w:sz w:val="24"/>
          <w:szCs w:val="24"/>
          <w:lang w:bidi="ar-SA"/>
        </w:rPr>
        <w:t xml:space="preserve">complexes formed in polar solvents, showing transitions characteristic of an octahedral ligand-field environment. The assignment of an octahedral geometry is supported by both the energy and splitting patterns of the observed bands, which align with the typical spectral </w:t>
      </w:r>
      <w:r w:rsidR="00126151">
        <w:rPr>
          <w:rFonts w:ascii="Times New Roman" w:hAnsi="Times New Roman" w:cs="Times New Roman"/>
          <w:color w:val="000000"/>
          <w:sz w:val="24"/>
          <w:szCs w:val="24"/>
          <w:lang w:bidi="ar-SA"/>
        </w:rPr>
        <w:t>behaviour</w:t>
      </w:r>
      <w:r>
        <w:rPr>
          <w:rFonts w:ascii="Times New Roman" w:hAnsi="Times New Roman" w:cs="Times New Roman"/>
          <w:color w:val="000000"/>
          <w:sz w:val="24"/>
          <w:szCs w:val="24"/>
          <w:lang w:bidi="ar-SA"/>
        </w:rPr>
        <w:t xml:space="preserve"> of d⁸ ions such as </w:t>
      </w:r>
      <w:r w:rsidR="00126151">
        <w:rPr>
          <w:rFonts w:ascii="Times New Roman" w:hAnsi="Times New Roman" w:cs="Times New Roman"/>
          <w:color w:val="000000"/>
          <w:sz w:val="24"/>
          <w:szCs w:val="24"/>
          <w:lang w:bidi="ar-SA"/>
        </w:rPr>
        <w:t>Ni (</w:t>
      </w:r>
      <w:r>
        <w:rPr>
          <w:rFonts w:ascii="Times New Roman" w:hAnsi="Times New Roman" w:cs="Times New Roman"/>
          <w:color w:val="000000"/>
          <w:sz w:val="24"/>
          <w:szCs w:val="24"/>
          <w:lang w:bidi="ar-SA"/>
        </w:rPr>
        <w:t xml:space="preserve">II). Correspondingly, Table </w:t>
      </w:r>
      <w:r w:rsidRPr="00C955D7">
        <w:rPr>
          <w:rFonts w:ascii="Times New Roman" w:hAnsi="Times New Roman" w:cs="Times New Roman"/>
          <w:color w:val="000000"/>
          <w:sz w:val="24"/>
          <w:szCs w:val="24"/>
          <w:lang w:val="en-US" w:bidi="ar-SA"/>
        </w:rPr>
        <w:t>3</w:t>
      </w:r>
      <w:r>
        <w:rPr>
          <w:rFonts w:ascii="Times New Roman" w:hAnsi="Times New Roman" w:cs="Times New Roman"/>
          <w:color w:val="000000"/>
          <w:sz w:val="24"/>
          <w:szCs w:val="24"/>
          <w:lang w:bidi="ar-SA"/>
        </w:rPr>
        <w:t xml:space="preserve"> lists the wavelengths of the dominant absorption maxima for the complexes in each solvent. These values are consistent with previously reported data [</w:t>
      </w:r>
      <w:r w:rsidR="0044042B">
        <w:rPr>
          <w:rFonts w:ascii="Times New Roman" w:hAnsi="Times New Roman" w:cs="Times New Roman"/>
          <w:color w:val="000000"/>
          <w:sz w:val="24"/>
          <w:szCs w:val="24"/>
          <w:lang w:bidi="ar-SA"/>
        </w:rPr>
        <w:t>30</w:t>
      </w:r>
      <w:r>
        <w:rPr>
          <w:rFonts w:ascii="Times New Roman" w:hAnsi="Times New Roman" w:cs="Times New Roman"/>
          <w:color w:val="000000"/>
          <w:sz w:val="24"/>
          <w:szCs w:val="24"/>
          <w:lang w:bidi="ar-SA"/>
        </w:rPr>
        <w:t>,3</w:t>
      </w:r>
      <w:r w:rsidR="0044042B">
        <w:rPr>
          <w:rFonts w:ascii="Times New Roman" w:hAnsi="Times New Roman" w:cs="Times New Roman"/>
          <w:color w:val="000000"/>
          <w:sz w:val="24"/>
          <w:szCs w:val="24"/>
          <w:lang w:bidi="ar-SA"/>
        </w:rPr>
        <w:t>1</w:t>
      </w:r>
      <w:r>
        <w:rPr>
          <w:rFonts w:ascii="Times New Roman" w:hAnsi="Times New Roman" w:cs="Times New Roman"/>
          <w:color w:val="000000"/>
          <w:sz w:val="24"/>
          <w:szCs w:val="24"/>
          <w:lang w:bidi="ar-SA"/>
        </w:rPr>
        <w:t xml:space="preserve">], confirming that the octahedral configuration of the </w:t>
      </w:r>
      <w:r w:rsidR="00126151">
        <w:rPr>
          <w:rFonts w:ascii="Times New Roman" w:hAnsi="Times New Roman" w:cs="Times New Roman"/>
          <w:color w:val="000000"/>
          <w:sz w:val="24"/>
          <w:szCs w:val="24"/>
          <w:lang w:bidi="ar-SA"/>
        </w:rPr>
        <w:t>Ni (</w:t>
      </w:r>
      <w:r>
        <w:rPr>
          <w:rFonts w:ascii="Times New Roman" w:hAnsi="Times New Roman" w:cs="Times New Roman"/>
          <w:color w:val="000000"/>
          <w:sz w:val="24"/>
          <w:szCs w:val="24"/>
          <w:lang w:bidi="ar-SA"/>
        </w:rPr>
        <w:t>II)–</w:t>
      </w:r>
      <w:r w:rsidR="00730FC6" w:rsidRPr="00730FC6">
        <w:rPr>
          <w:color w:val="000000"/>
          <w:highlight w:val="yellow"/>
          <w:lang w:bidi="ar-SA"/>
        </w:rPr>
        <w:t xml:space="preserve"> </w:t>
      </w:r>
      <w:r w:rsidR="00730FC6" w:rsidRPr="00B85055">
        <w:rPr>
          <w:color w:val="000000"/>
          <w:highlight w:val="yellow"/>
          <w:lang w:bidi="ar-SA"/>
        </w:rPr>
        <w:t xml:space="preserve">Di(2-ethylhexyl) phosphoric acid </w:t>
      </w:r>
      <w:r>
        <w:rPr>
          <w:rFonts w:ascii="Times New Roman" w:hAnsi="Times New Roman" w:cs="Times New Roman"/>
          <w:color w:val="000000"/>
          <w:sz w:val="24"/>
          <w:szCs w:val="24"/>
          <w:lang w:bidi="ar-SA"/>
        </w:rPr>
        <w:t>complexes is preserved regardless of the diluent employed.</w:t>
      </w:r>
    </w:p>
    <w:p w14:paraId="5EB7A05F" w14:textId="77777777" w:rsidR="00B544FD" w:rsidRDefault="00B544FD">
      <w:pPr>
        <w:spacing w:before="100" w:beforeAutospacing="1" w:after="100" w:afterAutospacing="1" w:line="240" w:lineRule="auto"/>
        <w:ind w:firstLine="720"/>
        <w:jc w:val="both"/>
        <w:rPr>
          <w:rFonts w:ascii="Times New Roman" w:eastAsia="Times New Roman" w:hAnsi="Times New Roman" w:cs="Times New Roman"/>
          <w:color w:val="000000"/>
          <w:sz w:val="24"/>
          <w:szCs w:val="24"/>
          <w:lang w:val="en-US" w:bidi="ar-SA"/>
        </w:rPr>
      </w:pPr>
    </w:p>
    <w:p w14:paraId="45905512" w14:textId="7E258F38" w:rsidR="00B544FD" w:rsidRDefault="00E01951">
      <w:pPr>
        <w:spacing w:before="100" w:beforeAutospacing="1" w:after="100" w:afterAutospacing="1" w:line="240" w:lineRule="auto"/>
        <w:ind w:firstLine="567"/>
        <w:jc w:val="center"/>
        <w:rPr>
          <w:rFonts w:ascii="Times New Roman" w:eastAsia="Times New Roman" w:hAnsi="Times New Roman" w:cs="Times New Roman"/>
          <w:color w:val="000000"/>
          <w:sz w:val="24"/>
          <w:szCs w:val="24"/>
          <w:lang w:val="en-US" w:bidi="ar-SA"/>
        </w:rPr>
      </w:pPr>
      <w:r>
        <w:rPr>
          <w:rFonts w:ascii="Times New Roman" w:eastAsia="Times New Roman" w:hAnsi="Times New Roman" w:cs="Times New Roman"/>
          <w:noProof/>
          <w:color w:val="000000"/>
          <w:sz w:val="24"/>
          <w:szCs w:val="24"/>
          <w:lang w:val="en-US" w:bidi="ar-SA"/>
        </w:rPr>
        <w:drawing>
          <wp:inline distT="0" distB="0" distL="0" distR="0" wp14:anchorId="13D56868" wp14:editId="4CD0B7BC">
            <wp:extent cx="5314950" cy="4029075"/>
            <wp:effectExtent l="0" t="0" r="0" b="0"/>
            <wp:docPr id="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14950" cy="4029075"/>
                    </a:xfrm>
                    <a:prstGeom prst="rect">
                      <a:avLst/>
                    </a:prstGeom>
                    <a:noFill/>
                    <a:ln>
                      <a:noFill/>
                    </a:ln>
                  </pic:spPr>
                </pic:pic>
              </a:graphicData>
            </a:graphic>
          </wp:inline>
        </w:drawing>
      </w:r>
    </w:p>
    <w:p w14:paraId="4D1C7758" w14:textId="77777777" w:rsidR="00B544FD" w:rsidRDefault="00B544FD">
      <w:pPr>
        <w:spacing w:before="100" w:beforeAutospacing="1" w:after="100" w:afterAutospacing="1" w:line="240" w:lineRule="auto"/>
        <w:ind w:firstLine="720"/>
        <w:jc w:val="center"/>
        <w:rPr>
          <w:rFonts w:ascii="Times New Roman" w:eastAsia="Times New Roman" w:hAnsi="Times New Roman" w:cs="Times New Roman"/>
          <w:i/>
          <w:iCs/>
          <w:color w:val="000000"/>
          <w:sz w:val="20"/>
          <w:szCs w:val="20"/>
          <w:lang w:val="en-US" w:bidi="ar-SA"/>
        </w:rPr>
      </w:pPr>
      <w:r>
        <w:rPr>
          <w:rFonts w:ascii="Times New Roman" w:eastAsia="Times New Roman" w:hAnsi="Times New Roman" w:cs="Times New Roman"/>
          <w:i/>
          <w:iCs/>
          <w:color w:val="000000"/>
          <w:sz w:val="20"/>
          <w:szCs w:val="20"/>
          <w:lang w:val="en-US" w:bidi="ar-SA"/>
        </w:rPr>
        <w:t>Fig. 6: visible spectra of the organic phase during the extraction of nickel (II) by D2EHPA in different solvents</w:t>
      </w:r>
    </w:p>
    <w:p w14:paraId="581B42B5" w14:textId="77777777" w:rsidR="00B544FD" w:rsidRDefault="00B544FD">
      <w:pPr>
        <w:pStyle w:val="1"/>
        <w:spacing w:before="0"/>
        <w:ind w:firstLine="0"/>
        <w:jc w:val="both"/>
        <w:rPr>
          <w:szCs w:val="24"/>
          <w:highlight w:val="yellow"/>
          <w:lang w:bidi="ar-SA"/>
        </w:rPr>
      </w:pPr>
      <w:r>
        <w:rPr>
          <w:szCs w:val="24"/>
          <w:highlight w:val="yellow"/>
          <w:lang w:bidi="ar-SA"/>
        </w:rPr>
        <w:t>Limitations</w:t>
      </w:r>
    </w:p>
    <w:p w14:paraId="28DB0E7E" w14:textId="77777777" w:rsidR="00B544FD" w:rsidRDefault="00B544FD">
      <w:pPr>
        <w:spacing w:after="0"/>
        <w:jc w:val="both"/>
        <w:rPr>
          <w:rFonts w:ascii="Times New Roman" w:hAnsi="Times New Roman" w:cs="Times New Roman"/>
          <w:sz w:val="24"/>
          <w:szCs w:val="24"/>
          <w:lang w:val="en-US" w:bidi="ar-SA"/>
        </w:rPr>
      </w:pPr>
      <w:r>
        <w:rPr>
          <w:rFonts w:ascii="Times New Roman" w:hAnsi="Times New Roman" w:cs="Times New Roman"/>
          <w:sz w:val="24"/>
          <w:szCs w:val="24"/>
          <w:highlight w:val="yellow"/>
          <w:lang w:val="en-US" w:bidi="ar-SA"/>
        </w:rPr>
        <w:t xml:space="preserve">Although this study successfully demonstrates the efficiency of </w:t>
      </w:r>
      <w:r w:rsidR="00730FC6" w:rsidRPr="00B85055">
        <w:rPr>
          <w:color w:val="000000"/>
          <w:highlight w:val="yellow"/>
          <w:lang w:bidi="ar-SA"/>
        </w:rPr>
        <w:t xml:space="preserve">Di(2-ethylhexyl) phosphoric acid </w:t>
      </w:r>
      <w:r>
        <w:rPr>
          <w:rFonts w:ascii="Times New Roman" w:hAnsi="Times New Roman" w:cs="Times New Roman"/>
          <w:sz w:val="24"/>
          <w:szCs w:val="24"/>
          <w:highlight w:val="yellow"/>
          <w:lang w:val="en-US" w:bidi="ar-SA"/>
        </w:rPr>
        <w:t xml:space="preserve">in extracting </w:t>
      </w:r>
      <w:r w:rsidR="00126151">
        <w:rPr>
          <w:rFonts w:ascii="Times New Roman" w:hAnsi="Times New Roman" w:cs="Times New Roman"/>
          <w:sz w:val="24"/>
          <w:szCs w:val="24"/>
          <w:highlight w:val="yellow"/>
          <w:lang w:val="en-US" w:bidi="ar-SA"/>
        </w:rPr>
        <w:t>Ni (</w:t>
      </w:r>
      <w:r>
        <w:rPr>
          <w:rFonts w:ascii="Times New Roman" w:hAnsi="Times New Roman" w:cs="Times New Roman"/>
          <w:sz w:val="24"/>
          <w:szCs w:val="24"/>
          <w:highlight w:val="yellow"/>
          <w:lang w:val="en-US" w:bidi="ar-SA"/>
        </w:rPr>
        <w:t xml:space="preserve">II) using various diluents, certain limitations should be acknowledged. First, the experiments were conducted using synthetic aqueous solutions, which, while useful for establishing fundamental mechanisms, do not fully replicate the complexity of real industrial effluents that may contain competitive interfering ions. Second, the extraction process was performed in batch mode on a laboratory scale; </w:t>
      </w:r>
      <w:r>
        <w:rPr>
          <w:rFonts w:ascii="Times New Roman" w:hAnsi="Times New Roman" w:cs="Times New Roman"/>
          <w:sz w:val="24"/>
          <w:szCs w:val="24"/>
          <w:highlight w:val="yellow"/>
          <w:lang w:val="en-US" w:bidi="ar-SA"/>
        </w:rPr>
        <w:lastRenderedPageBreak/>
        <w:t>therefore, continuous counter-current extraction tests are necessary to fully evaluate the industrial feasibility. Finally, a detailed economic analysis regarding solvent recovery and long-term reusability was outside the scope of this work and warrants future investigation.</w:t>
      </w:r>
    </w:p>
    <w:p w14:paraId="76C7D176" w14:textId="77777777" w:rsidR="00B544FD" w:rsidRDefault="00B544FD">
      <w:pPr>
        <w:pStyle w:val="1"/>
        <w:spacing w:line="240" w:lineRule="auto"/>
        <w:ind w:firstLine="720"/>
        <w:jc w:val="both"/>
        <w:rPr>
          <w:rFonts w:eastAsia="Times New Roman"/>
          <w:color w:val="000000"/>
          <w:lang w:val="en-US" w:bidi="ar-SA"/>
        </w:rPr>
      </w:pPr>
      <w:r>
        <w:rPr>
          <w:rFonts w:eastAsia="Times New Roman"/>
          <w:color w:val="000000"/>
          <w:lang w:val="en-US" w:bidi="ar-SA"/>
        </w:rPr>
        <w:t>Conclusion:</w:t>
      </w:r>
    </w:p>
    <w:p w14:paraId="6ABB85F7" w14:textId="77777777" w:rsidR="00B544FD" w:rsidRDefault="00B544FD">
      <w:pPr>
        <w:ind w:firstLine="720"/>
        <w:jc w:val="both"/>
        <w:rPr>
          <w:color w:val="000000"/>
          <w:lang w:bidi="ar-SA"/>
        </w:rPr>
      </w:pPr>
      <w:r>
        <w:rPr>
          <w:color w:val="000000"/>
          <w:lang w:bidi="ar-SA"/>
        </w:rPr>
        <w:t xml:space="preserve">This study provides an in-depth and systematic evaluation of the extraction </w:t>
      </w:r>
      <w:r w:rsidR="00126151">
        <w:rPr>
          <w:color w:val="000000"/>
          <w:lang w:bidi="ar-SA"/>
        </w:rPr>
        <w:t>behaviour</w:t>
      </w:r>
      <w:r>
        <w:rPr>
          <w:color w:val="000000"/>
          <w:lang w:bidi="ar-SA"/>
        </w:rPr>
        <w:t xml:space="preserve"> of Ni(II) from a </w:t>
      </w:r>
      <w:r w:rsidR="00B5099B">
        <w:rPr>
          <w:color w:val="000000"/>
          <w:lang w:bidi="ar-SA"/>
        </w:rPr>
        <w:t>Sulfate</w:t>
      </w:r>
      <w:r>
        <w:rPr>
          <w:color w:val="000000"/>
          <w:lang w:bidi="ar-SA"/>
        </w:rPr>
        <w:t xml:space="preserve"> medium using </w:t>
      </w:r>
      <w:r w:rsidR="00295C32" w:rsidRPr="00B85055">
        <w:rPr>
          <w:color w:val="000000"/>
          <w:highlight w:val="yellow"/>
          <w:lang w:bidi="ar-SA"/>
        </w:rPr>
        <w:t xml:space="preserve">Di(2-ethylhexyl) phosphoric acid </w:t>
      </w:r>
      <w:r>
        <w:rPr>
          <w:color w:val="000000"/>
          <w:lang w:bidi="ar-SA"/>
        </w:rPr>
        <w:t>as the organic extractant. Through a detailed investigation of the effects of aqueous-phase pH, extractant concentration, and the choice of diluent, the work offers a clearer understanding of the parameters that dictate both the efficiency and selectivity of the solvent-extraction process. The findings have implications not only for fundamental coordination and extraction chemistry but also for the optimization of industrial operations where reliable metal recovery is required.</w:t>
      </w:r>
    </w:p>
    <w:p w14:paraId="370F365D" w14:textId="77777777" w:rsidR="00B544FD" w:rsidRDefault="00B544FD">
      <w:pPr>
        <w:ind w:firstLine="720"/>
        <w:jc w:val="both"/>
        <w:rPr>
          <w:color w:val="000000"/>
          <w:lang w:val="en-US" w:bidi="ar-SA"/>
        </w:rPr>
      </w:pPr>
      <w:r>
        <w:rPr>
          <w:color w:val="000000"/>
          <w:lang w:val="en-US" w:bidi="ar-SA"/>
        </w:rPr>
        <w:t xml:space="preserve">Among the variables examined, the pH of the aqueous phase emerged as a particularly critical factor. As the pH increased, progressive deprotonation of </w:t>
      </w:r>
      <w:r w:rsidR="00730FC6" w:rsidRPr="00B85055">
        <w:rPr>
          <w:color w:val="000000"/>
          <w:highlight w:val="yellow"/>
          <w:lang w:bidi="ar-SA"/>
        </w:rPr>
        <w:t xml:space="preserve">Di(2-ethylhexyl) phosphoric acid </w:t>
      </w:r>
      <w:r>
        <w:rPr>
          <w:color w:val="000000"/>
          <w:lang w:val="en-US" w:bidi="ar-SA"/>
        </w:rPr>
        <w:t>occurred, enhancing its capacity to interact with and bind Ni(II) ions. This shift in acid–base equilibrium drives the formation of increasingly stable nickel–extractant complexes. The linear correlation between log D and pH obtained in all systems reinforces the conclusion that precise control of solution acidity is indispensable for maximizing extraction efficiency. Even small deviations in pH meaningfully influence the equilibrium position and, consequently, the extent of metal transfer into the organic phase.</w:t>
      </w:r>
    </w:p>
    <w:p w14:paraId="5DA55B42" w14:textId="77777777" w:rsidR="00B544FD" w:rsidRDefault="00B544FD">
      <w:pPr>
        <w:ind w:firstLine="720"/>
        <w:jc w:val="both"/>
        <w:rPr>
          <w:color w:val="000000"/>
          <w:lang w:val="en-US" w:bidi="ar-SA"/>
        </w:rPr>
      </w:pPr>
      <w:r>
        <w:rPr>
          <w:color w:val="000000"/>
          <w:lang w:val="en-US" w:bidi="ar-SA"/>
        </w:rPr>
        <w:t xml:space="preserve">The concentration of </w:t>
      </w:r>
      <w:r w:rsidR="00730FC6" w:rsidRPr="00B85055">
        <w:rPr>
          <w:color w:val="000000"/>
          <w:highlight w:val="yellow"/>
          <w:lang w:bidi="ar-SA"/>
        </w:rPr>
        <w:t xml:space="preserve">Di(2-ethylhexyl) phosphoric acid </w:t>
      </w:r>
      <w:r>
        <w:rPr>
          <w:color w:val="000000"/>
          <w:lang w:val="en-US" w:bidi="ar-SA"/>
        </w:rPr>
        <w:t xml:space="preserve">in the organic phase also played a decisive role in determining the level of Ni(II) extracted. Increasing the amount of extractant expands the pool of active species available to participate in complex formation, thereby promoting higher extraction yields. This enhancement was especially noticeable under conditions where </w:t>
      </w:r>
      <w:r w:rsidR="00730FC6" w:rsidRPr="00B85055">
        <w:rPr>
          <w:color w:val="000000"/>
          <w:highlight w:val="yellow"/>
          <w:lang w:bidi="ar-SA"/>
        </w:rPr>
        <w:t xml:space="preserve">Di(2-ethylhexyl) phosphoric acid </w:t>
      </w:r>
      <w:r>
        <w:rPr>
          <w:color w:val="000000"/>
          <w:lang w:val="en-US" w:bidi="ar-SA"/>
        </w:rPr>
        <w:t>predominantly existed in its monomeric form, as monomeric species typically exhibit the greatest affinity for metal ions and therefore drive the formation of the most stable complexes. The observed dependence of extraction efficiency on extractant concentration underscores the need for appropriately selecting and optimizing extractant dosage in both laboratory studies and industrial solvent-extraction circuits.</w:t>
      </w:r>
    </w:p>
    <w:p w14:paraId="2BAAEC23" w14:textId="77777777" w:rsidR="00B544FD" w:rsidRDefault="00B544FD">
      <w:pPr>
        <w:ind w:firstLine="720"/>
        <w:jc w:val="both"/>
        <w:rPr>
          <w:color w:val="000000"/>
          <w:lang w:bidi="ar-SA"/>
        </w:rPr>
      </w:pPr>
      <w:r>
        <w:rPr>
          <w:rFonts w:ascii="Times New Roman" w:hAnsi="Times New Roman" w:cs="Times New Roman"/>
          <w:color w:val="000000"/>
          <w:lang w:val="en-US" w:bidi="ar-SA"/>
        </w:rPr>
        <w:t xml:space="preserve">Slope </w:t>
      </w:r>
      <w:r>
        <w:rPr>
          <w:color w:val="000000"/>
          <w:lang w:bidi="ar-SA"/>
        </w:rPr>
        <w:t xml:space="preserve">analysis clearly demonstrated that the nature and composition of the nickel species extracted into the organic phase depend strongly on the solvent employed. In relatively polar diluents such as 1-octanol and methyl isobutyl ketone (MIBK), the data indicated the formation of a simpler coordination entity with a stoichiometry corresponding to </w:t>
      </w:r>
      <w:r>
        <w:rPr>
          <w:b/>
          <w:bCs/>
          <w:color w:val="000000"/>
          <w:lang w:bidi="ar-SA"/>
        </w:rPr>
        <w:t>NiL₂</w:t>
      </w:r>
      <w:r>
        <w:rPr>
          <w:color w:val="000000"/>
          <w:lang w:bidi="ar-SA"/>
        </w:rPr>
        <w:t>. This structure suggests that the enhanced solvation capacity of these media stabilizes the deprotonated extractant ligands sufficiently to support the formation of a more compact complex without the need for additional protonated extractant molecules.</w:t>
      </w:r>
    </w:p>
    <w:p w14:paraId="5731C98A" w14:textId="77777777" w:rsidR="00B544FD" w:rsidRDefault="00B544FD">
      <w:pPr>
        <w:ind w:firstLine="720"/>
        <w:jc w:val="both"/>
        <w:rPr>
          <w:rFonts w:ascii="Times New Roman" w:hAnsi="Times New Roman" w:cs="Times New Roman"/>
          <w:color w:val="000000"/>
          <w:lang w:val="en-US" w:bidi="ar-SA"/>
        </w:rPr>
      </w:pPr>
      <w:r>
        <w:rPr>
          <w:rFonts w:ascii="Times New Roman" w:hAnsi="Times New Roman" w:cs="Times New Roman"/>
          <w:color w:val="000000"/>
          <w:lang w:val="en-US" w:bidi="ar-SA"/>
        </w:rPr>
        <w:t xml:space="preserve">In contrast, extractions performed in less polar solvents such as toluene, dichloromethane, chloroform, carbon tetrachloride, and cyclohexane resulted in the stabilization of a more aggregated species, identified as </w:t>
      </w:r>
      <w:r>
        <w:rPr>
          <w:rFonts w:ascii="Times New Roman" w:hAnsi="Times New Roman" w:cs="Times New Roman"/>
          <w:b/>
          <w:bCs/>
          <w:color w:val="000000"/>
          <w:lang w:val="en-US" w:bidi="ar-SA"/>
        </w:rPr>
        <w:t>NiL₂·2HL</w:t>
      </w:r>
      <w:r>
        <w:rPr>
          <w:rFonts w:ascii="Times New Roman" w:hAnsi="Times New Roman" w:cs="Times New Roman"/>
          <w:color w:val="000000"/>
          <w:lang w:val="en-US" w:bidi="ar-SA"/>
        </w:rPr>
        <w:t xml:space="preserve">. The presence of both deprotonated (L⁻) and protonated (HL) extractant molecules within this complex points to the importance of extractant aggregation and hydrogen-bonding networks under low-polarity conditions. These findings underscore the decisive role of solvent polarity in modulating </w:t>
      </w:r>
      <w:r w:rsidR="000079FF" w:rsidRPr="00B85055">
        <w:rPr>
          <w:color w:val="000000"/>
          <w:highlight w:val="yellow"/>
          <w:lang w:bidi="ar-SA"/>
        </w:rPr>
        <w:t xml:space="preserve">Di(2-ethylhexyl) phosphoric acid </w:t>
      </w:r>
      <w:r>
        <w:rPr>
          <w:rFonts w:ascii="Times New Roman" w:hAnsi="Times New Roman" w:cs="Times New Roman"/>
          <w:color w:val="000000"/>
          <w:lang w:val="en-US" w:bidi="ar-SA"/>
        </w:rPr>
        <w:t>association behavior and consequently dictating the structural form of the nickel complex transferred to the organic phase.</w:t>
      </w:r>
    </w:p>
    <w:p w14:paraId="2C0D9045" w14:textId="77777777" w:rsidR="00B544FD" w:rsidRDefault="00B544FD">
      <w:pPr>
        <w:ind w:firstLine="720"/>
        <w:jc w:val="both"/>
        <w:rPr>
          <w:rFonts w:ascii="Times New Roman" w:hAnsi="Times New Roman" w:cs="Times New Roman"/>
          <w:color w:val="000000"/>
          <w:lang w:val="en-US" w:bidi="ar-SA"/>
        </w:rPr>
      </w:pPr>
      <w:r>
        <w:rPr>
          <w:rFonts w:ascii="Times New Roman" w:hAnsi="Times New Roman" w:cs="Times New Roman"/>
          <w:color w:val="000000"/>
          <w:lang w:val="en-US" w:bidi="ar-SA"/>
        </w:rPr>
        <w:t>The comparative extraction efficiencies of the solvents investigated followed the decreasing sequence:</w:t>
      </w:r>
      <w:r>
        <w:rPr>
          <w:rFonts w:ascii="Times New Roman" w:hAnsi="Times New Roman" w:cs="Times New Roman"/>
          <w:color w:val="000000"/>
          <w:lang w:val="en-US" w:bidi="ar-SA"/>
        </w:rPr>
        <w:br/>
      </w:r>
      <w:r>
        <w:rPr>
          <w:rFonts w:ascii="Times New Roman" w:hAnsi="Times New Roman" w:cs="Times New Roman"/>
          <w:b/>
          <w:bCs/>
          <w:color w:val="000000"/>
          <w:lang w:val="en-US" w:bidi="ar-SA"/>
        </w:rPr>
        <w:lastRenderedPageBreak/>
        <w:t>1-octanol &gt; cyclohexane &gt; dichloromethane ≥ toluene ≥ carbon tetrachloride &gt; MIBK &gt; chloroform.</w:t>
      </w:r>
    </w:p>
    <w:p w14:paraId="1F647871" w14:textId="77777777" w:rsidR="00B544FD" w:rsidRDefault="00B544FD">
      <w:pPr>
        <w:ind w:firstLine="720"/>
        <w:jc w:val="both"/>
        <w:rPr>
          <w:rFonts w:ascii="Times New Roman" w:hAnsi="Times New Roman" w:cs="Times New Roman"/>
          <w:color w:val="000000"/>
          <w:lang w:val="en-US" w:bidi="ar-SA"/>
        </w:rPr>
      </w:pPr>
      <w:r>
        <w:rPr>
          <w:rFonts w:ascii="Times New Roman" w:hAnsi="Times New Roman" w:cs="Times New Roman"/>
          <w:color w:val="000000"/>
          <w:lang w:val="en-US" w:bidi="ar-SA"/>
        </w:rPr>
        <w:t>This ordering reflects the contrasting abilities of the solvents to solvate and stabilize the Ni–</w:t>
      </w:r>
      <w:r w:rsidR="000079FF" w:rsidRPr="000079FF">
        <w:rPr>
          <w:color w:val="000000"/>
          <w:highlight w:val="yellow"/>
          <w:lang w:bidi="ar-SA"/>
        </w:rPr>
        <w:t xml:space="preserve"> </w:t>
      </w:r>
      <w:r w:rsidR="000079FF" w:rsidRPr="00B85055">
        <w:rPr>
          <w:color w:val="000000"/>
          <w:highlight w:val="yellow"/>
          <w:lang w:bidi="ar-SA"/>
        </w:rPr>
        <w:t>Di(2-ethylhexyl) phosphoric acid</w:t>
      </w:r>
      <w:r>
        <w:rPr>
          <w:rFonts w:ascii="Times New Roman" w:hAnsi="Times New Roman" w:cs="Times New Roman"/>
          <w:color w:val="000000"/>
          <w:lang w:val="en-US" w:bidi="ar-SA"/>
        </w:rPr>
        <w:t xml:space="preserve"> species. Polar solvents such as 1-octanol exhibited superior performance due to their capacity to support the formation and solubilization of the nickel complex, leading to enhanced extraction yields. Conversely, non-polar solvents typically displayed weaker or more fluctuating extraction efficiencies, likely due to reduced stabilization of the complex or differences in extractant aggregation.</w:t>
      </w:r>
    </w:p>
    <w:p w14:paraId="6C6D4491" w14:textId="77777777" w:rsidR="00B544FD" w:rsidRDefault="00B544FD">
      <w:pPr>
        <w:ind w:firstLine="720"/>
        <w:jc w:val="both"/>
        <w:rPr>
          <w:rFonts w:ascii="Times New Roman" w:hAnsi="Times New Roman" w:cs="Times New Roman"/>
          <w:color w:val="000000"/>
          <w:lang w:val="en-US" w:bidi="ar-SA"/>
        </w:rPr>
      </w:pPr>
      <w:r>
        <w:rPr>
          <w:rFonts w:ascii="Times New Roman" w:hAnsi="Times New Roman" w:cs="Times New Roman"/>
          <w:color w:val="000000"/>
          <w:lang w:val="en-US" w:bidi="ar-SA"/>
        </w:rPr>
        <w:t>The visible absorption spectra obtained during the extraction process further reinforced these interpretations. Solvent-dependent shifts in band positions and intensities revealed variations in ligand-field strength and electronic transitions associated with each complex. These spectral features serve as direct evidence of differences in complex geometry, stability, and coordination environment, providing strong support for the solvent-dependent structures identified through slope analysis.</w:t>
      </w:r>
    </w:p>
    <w:p w14:paraId="36EC4D63" w14:textId="77777777" w:rsidR="00B544FD" w:rsidRDefault="00B544FD">
      <w:pPr>
        <w:ind w:firstLine="720"/>
        <w:jc w:val="both"/>
        <w:rPr>
          <w:rFonts w:ascii="Times New Roman" w:hAnsi="Times New Roman" w:cs="Times New Roman"/>
          <w:color w:val="000000"/>
          <w:lang w:val="en-US" w:bidi="ar-SA"/>
        </w:rPr>
      </w:pPr>
      <w:r>
        <w:rPr>
          <w:rFonts w:ascii="Times New Roman" w:hAnsi="Times New Roman" w:cs="Times New Roman"/>
          <w:color w:val="000000"/>
          <w:lang w:val="en-US" w:bidi="ar-SA"/>
        </w:rPr>
        <w:t>The practical implications of these findings are significant. Sectors requiring high-purity nickel such as electronics, catalysis, and advanced alloy production can benefit from the optimized extraction conditions identified in this work. The extraction constants summarized in Table 4 provide a useful guide for selecting efficient and environmentally favorable solvent systems. Such optimization contributes to cleaner production pathways and supports more sustainable nickel recovery processes.</w:t>
      </w:r>
    </w:p>
    <w:p w14:paraId="22619939" w14:textId="77777777" w:rsidR="00B544FD" w:rsidRDefault="00B544FD">
      <w:pPr>
        <w:ind w:firstLine="720"/>
        <w:jc w:val="both"/>
        <w:rPr>
          <w:rFonts w:ascii="Times New Roman" w:hAnsi="Times New Roman" w:cs="Times New Roman"/>
          <w:color w:val="000000"/>
          <w:lang w:val="en-US" w:bidi="ar-SA"/>
        </w:rPr>
      </w:pPr>
      <w:r>
        <w:rPr>
          <w:rFonts w:ascii="Times New Roman" w:hAnsi="Times New Roman" w:cs="Times New Roman"/>
          <w:color w:val="000000"/>
          <w:lang w:val="en-US" w:bidi="ar-SA"/>
        </w:rPr>
        <w:t xml:space="preserve">In summary, this study deepens the understanding of </w:t>
      </w:r>
      <w:r w:rsidR="00126151">
        <w:rPr>
          <w:rFonts w:ascii="Times New Roman" w:hAnsi="Times New Roman" w:cs="Times New Roman"/>
          <w:color w:val="000000"/>
          <w:lang w:val="en-US" w:bidi="ar-SA"/>
        </w:rPr>
        <w:t>Ni (</w:t>
      </w:r>
      <w:r>
        <w:rPr>
          <w:rFonts w:ascii="Times New Roman" w:hAnsi="Times New Roman" w:cs="Times New Roman"/>
          <w:color w:val="000000"/>
          <w:lang w:val="en-US" w:bidi="ar-SA"/>
        </w:rPr>
        <w:t xml:space="preserve">II) extraction using </w:t>
      </w:r>
      <w:r w:rsidR="000079FF" w:rsidRPr="00B85055">
        <w:rPr>
          <w:color w:val="000000"/>
          <w:highlight w:val="yellow"/>
          <w:lang w:bidi="ar-SA"/>
        </w:rPr>
        <w:t xml:space="preserve">Di(2-ethylhexyl) phosphoric acid </w:t>
      </w:r>
      <w:r>
        <w:rPr>
          <w:rFonts w:ascii="Times New Roman" w:hAnsi="Times New Roman" w:cs="Times New Roman"/>
          <w:color w:val="000000"/>
          <w:lang w:val="en-US" w:bidi="ar-SA"/>
        </w:rPr>
        <w:t>by clarifying the roles of pH, extractant concentration, solvent characteristics, and complex stoichiometry. The insights gained offer a strong foundation for developing more efficient, economical, and environmentally responsible extraction strategies for industrial applications.</w:t>
      </w:r>
    </w:p>
    <w:p w14:paraId="153FD369" w14:textId="77777777" w:rsidR="00473764" w:rsidRDefault="00473764" w:rsidP="00473764">
      <w:pPr>
        <w:spacing w:after="0" w:line="240" w:lineRule="auto"/>
        <w:ind w:firstLine="720"/>
        <w:jc w:val="both"/>
        <w:rPr>
          <w:rStyle w:val="a5"/>
          <w:rFonts w:ascii="Times New Roman" w:hAnsi="Times New Roman" w:cs="Times New Roman"/>
          <w:color w:val="000000"/>
        </w:rPr>
      </w:pPr>
      <w:r w:rsidRPr="009F0D4B">
        <w:rPr>
          <w:rFonts w:ascii="Times New Roman" w:hAnsi="Times New Roman" w:cs="Times New Roman"/>
          <w:b/>
          <w:bCs/>
          <w:color w:val="000000"/>
          <w:highlight w:val="yellow"/>
        </w:rPr>
        <w:t>Availability of Data and Materials</w:t>
      </w:r>
    </w:p>
    <w:p w14:paraId="4C9E235C" w14:textId="77777777" w:rsidR="00473764" w:rsidRDefault="00473764" w:rsidP="00473764">
      <w:pPr>
        <w:spacing w:after="0" w:line="240" w:lineRule="auto"/>
        <w:ind w:firstLine="720"/>
        <w:jc w:val="both"/>
        <w:rPr>
          <w:rStyle w:val="a5"/>
          <w:rFonts w:ascii="Times New Roman" w:hAnsi="Times New Roman" w:cs="Times New Roman"/>
          <w:color w:val="000000"/>
        </w:rPr>
      </w:pPr>
      <w:r w:rsidRPr="009F0D4B">
        <w:rPr>
          <w:rFonts w:ascii="Times New Roman" w:hAnsi="Times New Roman" w:cs="Times New Roman"/>
          <w:color w:val="000000"/>
          <w:highlight w:val="yellow"/>
          <w:lang w:val="en-US"/>
        </w:rPr>
        <w:t>The datasets used and analyzed during the current study are available from the corresponding author on reasonable request</w:t>
      </w:r>
      <w:r w:rsidRPr="009F0D4B">
        <w:rPr>
          <w:rFonts w:ascii="Times New Roman" w:hAnsi="Times New Roman" w:cs="Times New Roman"/>
          <w:b/>
          <w:bCs/>
          <w:color w:val="000000"/>
          <w:highlight w:val="yellow"/>
          <w:lang w:val="en-US"/>
        </w:rPr>
        <w:t>.</w:t>
      </w:r>
    </w:p>
    <w:p w14:paraId="69BF4D72" w14:textId="77777777" w:rsidR="00473764" w:rsidRPr="00F550D2" w:rsidRDefault="00473764" w:rsidP="00473764">
      <w:pPr>
        <w:spacing w:after="0" w:line="240" w:lineRule="auto"/>
        <w:ind w:firstLine="720"/>
        <w:jc w:val="both"/>
        <w:rPr>
          <w:rStyle w:val="a5"/>
          <w:rFonts w:ascii="Times New Roman" w:hAnsi="Times New Roman" w:cs="Times New Roman"/>
          <w:color w:val="000000"/>
          <w:highlight w:val="yellow"/>
        </w:rPr>
      </w:pPr>
      <w:r w:rsidRPr="00F550D2">
        <w:rPr>
          <w:rFonts w:ascii="Times New Roman" w:hAnsi="Times New Roman" w:cs="Times New Roman"/>
          <w:b/>
          <w:bCs/>
          <w:color w:val="000000"/>
          <w:highlight w:val="yellow"/>
        </w:rPr>
        <w:t>Author Contributions</w:t>
      </w:r>
    </w:p>
    <w:p w14:paraId="6B0B0420" w14:textId="77777777" w:rsidR="00473764" w:rsidRDefault="00473764" w:rsidP="00473764">
      <w:pPr>
        <w:pStyle w:val="a9"/>
        <w:spacing w:before="0" w:beforeAutospacing="0" w:after="0" w:afterAutospacing="0"/>
        <w:ind w:firstLine="720"/>
        <w:rPr>
          <w:lang w:eastAsia="zh-CN"/>
        </w:rPr>
      </w:pPr>
      <w:r w:rsidRPr="00F550D2">
        <w:rPr>
          <w:highlight w:val="yellow"/>
        </w:rPr>
        <w:t xml:space="preserve">Conceptualization and methodology were designed by </w:t>
      </w:r>
      <w:r w:rsidRPr="00F550D2">
        <w:rPr>
          <w:b/>
          <w:bCs/>
          <w:highlight w:val="yellow"/>
        </w:rPr>
        <w:t>F.G.</w:t>
      </w:r>
      <w:r w:rsidRPr="00F550D2">
        <w:rPr>
          <w:highlight w:val="yellow"/>
        </w:rPr>
        <w:t xml:space="preserve"> and </w:t>
      </w:r>
      <w:r w:rsidRPr="00F550D2">
        <w:rPr>
          <w:b/>
          <w:bCs/>
          <w:highlight w:val="yellow"/>
        </w:rPr>
        <w:t>D.B.</w:t>
      </w:r>
      <w:r w:rsidRPr="00F550D2">
        <w:rPr>
          <w:highlight w:val="yellow"/>
        </w:rPr>
        <w:t xml:space="preserve">; Experimental work was carried out by </w:t>
      </w:r>
      <w:r w:rsidRPr="00F550D2">
        <w:rPr>
          <w:b/>
          <w:bCs/>
          <w:highlight w:val="yellow"/>
        </w:rPr>
        <w:t>F.G.</w:t>
      </w:r>
      <w:r w:rsidRPr="00F550D2">
        <w:rPr>
          <w:highlight w:val="yellow"/>
        </w:rPr>
        <w:t xml:space="preserve">, </w:t>
      </w:r>
      <w:r w:rsidRPr="00F550D2">
        <w:rPr>
          <w:b/>
          <w:bCs/>
          <w:highlight w:val="yellow"/>
        </w:rPr>
        <w:t>K.A.</w:t>
      </w:r>
      <w:r w:rsidRPr="00F550D2">
        <w:rPr>
          <w:highlight w:val="yellow"/>
        </w:rPr>
        <w:t xml:space="preserve"> and </w:t>
      </w:r>
      <w:r w:rsidRPr="00F550D2">
        <w:rPr>
          <w:b/>
          <w:bCs/>
          <w:highlight w:val="yellow"/>
        </w:rPr>
        <w:t>N.M.</w:t>
      </w:r>
      <w:r w:rsidRPr="00F550D2">
        <w:rPr>
          <w:highlight w:val="yellow"/>
        </w:rPr>
        <w:t xml:space="preserve">; Data analysis and interpretation were performed by </w:t>
      </w:r>
      <w:r w:rsidRPr="00F550D2">
        <w:rPr>
          <w:b/>
          <w:bCs/>
          <w:highlight w:val="yellow"/>
        </w:rPr>
        <w:t>F.G.</w:t>
      </w:r>
      <w:r w:rsidRPr="00F550D2">
        <w:rPr>
          <w:highlight w:val="yellow"/>
        </w:rPr>
        <w:t xml:space="preserve"> and </w:t>
      </w:r>
      <w:r w:rsidRPr="00F550D2">
        <w:rPr>
          <w:b/>
          <w:bCs/>
          <w:highlight w:val="yellow"/>
        </w:rPr>
        <w:t>A.C.</w:t>
      </w:r>
      <w:r w:rsidRPr="00F550D2">
        <w:rPr>
          <w:highlight w:val="yellow"/>
        </w:rPr>
        <w:t xml:space="preserve">; The original draft was written by </w:t>
      </w:r>
      <w:r w:rsidRPr="00F550D2">
        <w:rPr>
          <w:b/>
          <w:bCs/>
          <w:highlight w:val="yellow"/>
        </w:rPr>
        <w:t>F.G.</w:t>
      </w:r>
      <w:r w:rsidRPr="00F550D2">
        <w:rPr>
          <w:highlight w:val="yellow"/>
        </w:rPr>
        <w:t xml:space="preserve">; Review and editing were conducted by </w:t>
      </w:r>
      <w:r w:rsidRPr="00F550D2">
        <w:rPr>
          <w:b/>
          <w:bCs/>
          <w:highlight w:val="yellow"/>
        </w:rPr>
        <w:t>D.B.</w:t>
      </w:r>
      <w:r w:rsidRPr="00F550D2">
        <w:rPr>
          <w:highlight w:val="yellow"/>
        </w:rPr>
        <w:t xml:space="preserve"> and </w:t>
      </w:r>
      <w:r w:rsidRPr="00F550D2">
        <w:rPr>
          <w:b/>
          <w:bCs/>
          <w:highlight w:val="yellow"/>
        </w:rPr>
        <w:t>A.C.</w:t>
      </w:r>
      <w:r w:rsidRPr="00F550D2">
        <w:rPr>
          <w:highlight w:val="yellow"/>
        </w:rPr>
        <w:t xml:space="preserve"> All authors have read and agreed to the published version of the manuscript.</w:t>
      </w:r>
    </w:p>
    <w:p w14:paraId="20AA272E" w14:textId="77777777" w:rsidR="00473764" w:rsidRPr="00F6512F" w:rsidRDefault="00473764" w:rsidP="00473764">
      <w:pPr>
        <w:spacing w:after="0" w:line="240" w:lineRule="auto"/>
        <w:ind w:firstLine="720"/>
        <w:jc w:val="both"/>
        <w:rPr>
          <w:rStyle w:val="a5"/>
          <w:rFonts w:ascii="Times New Roman" w:hAnsi="Times New Roman" w:cs="Times New Roman"/>
          <w:color w:val="000000"/>
          <w:highlight w:val="yellow"/>
          <w:lang w:val="en-US"/>
        </w:rPr>
      </w:pPr>
      <w:r w:rsidRPr="00F6512F">
        <w:rPr>
          <w:rFonts w:ascii="Times New Roman" w:hAnsi="Times New Roman" w:cs="Times New Roman"/>
          <w:b/>
          <w:bCs/>
          <w:color w:val="000000"/>
          <w:highlight w:val="yellow"/>
        </w:rPr>
        <w:t>Acknowledgments</w:t>
      </w:r>
    </w:p>
    <w:p w14:paraId="3AADC463" w14:textId="77777777" w:rsidR="00473764" w:rsidRDefault="00473764" w:rsidP="00473764">
      <w:pPr>
        <w:spacing w:after="0" w:line="240" w:lineRule="auto"/>
        <w:ind w:firstLine="720"/>
        <w:jc w:val="both"/>
        <w:rPr>
          <w:rStyle w:val="a5"/>
          <w:rFonts w:ascii="Times New Roman" w:hAnsi="Times New Roman" w:cs="Times New Roman"/>
          <w:color w:val="000000"/>
        </w:rPr>
      </w:pPr>
      <w:r w:rsidRPr="00F6512F">
        <w:rPr>
          <w:highlight w:val="yellow"/>
        </w:rPr>
        <w:t xml:space="preserve">The authors gratefully acknowledge the </w:t>
      </w:r>
      <w:r w:rsidRPr="00F6512F">
        <w:rPr>
          <w:b/>
          <w:bCs/>
          <w:highlight w:val="yellow"/>
        </w:rPr>
        <w:t>Laboratory of Chemical Molecular and Environment (University of Biskra)</w:t>
      </w:r>
      <w:r w:rsidRPr="00F6512F">
        <w:rPr>
          <w:highlight w:val="yellow"/>
        </w:rPr>
        <w:t xml:space="preserve"> and the </w:t>
      </w:r>
      <w:r w:rsidRPr="00F6512F">
        <w:rPr>
          <w:b/>
          <w:bCs/>
          <w:highlight w:val="yellow"/>
        </w:rPr>
        <w:t>Laboratory of Materials and Energy Engineering (University of 20 August 1955, Skikda)</w:t>
      </w:r>
      <w:r w:rsidRPr="00F6512F">
        <w:rPr>
          <w:highlight w:val="yellow"/>
        </w:rPr>
        <w:t xml:space="preserve"> for providing the necessary facilities and support to conduct this research. We also wish to express our sincere appreciation to the anonymous reviewers and the editor for their valuable comments and suggestions, which significantly improved the quality of this manuscript</w:t>
      </w:r>
    </w:p>
    <w:p w14:paraId="3753D80A" w14:textId="77777777" w:rsidR="00473764" w:rsidRPr="00A258D5" w:rsidRDefault="00473764" w:rsidP="00473764">
      <w:pPr>
        <w:spacing w:after="0" w:line="240" w:lineRule="auto"/>
        <w:ind w:firstLine="720"/>
        <w:jc w:val="both"/>
        <w:rPr>
          <w:rStyle w:val="a5"/>
          <w:rFonts w:ascii="Times New Roman" w:hAnsi="Times New Roman" w:cs="Times New Roman"/>
          <w:color w:val="000000"/>
          <w:highlight w:val="yellow"/>
        </w:rPr>
      </w:pPr>
      <w:r w:rsidRPr="00A258D5">
        <w:rPr>
          <w:rFonts w:ascii="Times New Roman" w:hAnsi="Times New Roman" w:cs="Times New Roman"/>
          <w:b/>
          <w:bCs/>
          <w:color w:val="000000"/>
          <w:highlight w:val="yellow"/>
        </w:rPr>
        <w:t>Funding</w:t>
      </w:r>
    </w:p>
    <w:p w14:paraId="2693DBD0" w14:textId="77777777" w:rsidR="00473764" w:rsidRDefault="00473764" w:rsidP="00473764">
      <w:pPr>
        <w:pStyle w:val="a9"/>
        <w:spacing w:before="0" w:beforeAutospacing="0" w:after="0" w:afterAutospacing="0"/>
        <w:rPr>
          <w:lang w:eastAsia="zh-CN"/>
        </w:rPr>
      </w:pPr>
      <w:r w:rsidRPr="00A258D5">
        <w:rPr>
          <w:highlight w:val="yellow"/>
        </w:rPr>
        <w:t>The authors declare that no funds, grants, or other support were received during the preparation of this manuscript.</w:t>
      </w:r>
    </w:p>
    <w:p w14:paraId="11648EC9" w14:textId="77777777" w:rsidR="00473764" w:rsidRPr="00DB5960" w:rsidRDefault="00473764" w:rsidP="00473764">
      <w:pPr>
        <w:spacing w:after="0" w:line="240" w:lineRule="auto"/>
        <w:ind w:firstLine="720"/>
        <w:jc w:val="both"/>
        <w:rPr>
          <w:rStyle w:val="a5"/>
          <w:rFonts w:ascii="Times New Roman" w:hAnsi="Times New Roman" w:cs="Times New Roman"/>
          <w:color w:val="000000"/>
          <w:highlight w:val="yellow"/>
          <w:lang w:val="en-US"/>
        </w:rPr>
      </w:pPr>
      <w:r w:rsidRPr="00DB5960">
        <w:rPr>
          <w:rFonts w:ascii="Times New Roman" w:hAnsi="Times New Roman" w:cs="Times New Roman"/>
          <w:b/>
          <w:bCs/>
          <w:color w:val="000000"/>
          <w:highlight w:val="yellow"/>
        </w:rPr>
        <w:t>Conflict of Interest</w:t>
      </w:r>
    </w:p>
    <w:p w14:paraId="59C66ECA" w14:textId="77777777" w:rsidR="00473764" w:rsidRPr="00DB5960" w:rsidRDefault="00473764" w:rsidP="00473764">
      <w:pPr>
        <w:spacing w:after="0" w:line="240" w:lineRule="auto"/>
        <w:ind w:firstLine="720"/>
        <w:jc w:val="both"/>
        <w:rPr>
          <w:rFonts w:ascii="Times New Roman" w:hAnsi="Times New Roman" w:cs="Times New Roman"/>
          <w:color w:val="000000"/>
          <w:lang w:val="en-US"/>
        </w:rPr>
      </w:pPr>
      <w:r w:rsidRPr="00DB5960">
        <w:rPr>
          <w:rFonts w:ascii="Times New Roman" w:hAnsi="Times New Roman" w:cs="Times New Roman"/>
          <w:color w:val="000000"/>
          <w:highlight w:val="yellow"/>
          <w:lang w:val="en-US"/>
        </w:rPr>
        <w:t>The authors declare that they have no known competing financial interests or personal relationships that could have appeared to influence the work reported in this paper.</w:t>
      </w:r>
    </w:p>
    <w:p w14:paraId="2C9516F2" w14:textId="77777777" w:rsidR="00473764" w:rsidRPr="00614C01" w:rsidRDefault="00473764" w:rsidP="00473764">
      <w:pPr>
        <w:spacing w:after="0" w:line="240" w:lineRule="auto"/>
        <w:ind w:firstLine="720"/>
        <w:jc w:val="both"/>
        <w:rPr>
          <w:rStyle w:val="a5"/>
          <w:rFonts w:ascii="Times New Roman" w:hAnsi="Times New Roman" w:cs="Times New Roman"/>
          <w:color w:val="000000"/>
          <w:highlight w:val="yellow"/>
          <w:lang w:val="en-US"/>
        </w:rPr>
      </w:pPr>
      <w:r w:rsidRPr="00614C01">
        <w:rPr>
          <w:rFonts w:ascii="Times New Roman" w:hAnsi="Times New Roman" w:cs="Times New Roman"/>
          <w:b/>
          <w:bCs/>
          <w:color w:val="000000"/>
          <w:highlight w:val="yellow"/>
        </w:rPr>
        <w:t>Ethical Approval</w:t>
      </w:r>
    </w:p>
    <w:p w14:paraId="6E9E1A67" w14:textId="77777777" w:rsidR="00473764" w:rsidRDefault="00473764" w:rsidP="00473764">
      <w:pPr>
        <w:pStyle w:val="a9"/>
        <w:spacing w:before="0" w:beforeAutospacing="0" w:after="0" w:afterAutospacing="0"/>
        <w:ind w:firstLine="720"/>
        <w:rPr>
          <w:lang w:eastAsia="zh-CN"/>
        </w:rPr>
      </w:pPr>
      <w:r w:rsidRPr="00614C01">
        <w:rPr>
          <w:highlight w:val="yellow"/>
        </w:rPr>
        <w:lastRenderedPageBreak/>
        <w:t>This study does not involve human participants or animal subjects. No ethical approval was required for this research</w:t>
      </w:r>
      <w:r>
        <w:t>.</w:t>
      </w:r>
    </w:p>
    <w:p w14:paraId="4267CF1D" w14:textId="77777777" w:rsidR="00473764" w:rsidRPr="00673C5E" w:rsidRDefault="00473764" w:rsidP="00473764">
      <w:pPr>
        <w:spacing w:after="0" w:line="240" w:lineRule="auto"/>
        <w:ind w:firstLine="720"/>
        <w:jc w:val="both"/>
        <w:rPr>
          <w:rStyle w:val="a5"/>
          <w:rFonts w:ascii="Times New Roman" w:hAnsi="Times New Roman" w:cs="Times New Roman"/>
          <w:color w:val="000000"/>
          <w:highlight w:val="yellow"/>
          <w:lang w:val="en-US"/>
        </w:rPr>
      </w:pPr>
      <w:r w:rsidRPr="00673C5E">
        <w:rPr>
          <w:rFonts w:ascii="Times New Roman" w:hAnsi="Times New Roman" w:cs="Times New Roman"/>
          <w:b/>
          <w:bCs/>
          <w:color w:val="000000"/>
          <w:highlight w:val="yellow"/>
        </w:rPr>
        <w:t>Informed Consent</w:t>
      </w:r>
    </w:p>
    <w:p w14:paraId="23816261" w14:textId="77777777" w:rsidR="00473764" w:rsidRDefault="00473764" w:rsidP="00473764">
      <w:pPr>
        <w:pStyle w:val="a9"/>
        <w:spacing w:before="0" w:beforeAutospacing="0" w:after="0" w:afterAutospacing="0"/>
        <w:ind w:firstLine="720"/>
        <w:rPr>
          <w:lang w:eastAsia="zh-CN"/>
        </w:rPr>
      </w:pPr>
      <w:r w:rsidRPr="00673C5E">
        <w:rPr>
          <w:highlight w:val="yellow"/>
        </w:rPr>
        <w:t>Not applicable.</w:t>
      </w:r>
    </w:p>
    <w:p w14:paraId="35A7EAB9" w14:textId="77777777" w:rsidR="00473764" w:rsidRPr="00DD2867" w:rsidRDefault="00473764" w:rsidP="00473764">
      <w:pPr>
        <w:spacing w:after="0" w:line="240" w:lineRule="auto"/>
        <w:ind w:firstLine="720"/>
        <w:jc w:val="both"/>
        <w:rPr>
          <w:rStyle w:val="a5"/>
          <w:rFonts w:ascii="Times New Roman" w:hAnsi="Times New Roman" w:cs="Times New Roman"/>
          <w:color w:val="000000"/>
          <w:highlight w:val="yellow"/>
        </w:rPr>
      </w:pPr>
      <w:r w:rsidRPr="00DD2867">
        <w:rPr>
          <w:rFonts w:ascii="Times New Roman" w:hAnsi="Times New Roman" w:cs="Times New Roman"/>
          <w:b/>
          <w:bCs/>
          <w:color w:val="000000"/>
          <w:highlight w:val="yellow"/>
        </w:rPr>
        <w:t>Consent for publication</w:t>
      </w:r>
    </w:p>
    <w:p w14:paraId="05E479A0" w14:textId="77777777" w:rsidR="00473764" w:rsidRDefault="00473764" w:rsidP="00473764">
      <w:pPr>
        <w:pStyle w:val="a9"/>
        <w:spacing w:before="0" w:beforeAutospacing="0" w:after="0" w:afterAutospacing="0"/>
        <w:ind w:firstLine="720"/>
        <w:rPr>
          <w:lang w:eastAsia="zh-CN"/>
        </w:rPr>
      </w:pPr>
      <w:bookmarkStart w:id="2" w:name="_Hlk220978269"/>
      <w:r w:rsidRPr="00DD2867">
        <w:rPr>
          <w:highlight w:val="yellow"/>
        </w:rPr>
        <w:t>Not applicable.</w:t>
      </w:r>
    </w:p>
    <w:bookmarkEnd w:id="2"/>
    <w:p w14:paraId="291AAE5E" w14:textId="77777777" w:rsidR="00473764" w:rsidRPr="00E269DB" w:rsidRDefault="00473764" w:rsidP="00473764">
      <w:pPr>
        <w:pStyle w:val="a9"/>
        <w:spacing w:before="0" w:beforeAutospacing="0" w:after="0" w:afterAutospacing="0"/>
        <w:ind w:firstLine="720"/>
        <w:rPr>
          <w:rStyle w:val="a5"/>
          <w:b w:val="0"/>
          <w:bCs w:val="0"/>
          <w:highlight w:val="yellow"/>
          <w:lang w:eastAsia="zh-CN"/>
        </w:rPr>
      </w:pPr>
      <w:r w:rsidRPr="00E269DB">
        <w:rPr>
          <w:b/>
          <w:bCs/>
          <w:highlight w:val="yellow"/>
        </w:rPr>
        <w:t>Code availability</w:t>
      </w:r>
    </w:p>
    <w:p w14:paraId="7FA00B4F" w14:textId="77777777" w:rsidR="00473764" w:rsidRDefault="00473764" w:rsidP="00473764">
      <w:pPr>
        <w:pStyle w:val="a9"/>
        <w:spacing w:before="0" w:beforeAutospacing="0" w:after="0" w:afterAutospacing="0"/>
        <w:ind w:firstLine="720"/>
        <w:rPr>
          <w:lang w:eastAsia="zh-CN"/>
        </w:rPr>
      </w:pPr>
      <w:r w:rsidRPr="00E269DB">
        <w:rPr>
          <w:highlight w:val="yellow"/>
        </w:rPr>
        <w:t>Not applicable.</w:t>
      </w:r>
    </w:p>
    <w:p w14:paraId="39DEDA9F" w14:textId="77777777" w:rsidR="00473764" w:rsidRPr="00285B7C" w:rsidRDefault="00473764" w:rsidP="00473764">
      <w:pPr>
        <w:pStyle w:val="a9"/>
        <w:spacing w:before="0" w:beforeAutospacing="0" w:after="0" w:afterAutospacing="0"/>
        <w:ind w:firstLine="720"/>
        <w:rPr>
          <w:rStyle w:val="a5"/>
          <w:b w:val="0"/>
          <w:bCs w:val="0"/>
          <w:highlight w:val="yellow"/>
          <w:lang w:val="en-GB" w:eastAsia="zh-CN"/>
        </w:rPr>
      </w:pPr>
      <w:r w:rsidRPr="00285B7C">
        <w:rPr>
          <w:b/>
          <w:bCs/>
          <w:highlight w:val="yellow"/>
          <w:lang w:val="en-GB" w:eastAsia="zh-CN"/>
        </w:rPr>
        <w:t>Declaration of Generative AI and AI-assisted technologies in the writing process</w:t>
      </w:r>
    </w:p>
    <w:p w14:paraId="3575E898" w14:textId="77777777" w:rsidR="00473764" w:rsidRDefault="00473764" w:rsidP="00473764">
      <w:pPr>
        <w:spacing w:after="0" w:line="240" w:lineRule="auto"/>
        <w:rPr>
          <w:highlight w:val="yellow"/>
        </w:rPr>
      </w:pPr>
      <w:r w:rsidRPr="00285B7C">
        <w:rPr>
          <w:highlight w:val="yellow"/>
        </w:rPr>
        <w:t>During the preparation of this work, the authors used AI-assisted technologies in order to improve the readability and language quality of the manuscript. After using this tool, the authors reviewed and edited the content as needed and take full responsibility for the content of the publication.</w:t>
      </w:r>
    </w:p>
    <w:p w14:paraId="0768D91A" w14:textId="77777777" w:rsidR="00B544FD" w:rsidRDefault="00B544FD" w:rsidP="00473764">
      <w:pPr>
        <w:spacing w:after="0" w:line="240" w:lineRule="auto"/>
        <w:rPr>
          <w:rFonts w:ascii="Times New Roman" w:eastAsia="Times New Roman" w:hAnsi="Times New Roman" w:cs="Times New Roman"/>
          <w:sz w:val="24"/>
          <w:szCs w:val="24"/>
          <w:lang w:val="en-US" w:eastAsia="zh-CN" w:bidi="ar-SA"/>
        </w:rPr>
      </w:pPr>
      <w:r>
        <w:rPr>
          <w:rFonts w:ascii="Open Sans" w:eastAsia="Times New Roman" w:hAnsi="Open Sans" w:cs="Open Sans"/>
          <w:b/>
          <w:bCs/>
          <w:sz w:val="21"/>
          <w:szCs w:val="21"/>
          <w:shd w:val="clear" w:color="auto" w:fill="FFFFFF"/>
          <w:lang w:val="en-US" w:eastAsia="zh-CN" w:bidi="ar-SA"/>
        </w:rPr>
        <w:t>Graphical Abstract </w:t>
      </w:r>
    </w:p>
    <w:p w14:paraId="5C5D71AB" w14:textId="3C63DE5F" w:rsidR="00B544FD" w:rsidRDefault="00E01951">
      <w:pPr>
        <w:pStyle w:val="a9"/>
        <w:rPr>
          <w:rStyle w:val="a5"/>
          <w:b w:val="0"/>
          <w:bCs w:val="0"/>
          <w:lang w:eastAsia="zh-CN"/>
        </w:rPr>
      </w:pPr>
      <w:r>
        <w:rPr>
          <w:rStyle w:val="a5"/>
          <w:b w:val="0"/>
          <w:bCs w:val="0"/>
          <w:noProof/>
          <w:lang w:eastAsia="zh-CN"/>
        </w:rPr>
        <w:drawing>
          <wp:inline distT="0" distB="0" distL="0" distR="0" wp14:anchorId="7D1311C7" wp14:editId="7A44CC70">
            <wp:extent cx="5543550" cy="3028950"/>
            <wp:effectExtent l="0" t="0" r="0" b="0"/>
            <wp:docPr id="3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43550" cy="3028950"/>
                    </a:xfrm>
                    <a:prstGeom prst="rect">
                      <a:avLst/>
                    </a:prstGeom>
                    <a:noFill/>
                    <a:ln>
                      <a:noFill/>
                    </a:ln>
                  </pic:spPr>
                </pic:pic>
              </a:graphicData>
            </a:graphic>
          </wp:inline>
        </w:drawing>
      </w:r>
    </w:p>
    <w:p w14:paraId="07DE81F2" w14:textId="77777777" w:rsidR="00B544FD" w:rsidRDefault="00B544FD">
      <w:pPr>
        <w:spacing w:line="240" w:lineRule="auto"/>
        <w:ind w:firstLine="720"/>
        <w:jc w:val="both"/>
        <w:rPr>
          <w:rStyle w:val="a5"/>
          <w:rFonts w:ascii="Times New Roman" w:hAnsi="Times New Roman" w:cs="Times New Roman"/>
          <w:color w:val="000000"/>
        </w:rPr>
      </w:pPr>
      <w:r>
        <w:rPr>
          <w:rStyle w:val="a5"/>
          <w:rFonts w:ascii="Times New Roman" w:hAnsi="Times New Roman" w:cs="Times New Roman"/>
          <w:color w:val="000000"/>
        </w:rPr>
        <w:t xml:space="preserve">References </w:t>
      </w:r>
    </w:p>
    <w:p w14:paraId="7E2BC5B3"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Li, M.</w:t>
      </w:r>
      <w:r>
        <w:rPr>
          <w:lang w:val="en-US"/>
        </w:rPr>
        <w:t xml:space="preserve">, Liu, C., Ding, A., &amp; Xiao, C. (2023). A review on the extraction and recovery of critical metals using molten salt electrolysis. </w:t>
      </w:r>
      <w:r>
        <w:rPr>
          <w:i/>
          <w:iCs/>
          <w:lang w:val="en-US"/>
        </w:rPr>
        <w:t>Journal of Environmental Chemical Engineering</w:t>
      </w:r>
      <w:r>
        <w:rPr>
          <w:lang w:val="en-US"/>
        </w:rPr>
        <w:t xml:space="preserve">, 11, 109746. </w:t>
      </w:r>
    </w:p>
    <w:p w14:paraId="704C6B58"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fr-FR"/>
        </w:rPr>
        <w:t>Mwewa, B.</w:t>
      </w:r>
      <w:r>
        <w:rPr>
          <w:lang w:val="fr-FR"/>
        </w:rPr>
        <w:t xml:space="preserve">, Tadie, M., Ndlovu, S., Simate, G. S., &amp; Matinde, E. (2022). </w:t>
      </w:r>
      <w:r>
        <w:rPr>
          <w:lang w:val="en-US"/>
        </w:rPr>
        <w:t xml:space="preserve">Recovery of rare earth elements from acid mine drainage: A review of extraction methods. </w:t>
      </w:r>
      <w:r>
        <w:rPr>
          <w:i/>
          <w:iCs/>
          <w:lang w:val="en-US"/>
        </w:rPr>
        <w:t>Journal of Environmental Chemical Engineering</w:t>
      </w:r>
      <w:r>
        <w:rPr>
          <w:lang w:val="en-US"/>
        </w:rPr>
        <w:t xml:space="preserve">, 10, 107704. </w:t>
      </w:r>
    </w:p>
    <w:p w14:paraId="3EBF10F8"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Sharifian, S.</w:t>
      </w:r>
      <w:r>
        <w:rPr>
          <w:lang w:val="en-US"/>
        </w:rPr>
        <w:t xml:space="preserve">, &amp; Wang, N.-H. L. (2024). Resin-based approaches for selective extraction and purification of rare earth elements: A review. </w:t>
      </w:r>
      <w:r>
        <w:rPr>
          <w:i/>
          <w:iCs/>
          <w:lang w:val="en-US"/>
        </w:rPr>
        <w:t>Journal of Environmental Chemical Engineering</w:t>
      </w:r>
      <w:r>
        <w:rPr>
          <w:lang w:val="en-US"/>
        </w:rPr>
        <w:t xml:space="preserve">, 112402. </w:t>
      </w:r>
    </w:p>
    <w:p w14:paraId="42FAD9A1"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Sulaiman, R. N. R.</w:t>
      </w:r>
      <w:r>
        <w:rPr>
          <w:lang w:val="en-US"/>
        </w:rPr>
        <w:t xml:space="preserve">, &amp; Othman, N. (2018). Solvent extraction of nickel ions from </w:t>
      </w:r>
      <w:r>
        <w:rPr>
          <w:lang w:val="en-US"/>
        </w:rPr>
        <w:lastRenderedPageBreak/>
        <w:t xml:space="preserve">electroless plating wastewater using a synergistic D2EHPA–octanol mixture. </w:t>
      </w:r>
      <w:r>
        <w:rPr>
          <w:i/>
          <w:iCs/>
          <w:lang w:val="en-US"/>
        </w:rPr>
        <w:t>Journal of Environmental Chemical Engineering</w:t>
      </w:r>
      <w:r>
        <w:rPr>
          <w:lang w:val="en-US"/>
        </w:rPr>
        <w:t xml:space="preserve">, 6, 1814–1820. </w:t>
      </w:r>
    </w:p>
    <w:p w14:paraId="2C7BBFAB"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Vieceli, N.</w:t>
      </w:r>
      <w:r>
        <w:rPr>
          <w:lang w:val="en-US"/>
        </w:rPr>
        <w:t xml:space="preserve">, Reinhardt, N., Ekberg, C., &amp; Petranikova, M. (2020). Optimization of manganese recovery from lithium-ion battery leachates using D2EHPA. </w:t>
      </w:r>
      <w:r>
        <w:rPr>
          <w:i/>
          <w:iCs/>
          <w:lang w:val="en-US"/>
        </w:rPr>
        <w:t>Metals</w:t>
      </w:r>
      <w:r>
        <w:rPr>
          <w:lang w:val="en-US"/>
        </w:rPr>
        <w:t xml:space="preserve">, 11, 54. </w:t>
      </w:r>
    </w:p>
    <w:p w14:paraId="2274D638"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Tahmasebizadeh, P.</w:t>
      </w:r>
      <w:r>
        <w:rPr>
          <w:lang w:val="en-US"/>
        </w:rPr>
        <w:t xml:space="preserve">, &amp; Javanshir, S. (2021). Solvent extraction of zinc from a bioleaching solution by modified D2EHPA: Optimization and thermodynamics. </w:t>
      </w:r>
      <w:r>
        <w:rPr>
          <w:i/>
          <w:iCs/>
          <w:lang w:val="en-US"/>
        </w:rPr>
        <w:t>Journal of Mining and Environment</w:t>
      </w:r>
      <w:r>
        <w:rPr>
          <w:lang w:val="en-US"/>
        </w:rPr>
        <w:t xml:space="preserve">, 12, 253–269. </w:t>
      </w:r>
    </w:p>
    <w:p w14:paraId="774AE6AD"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fr-FR"/>
        </w:rPr>
        <w:t>Li, Y.</w:t>
      </w:r>
      <w:r>
        <w:rPr>
          <w:lang w:val="fr-FR"/>
        </w:rPr>
        <w:t xml:space="preserve">, Luo, X.-Y., Wang, Z., Qian, G., Ni, C., Zhang, J., Liu, C., Ji, H., Luo, X.-B., &amp; Zeng, G. (2023). </w:t>
      </w:r>
      <w:r>
        <w:rPr>
          <w:lang w:val="en-US"/>
        </w:rPr>
        <w:t xml:space="preserve">A novel green synergistic extraction formulation based on D2EHPA for recovering nickel from plating effluent. </w:t>
      </w:r>
      <w:r>
        <w:rPr>
          <w:i/>
          <w:iCs/>
          <w:lang w:val="en-US"/>
        </w:rPr>
        <w:t>Transactions of Nonferrous Metals Society of China</w:t>
      </w:r>
      <w:r>
        <w:rPr>
          <w:lang w:val="en-US"/>
        </w:rPr>
        <w:t xml:space="preserve">, 33, 1282–1295. </w:t>
      </w:r>
    </w:p>
    <w:p w14:paraId="0F806DDE"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Zheng, Q.</w:t>
      </w:r>
      <w:r>
        <w:rPr>
          <w:lang w:val="en-US"/>
        </w:rPr>
        <w:t xml:space="preserve">, Zeng, L., Cao, Z., Wu, S., Li, Q., Wang, M., Guan, W., &amp; Zhang, G. (2023). A green process for stepwise extraction of Cu, Ni, Co, Mn, and Li using a D2EHPA–NNPA system. </w:t>
      </w:r>
      <w:r>
        <w:rPr>
          <w:i/>
          <w:iCs/>
          <w:lang w:val="en-US"/>
        </w:rPr>
        <w:t>Green Chemistry</w:t>
      </w:r>
      <w:r>
        <w:rPr>
          <w:lang w:val="en-US"/>
        </w:rPr>
        <w:t xml:space="preserve">, 25, 10020–10032. </w:t>
      </w:r>
    </w:p>
    <w:p w14:paraId="4D038A3B"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Mohammadzadeh, M.</w:t>
      </w:r>
      <w:r>
        <w:rPr>
          <w:lang w:val="en-US"/>
        </w:rPr>
        <w:t xml:space="preserve">, Bagheri, H., &amp; Ghader, S. (2023). Experimental investigation and thermodynamic modeling of Zn²⁺ and Ni²⁺ extraction from Zn plant residue using D2EHPA. </w:t>
      </w:r>
      <w:r>
        <w:rPr>
          <w:i/>
          <w:iCs/>
          <w:lang w:val="en-US"/>
        </w:rPr>
        <w:t>International Journal of Engineering</w:t>
      </w:r>
      <w:r>
        <w:rPr>
          <w:lang w:val="en-US"/>
        </w:rPr>
        <w:t xml:space="preserve">, 36, 2015–2027. </w:t>
      </w:r>
    </w:p>
    <w:p w14:paraId="1BDAD633"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Ma, H.</w:t>
      </w:r>
      <w:r>
        <w:rPr>
          <w:lang w:val="en-US"/>
        </w:rPr>
        <w:t xml:space="preserve">, Waters, K. E., &amp; Wang, H. (2023). A review of copper and nickel extraction from wastewater by emulsion liquid membrane (ELM). </w:t>
      </w:r>
      <w:r>
        <w:rPr>
          <w:i/>
          <w:iCs/>
          <w:lang w:val="en-US"/>
        </w:rPr>
        <w:t>Mining, Metallurgy &amp; Exploration</w:t>
      </w:r>
      <w:r>
        <w:rPr>
          <w:lang w:val="en-US"/>
        </w:rPr>
        <w:t xml:space="preserve">, 40, 13–39. </w:t>
      </w:r>
    </w:p>
    <w:p w14:paraId="3558110F"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Arslan, F.</w:t>
      </w:r>
      <w:r>
        <w:rPr>
          <w:lang w:val="en-US"/>
        </w:rPr>
        <w:t xml:space="preserve">, Güven, Z. B., Arslan, Ü. Y., Benli, B., &amp; Arslan, C. (2023). Solvent extraction of nickel from iron- and cobalt-containing sulfate solutions. </w:t>
      </w:r>
      <w:r>
        <w:rPr>
          <w:i/>
          <w:iCs/>
          <w:lang w:val="en-US"/>
        </w:rPr>
        <w:t>Materials Science and Engineering</w:t>
      </w:r>
      <w:r>
        <w:rPr>
          <w:lang w:val="en-US"/>
        </w:rPr>
        <w:t xml:space="preserve">, 7, 1–6. </w:t>
      </w:r>
    </w:p>
    <w:p w14:paraId="0E933E93"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Das, S.</w:t>
      </w:r>
      <w:r>
        <w:rPr>
          <w:lang w:val="en-US"/>
        </w:rPr>
        <w:t xml:space="preserve">, Behera, S. S., Murmu, B. M., Mohapatra, R. K., Mandal, D., Samantray, R., Parhi, P. K., &amp; Senanayake, G. (2018). Extraction of scandium(III) from acidic solutions using organophosphoric acid reagents: A comparative study. </w:t>
      </w:r>
      <w:r>
        <w:rPr>
          <w:i/>
          <w:iCs/>
          <w:lang w:val="en-US"/>
        </w:rPr>
        <w:t>Separation and Purification Technology</w:t>
      </w:r>
      <w:r>
        <w:rPr>
          <w:lang w:val="en-US"/>
        </w:rPr>
        <w:t xml:space="preserve">, 202, 248–258. </w:t>
      </w:r>
    </w:p>
    <w:p w14:paraId="41D443E0"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fr-FR"/>
        </w:rPr>
        <w:t>Coelho, M. M. H.</w:t>
      </w:r>
      <w:r>
        <w:rPr>
          <w:lang w:val="fr-FR"/>
        </w:rPr>
        <w:t xml:space="preserve">, Morais, N. W. S., Pereira, E. L., Leitão, R. C., &amp; dos Santos, A. B. (2020). </w:t>
      </w:r>
      <w:r>
        <w:rPr>
          <w:lang w:val="en-US"/>
        </w:rPr>
        <w:t xml:space="preserve">Potential assessment and kinetic modeling of carboxylic acids production using dairy wastewater as substrate. </w:t>
      </w:r>
      <w:r>
        <w:rPr>
          <w:i/>
          <w:iCs/>
          <w:lang w:val="en-US"/>
        </w:rPr>
        <w:t>Biochemical Engineering Journal</w:t>
      </w:r>
      <w:r>
        <w:rPr>
          <w:lang w:val="en-US"/>
        </w:rPr>
        <w:t xml:space="preserve">, 156, 107502. </w:t>
      </w:r>
    </w:p>
    <w:p w14:paraId="073CC43E"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fr-FR"/>
        </w:rPr>
        <w:t>da Silva, M. E. R.</w:t>
      </w:r>
      <w:r>
        <w:rPr>
          <w:lang w:val="fr-FR"/>
        </w:rPr>
        <w:t xml:space="preserve">, Firmino, P. I. M., de Sousa, M. R., &amp; dos Santos, A. B. (2012). </w:t>
      </w:r>
      <w:r>
        <w:rPr>
          <w:lang w:val="en-US"/>
        </w:rPr>
        <w:t xml:space="preserve">Sequential </w:t>
      </w:r>
      <w:r>
        <w:rPr>
          <w:lang w:val="en-US"/>
        </w:rPr>
        <w:lastRenderedPageBreak/>
        <w:t xml:space="preserve">anaerobic/aerobic treatment of dye-containing wastewaters: Colour and COD removals, and ecotoxicity tests. </w:t>
      </w:r>
      <w:r>
        <w:rPr>
          <w:i/>
          <w:iCs/>
          <w:lang w:val="en-US"/>
        </w:rPr>
        <w:t>Applied Biochemistry and Biotechnology</w:t>
      </w:r>
      <w:r>
        <w:rPr>
          <w:lang w:val="en-US"/>
        </w:rPr>
        <w:t xml:space="preserve">, 166, 1057–1069. </w:t>
      </w:r>
    </w:p>
    <w:p w14:paraId="41412629"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fr-FR"/>
        </w:rPr>
        <w:t>Dos Santos, A. B.</w:t>
      </w:r>
      <w:r>
        <w:rPr>
          <w:lang w:val="fr-FR"/>
        </w:rPr>
        <w:t xml:space="preserve">, Bisschops, I. A. E., &amp; Cervantes, F. J. (2006). </w:t>
      </w:r>
      <w:r>
        <w:rPr>
          <w:lang w:val="en-US"/>
        </w:rPr>
        <w:t xml:space="preserve">Closing process water cycles and product recovery in textile industry: Perspective for biological treatment. In </w:t>
      </w:r>
      <w:r>
        <w:rPr>
          <w:i/>
          <w:iCs/>
          <w:lang w:val="en-US"/>
        </w:rPr>
        <w:t>Advances in Biological Treatment of Industrial Wastewater</w:t>
      </w:r>
      <w:r>
        <w:rPr>
          <w:lang w:val="en-US"/>
        </w:rPr>
        <w:t xml:space="preserve"> (pp. 298–320). </w:t>
      </w:r>
    </w:p>
    <w:p w14:paraId="7B61D01A"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fr-FR"/>
        </w:rPr>
        <w:t>Firmino, P. I. M.</w:t>
      </w:r>
      <w:r>
        <w:rPr>
          <w:lang w:val="fr-FR"/>
        </w:rPr>
        <w:t xml:space="preserve">, da Silva, M. E. R., Cervantes, F. J., &amp; dos Santos, A. B. (2010). </w:t>
      </w:r>
      <w:r>
        <w:rPr>
          <w:lang w:val="en-US"/>
        </w:rPr>
        <w:t xml:space="preserve">Colour removal of dyes from synthetic and real textile wastewaters in one- and two-stage anaerobic systems. </w:t>
      </w:r>
      <w:r>
        <w:rPr>
          <w:i/>
          <w:iCs/>
          <w:lang w:val="en-US"/>
        </w:rPr>
        <w:t>Bioresource Technology</w:t>
      </w:r>
      <w:r>
        <w:rPr>
          <w:lang w:val="en-US"/>
        </w:rPr>
        <w:t xml:space="preserve">, 101, 7773–7779. </w:t>
      </w:r>
    </w:p>
    <w:p w14:paraId="72797425"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Alizadeh, S.</w:t>
      </w:r>
      <w:r>
        <w:rPr>
          <w:lang w:val="en-US"/>
        </w:rPr>
        <w:t xml:space="preserve">, Abdollahy, M., Darban, A. K., &amp; Mohseni, M. (2021). Thermodynamics of the selective separation of La(III) and Y(III) from nitrate medium by D2EHPA in the presence of Al(III) and Ca(II) impurities. </w:t>
      </w:r>
      <w:r>
        <w:rPr>
          <w:i/>
          <w:iCs/>
          <w:lang w:val="en-US"/>
        </w:rPr>
        <w:t>Mining, Metallurgy &amp; Exploration</w:t>
      </w:r>
      <w:r>
        <w:rPr>
          <w:lang w:val="en-US"/>
        </w:rPr>
        <w:t xml:space="preserve">, 38, 2255–2270. </w:t>
      </w:r>
    </w:p>
    <w:p w14:paraId="3869B5A4"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Chagnes, A.</w:t>
      </w:r>
      <w:r>
        <w:rPr>
          <w:lang w:val="en-US"/>
        </w:rPr>
        <w:t xml:space="preserve"> (2020). Simulation of solvent extraction flowsheets by a global model combining physicochemical and engineering approaches Application to cobalt(II) extraction by D2EHPA. </w:t>
      </w:r>
      <w:r>
        <w:rPr>
          <w:i/>
          <w:iCs/>
          <w:lang w:val="en-US"/>
        </w:rPr>
        <w:t>Solvent Extraction and Ion Exchange</w:t>
      </w:r>
      <w:r>
        <w:rPr>
          <w:lang w:val="en-US"/>
        </w:rPr>
        <w:t xml:space="preserve">, 38, 3–13. </w:t>
      </w:r>
    </w:p>
    <w:p w14:paraId="4A6A1457"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fr-FR"/>
        </w:rPr>
        <w:t>Mishra, B. B.</w:t>
      </w:r>
      <w:r>
        <w:rPr>
          <w:lang w:val="fr-FR"/>
        </w:rPr>
        <w:t xml:space="preserve">, &amp; Devi, N. (2020). </w:t>
      </w:r>
      <w:r>
        <w:rPr>
          <w:lang w:val="en-US"/>
        </w:rPr>
        <w:t xml:space="preserve">Extraction and separation of samarium from chloride medium using D2EHPA and [P66614][D2EHP]. </w:t>
      </w:r>
      <w:r>
        <w:rPr>
          <w:i/>
          <w:iCs/>
          <w:lang w:val="en-US"/>
        </w:rPr>
        <w:t>Transactions of the Indian Institute of Metals</w:t>
      </w:r>
      <w:r>
        <w:rPr>
          <w:lang w:val="en-US"/>
        </w:rPr>
        <w:t xml:space="preserve">, 73, 2247–2257. </w:t>
      </w:r>
    </w:p>
    <w:p w14:paraId="629B3D8C"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Mohammadzadeh, M.</w:t>
      </w:r>
      <w:r>
        <w:rPr>
          <w:lang w:val="en-US"/>
        </w:rPr>
        <w:t xml:space="preserve">, Bagheri, H., &amp; Ghader, S. (2022). Solvent extraction of nickel and zinc from nitric acid solution using D2EHPA: Experimental and modeling. </w:t>
      </w:r>
      <w:r>
        <w:rPr>
          <w:i/>
          <w:iCs/>
          <w:lang w:val="en-US"/>
        </w:rPr>
        <w:t>Journal of Solution Chemistry</w:t>
      </w:r>
      <w:r>
        <w:rPr>
          <w:lang w:val="en-US"/>
        </w:rPr>
        <w:t xml:space="preserve">, 51, 424–447. </w:t>
      </w:r>
    </w:p>
    <w:p w14:paraId="78950BEF"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Juang, R. S.</w:t>
      </w:r>
      <w:r>
        <w:rPr>
          <w:lang w:val="en-US"/>
        </w:rPr>
        <w:t xml:space="preserve">, &amp; Chang, Y. T. (1991). Extraction of zinc from sulfate solutions with bis (2-ethylhexyl) phosphoric acid in the presence of tri-n-octylphosphine oxide. </w:t>
      </w:r>
      <w:r>
        <w:rPr>
          <w:i/>
          <w:iCs/>
          <w:lang w:val="en-US"/>
        </w:rPr>
        <w:t>Industrial &amp; Engineering Chemistry Research</w:t>
      </w:r>
      <w:r>
        <w:rPr>
          <w:lang w:val="en-US"/>
        </w:rPr>
        <w:t xml:space="preserve">, 30(11), 2444-2449. </w:t>
      </w:r>
    </w:p>
    <w:p w14:paraId="08F7B522"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Komasawa, I.</w:t>
      </w:r>
      <w:r>
        <w:rPr>
          <w:lang w:val="en-US"/>
        </w:rPr>
        <w:t xml:space="preserve">, Otake, T., &amp; Higaki, Y. (1981). Equilibrium studies of the extraction of divalent metals from nitrate media with di-(2-ethylhexyl) phosphoric acid. </w:t>
      </w:r>
      <w:r>
        <w:rPr>
          <w:i/>
          <w:iCs/>
          <w:lang w:val="en-US"/>
        </w:rPr>
        <w:t>Journal of Inorganic and Nuclear Chemistry</w:t>
      </w:r>
      <w:r>
        <w:rPr>
          <w:lang w:val="en-US"/>
        </w:rPr>
        <w:t xml:space="preserve">, 43(12), 3351-3356. </w:t>
      </w:r>
    </w:p>
    <w:p w14:paraId="21EC7CA5" w14:textId="77777777" w:rsidR="002B01D4" w:rsidRPr="002B01D4" w:rsidRDefault="002B01D4">
      <w:pPr>
        <w:widowControl w:val="0"/>
        <w:numPr>
          <w:ilvl w:val="0"/>
          <w:numId w:val="2"/>
        </w:numPr>
        <w:tabs>
          <w:tab w:val="left" w:pos="720"/>
        </w:tabs>
        <w:autoSpaceDE w:val="0"/>
        <w:autoSpaceDN w:val="0"/>
        <w:adjustRightInd w:val="0"/>
        <w:spacing w:line="360" w:lineRule="auto"/>
        <w:rPr>
          <w:b/>
          <w:bCs/>
          <w:lang w:val="en-US"/>
        </w:rPr>
      </w:pPr>
      <w:r w:rsidRPr="002B01D4">
        <w:rPr>
          <w:b/>
          <w:bCs/>
          <w:lang w:val="en-US"/>
        </w:rPr>
        <w:t>Louichaoui, T., Barkat, D., &amp; Ghebghoub, F</w:t>
      </w:r>
      <w:r w:rsidRPr="002B01D4">
        <w:rPr>
          <w:lang w:val="en-US"/>
        </w:rPr>
        <w:t>. (2024). Synergistic extraction of cobalt (II) and nickel (II) with a mixture of D2EHPA and 1-octanol. Chemical Engineering Communications, 211(6), 952–959. https://doi.org/10.1080/00986445.2023.2300783</w:t>
      </w:r>
    </w:p>
    <w:p w14:paraId="08768EA0"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Ghebghoub, F.</w:t>
      </w:r>
      <w:r>
        <w:rPr>
          <w:lang w:val="en-US"/>
        </w:rPr>
        <w:t xml:space="preserve">, &amp; Barkat, D. (2009). The effect of diluents on the extraction of copper(II) with di(2-ethylhexyl) phosphoric acid. </w:t>
      </w:r>
      <w:r>
        <w:rPr>
          <w:i/>
          <w:iCs/>
          <w:lang w:val="en-US"/>
        </w:rPr>
        <w:t>Journal of Coordination Chemistry</w:t>
      </w:r>
      <w:r>
        <w:rPr>
          <w:lang w:val="en-US"/>
        </w:rPr>
        <w:t>, 62(9), 1449–</w:t>
      </w:r>
      <w:r>
        <w:rPr>
          <w:lang w:val="en-US"/>
        </w:rPr>
        <w:lastRenderedPageBreak/>
        <w:t xml:space="preserve">1456. </w:t>
      </w:r>
    </w:p>
    <w:p w14:paraId="474A4AF2"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Tao, W.</w:t>
      </w:r>
      <w:r>
        <w:rPr>
          <w:lang w:val="en-US"/>
        </w:rPr>
        <w:t xml:space="preserve">, &amp; Nagaosa, Y. (2003). Solvent extraction of copper(II) with di-2-methylnonylphosphoric acid in various organic diluents. </w:t>
      </w:r>
      <w:r>
        <w:rPr>
          <w:i/>
          <w:iCs/>
          <w:lang w:val="en-US"/>
        </w:rPr>
        <w:t>Solvent Extraction and Ion Exchange</w:t>
      </w:r>
      <w:r>
        <w:rPr>
          <w:lang w:val="en-US"/>
        </w:rPr>
        <w:t xml:space="preserve">, 21(2), 273–290. </w:t>
      </w:r>
    </w:p>
    <w:p w14:paraId="0829EFF2"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Gayathiri, E.</w:t>
      </w:r>
      <w:r>
        <w:rPr>
          <w:lang w:val="en-US"/>
        </w:rPr>
        <w:t xml:space="preserve">, Prakash, P., Karmegam, N., Varjani, S., Awasthi, M. K., &amp; Ravindran, B. (2022). Biosurfactants: Potential eco-friendly materials for sustainable agriculture and environmental safety: A review. </w:t>
      </w:r>
      <w:r>
        <w:rPr>
          <w:i/>
          <w:iCs/>
          <w:lang w:val="en-US"/>
        </w:rPr>
        <w:t>Agronomy</w:t>
      </w:r>
      <w:r>
        <w:rPr>
          <w:lang w:val="en-US"/>
        </w:rPr>
        <w:t xml:space="preserve">, 12(3), 662. </w:t>
      </w:r>
    </w:p>
    <w:p w14:paraId="4BE6DC13"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Bahfie, F.</w:t>
      </w:r>
      <w:r>
        <w:rPr>
          <w:lang w:val="en-US"/>
        </w:rPr>
        <w:t xml:space="preserve">, Hidayat, A., Oediyani, S., Manaf, A., Astuti, W., Nurjaman, F., Prasetyo, E., Park, I., Susanti, D., &amp; Rakesh, B. (2023). Separation and purification of nickel and cobalt from pregnant leach solution by conventional vs ionic liquid extractants: An overview. </w:t>
      </w:r>
      <w:r>
        <w:rPr>
          <w:i/>
          <w:iCs/>
          <w:lang w:val="en-US"/>
        </w:rPr>
        <w:t>Periodico di Mineralogia</w:t>
      </w:r>
      <w:r>
        <w:rPr>
          <w:lang w:val="en-US"/>
        </w:rPr>
        <w:t xml:space="preserve">, 92. </w:t>
      </w:r>
    </w:p>
    <w:p w14:paraId="7295917A"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fr-FR"/>
        </w:rPr>
        <w:t>Batchu, N. K.</w:t>
      </w:r>
      <w:r>
        <w:rPr>
          <w:lang w:val="fr-FR"/>
        </w:rPr>
        <w:t xml:space="preserve">, Li, Z., Verbelen, B., &amp; Binnemans, K. (2021). </w:t>
      </w:r>
      <w:r>
        <w:rPr>
          <w:lang w:val="en-US"/>
        </w:rPr>
        <w:t xml:space="preserve">Structural effects of neutral organophosphorus extractants on solvent extraction of rare-earth elements from aqueous and non-aqueous nitrate solutions. </w:t>
      </w:r>
      <w:r>
        <w:rPr>
          <w:i/>
          <w:iCs/>
          <w:lang w:val="en-US"/>
        </w:rPr>
        <w:t>Separation and Purification Technology</w:t>
      </w:r>
      <w:r>
        <w:rPr>
          <w:lang w:val="en-US"/>
        </w:rPr>
        <w:t xml:space="preserve">, 255, 117711. </w:t>
      </w:r>
    </w:p>
    <w:p w14:paraId="6EFAE795"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Preston, J. S.</w:t>
      </w:r>
      <w:r>
        <w:rPr>
          <w:lang w:val="en-US"/>
        </w:rPr>
        <w:t xml:space="preserve"> (1982). Solvent extraction of cobalt and nickel by organophosphorus acids: Part I. </w:t>
      </w:r>
      <w:r>
        <w:rPr>
          <w:i/>
          <w:iCs/>
          <w:lang w:val="en-US"/>
        </w:rPr>
        <w:t>Hydrometallurgy</w:t>
      </w:r>
      <w:r>
        <w:rPr>
          <w:lang w:val="en-US"/>
        </w:rPr>
        <w:t xml:space="preserve">, 9(2), 115–133. </w:t>
      </w:r>
    </w:p>
    <w:p w14:paraId="2A933F7C"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fr-FR"/>
        </w:rPr>
        <w:t>Van de Voorde, I.</w:t>
      </w:r>
      <w:r>
        <w:rPr>
          <w:lang w:val="fr-FR"/>
        </w:rPr>
        <w:t xml:space="preserve">, Pinoy, L., Courtijn, E., &amp; Verpoort, F. (2005). </w:t>
      </w:r>
      <w:r>
        <w:rPr>
          <w:lang w:val="en-US"/>
        </w:rPr>
        <w:t xml:space="preserve">Influence of acetate ions and diluents on the extraction of several metal ions using different extractants. </w:t>
      </w:r>
      <w:r>
        <w:rPr>
          <w:i/>
          <w:iCs/>
          <w:lang w:val="en-US"/>
        </w:rPr>
        <w:t>Hydrometallurgy</w:t>
      </w:r>
      <w:r>
        <w:rPr>
          <w:lang w:val="en-US"/>
        </w:rPr>
        <w:t xml:space="preserve">, 78(1-2), 92–106. </w:t>
      </w:r>
    </w:p>
    <w:p w14:paraId="6DF7315D" w14:textId="77777777" w:rsidR="00B544FD" w:rsidRDefault="00B544FD">
      <w:pPr>
        <w:widowControl w:val="0"/>
        <w:numPr>
          <w:ilvl w:val="0"/>
          <w:numId w:val="2"/>
        </w:numPr>
        <w:tabs>
          <w:tab w:val="left" w:pos="720"/>
        </w:tabs>
        <w:autoSpaceDE w:val="0"/>
        <w:autoSpaceDN w:val="0"/>
        <w:adjustRightInd w:val="0"/>
        <w:spacing w:line="360" w:lineRule="auto"/>
        <w:rPr>
          <w:lang w:val="en-US"/>
        </w:rPr>
      </w:pPr>
      <w:r>
        <w:rPr>
          <w:b/>
          <w:bCs/>
          <w:lang w:val="en-US"/>
        </w:rPr>
        <w:t>Ying, Z.</w:t>
      </w:r>
      <w:r>
        <w:rPr>
          <w:lang w:val="en-US"/>
        </w:rPr>
        <w:t xml:space="preserve">, Liu, S., Li, G., Wei, Q., &amp; Ren, X. (2023). The effect of diluent on extraction systems: Amide extraction of chromium(VI) as a model. </w:t>
      </w:r>
      <w:r>
        <w:rPr>
          <w:i/>
          <w:iCs/>
          <w:lang w:val="en-US"/>
        </w:rPr>
        <w:t>Journal of Molecular Liquids</w:t>
      </w:r>
      <w:r>
        <w:rPr>
          <w:lang w:val="en-US"/>
        </w:rPr>
        <w:t xml:space="preserve">, 384, 122205. </w:t>
      </w:r>
    </w:p>
    <w:p w14:paraId="3F2DBB44" w14:textId="77777777" w:rsidR="006C2EDC" w:rsidRDefault="006C2EDC">
      <w:pPr>
        <w:widowControl w:val="0"/>
        <w:numPr>
          <w:ilvl w:val="0"/>
          <w:numId w:val="2"/>
        </w:numPr>
        <w:tabs>
          <w:tab w:val="left" w:pos="720"/>
        </w:tabs>
        <w:autoSpaceDE w:val="0"/>
        <w:autoSpaceDN w:val="0"/>
        <w:adjustRightInd w:val="0"/>
        <w:spacing w:line="360" w:lineRule="auto"/>
        <w:rPr>
          <w:lang w:val="en-US"/>
        </w:rPr>
      </w:pPr>
      <w:r w:rsidRPr="006C2EDC">
        <w:rPr>
          <w:lang w:val="en-US"/>
        </w:rPr>
        <w:t>Gujar, R. B., Ansari, S. A., Prabhu, D. R., Pathak, P. N., Sengupta, A., Thulasidas, S. K., Mohapatra, P. K., &amp; Manchanda, V. K. (2012). Actinide Partitioning with a Modified TODGA Solvent: Counter-Current Extraction Studies with Simulated High Level Waste. Solvent Extraction and Ion Exchange, 30(2), 156–170. https://doi.org/10.1080/07366299.2011.609392</w:t>
      </w:r>
    </w:p>
    <w:p w14:paraId="5875EA8E" w14:textId="77777777" w:rsidR="00FD1C25" w:rsidRDefault="00FD1C25">
      <w:pPr>
        <w:widowControl w:val="0"/>
        <w:autoSpaceDE w:val="0"/>
        <w:autoSpaceDN w:val="0"/>
        <w:adjustRightInd w:val="0"/>
        <w:spacing w:line="360" w:lineRule="auto"/>
        <w:ind w:left="480" w:hanging="480"/>
        <w:rPr>
          <w:rtl/>
          <w:lang w:val="en-US"/>
        </w:rPr>
      </w:pPr>
    </w:p>
    <w:sectPr w:rsidR="00FD1C25">
      <w:headerReference w:type="default" r:id="rId72"/>
      <w:pgSz w:w="11907" w:h="16840"/>
      <w:pgMar w:top="1440" w:right="1588" w:bottom="1134" w:left="1588"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4C5BC" w14:textId="77777777" w:rsidR="003D46DE" w:rsidRDefault="003D46DE">
      <w:pPr>
        <w:spacing w:after="0" w:line="240" w:lineRule="auto"/>
      </w:pPr>
      <w:r>
        <w:separator/>
      </w:r>
    </w:p>
  </w:endnote>
  <w:endnote w:type="continuationSeparator" w:id="0">
    <w:p w14:paraId="0A07469B" w14:textId="77777777" w:rsidR="003D46DE" w:rsidRDefault="003D4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8300E" w14:textId="77777777" w:rsidR="003D46DE" w:rsidRDefault="003D46DE">
      <w:pPr>
        <w:spacing w:after="0" w:line="240" w:lineRule="auto"/>
      </w:pPr>
      <w:r>
        <w:separator/>
      </w:r>
    </w:p>
  </w:footnote>
  <w:footnote w:type="continuationSeparator" w:id="0">
    <w:p w14:paraId="0AC7C8AA" w14:textId="77777777" w:rsidR="003D46DE" w:rsidRDefault="003D4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6366" w14:textId="77777777" w:rsidR="00B544FD" w:rsidRDefault="00B544FD">
    <w:pPr>
      <w:pStyle w:val="ad"/>
      <w:ind w:left="-567"/>
    </w:pPr>
    <w:r>
      <w:t>Digest Journal of Nanomaterials and Biostructures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A744C"/>
    <w:multiLevelType w:val="multilevel"/>
    <w:tmpl w:val="570A74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7D2973B5"/>
    <w:multiLevelType w:val="multilevel"/>
    <w:tmpl w:val="7D2973B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24708213">
    <w:abstractNumId w:val="0"/>
  </w:num>
  <w:num w:numId="2" w16cid:durableId="1526282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EB8"/>
    <w:rsid w:val="000014B4"/>
    <w:rsid w:val="00001846"/>
    <w:rsid w:val="00006A3A"/>
    <w:rsid w:val="00007734"/>
    <w:rsid w:val="000079FF"/>
    <w:rsid w:val="00010352"/>
    <w:rsid w:val="00013CF9"/>
    <w:rsid w:val="00024D46"/>
    <w:rsid w:val="000252C4"/>
    <w:rsid w:val="00032F11"/>
    <w:rsid w:val="00050612"/>
    <w:rsid w:val="00052D60"/>
    <w:rsid w:val="00053093"/>
    <w:rsid w:val="00055828"/>
    <w:rsid w:val="00062FDB"/>
    <w:rsid w:val="000670D2"/>
    <w:rsid w:val="0007172E"/>
    <w:rsid w:val="000731CA"/>
    <w:rsid w:val="0007511A"/>
    <w:rsid w:val="00077815"/>
    <w:rsid w:val="00084F4E"/>
    <w:rsid w:val="00092BF5"/>
    <w:rsid w:val="00093CF2"/>
    <w:rsid w:val="000A2BBF"/>
    <w:rsid w:val="000B0871"/>
    <w:rsid w:val="000B42E3"/>
    <w:rsid w:val="000C0D35"/>
    <w:rsid w:val="000C3F46"/>
    <w:rsid w:val="000C5A02"/>
    <w:rsid w:val="000D7916"/>
    <w:rsid w:val="000E2897"/>
    <w:rsid w:val="000E7D47"/>
    <w:rsid w:val="001017AF"/>
    <w:rsid w:val="0010218E"/>
    <w:rsid w:val="0012156D"/>
    <w:rsid w:val="0012499C"/>
    <w:rsid w:val="00124EB8"/>
    <w:rsid w:val="00126151"/>
    <w:rsid w:val="00127776"/>
    <w:rsid w:val="00135407"/>
    <w:rsid w:val="00135D72"/>
    <w:rsid w:val="001371C6"/>
    <w:rsid w:val="00141AE7"/>
    <w:rsid w:val="00151835"/>
    <w:rsid w:val="001526DD"/>
    <w:rsid w:val="00153F69"/>
    <w:rsid w:val="00163432"/>
    <w:rsid w:val="00167C1E"/>
    <w:rsid w:val="00176404"/>
    <w:rsid w:val="001804AA"/>
    <w:rsid w:val="00180C0C"/>
    <w:rsid w:val="001861FF"/>
    <w:rsid w:val="00193A7E"/>
    <w:rsid w:val="0019452D"/>
    <w:rsid w:val="00197033"/>
    <w:rsid w:val="001A0C9D"/>
    <w:rsid w:val="001B6C52"/>
    <w:rsid w:val="001C47CC"/>
    <w:rsid w:val="001C547D"/>
    <w:rsid w:val="001C6DAC"/>
    <w:rsid w:val="001D2A56"/>
    <w:rsid w:val="001D723A"/>
    <w:rsid w:val="001F30B8"/>
    <w:rsid w:val="001F6054"/>
    <w:rsid w:val="001F7CCA"/>
    <w:rsid w:val="0020031F"/>
    <w:rsid w:val="002031E7"/>
    <w:rsid w:val="00217D40"/>
    <w:rsid w:val="00222D3F"/>
    <w:rsid w:val="0023051C"/>
    <w:rsid w:val="00247C93"/>
    <w:rsid w:val="002541D0"/>
    <w:rsid w:val="00264442"/>
    <w:rsid w:val="0026629C"/>
    <w:rsid w:val="00274170"/>
    <w:rsid w:val="0027446A"/>
    <w:rsid w:val="00282358"/>
    <w:rsid w:val="00284828"/>
    <w:rsid w:val="00285B7C"/>
    <w:rsid w:val="00290BD8"/>
    <w:rsid w:val="00295C32"/>
    <w:rsid w:val="002A098B"/>
    <w:rsid w:val="002A11E0"/>
    <w:rsid w:val="002B01D4"/>
    <w:rsid w:val="002B1795"/>
    <w:rsid w:val="002B1A71"/>
    <w:rsid w:val="002B5CDA"/>
    <w:rsid w:val="002C55DF"/>
    <w:rsid w:val="002C732E"/>
    <w:rsid w:val="002F2682"/>
    <w:rsid w:val="002F615D"/>
    <w:rsid w:val="002F62F0"/>
    <w:rsid w:val="00303D4E"/>
    <w:rsid w:val="00312CA7"/>
    <w:rsid w:val="00313880"/>
    <w:rsid w:val="00320E2C"/>
    <w:rsid w:val="00333799"/>
    <w:rsid w:val="00342272"/>
    <w:rsid w:val="00344706"/>
    <w:rsid w:val="00352BE8"/>
    <w:rsid w:val="003549D5"/>
    <w:rsid w:val="003629C4"/>
    <w:rsid w:val="00366F56"/>
    <w:rsid w:val="003679CA"/>
    <w:rsid w:val="0037539D"/>
    <w:rsid w:val="00375444"/>
    <w:rsid w:val="00376D6E"/>
    <w:rsid w:val="00397A78"/>
    <w:rsid w:val="003A75C1"/>
    <w:rsid w:val="003B1480"/>
    <w:rsid w:val="003B193D"/>
    <w:rsid w:val="003B55E5"/>
    <w:rsid w:val="003C0D59"/>
    <w:rsid w:val="003C26FA"/>
    <w:rsid w:val="003C5879"/>
    <w:rsid w:val="003C5A7F"/>
    <w:rsid w:val="003D2024"/>
    <w:rsid w:val="003D46DE"/>
    <w:rsid w:val="003D5D01"/>
    <w:rsid w:val="003E3849"/>
    <w:rsid w:val="00400366"/>
    <w:rsid w:val="00404406"/>
    <w:rsid w:val="00412887"/>
    <w:rsid w:val="00415220"/>
    <w:rsid w:val="0043246A"/>
    <w:rsid w:val="0044042B"/>
    <w:rsid w:val="004404B8"/>
    <w:rsid w:val="004448B7"/>
    <w:rsid w:val="004506E7"/>
    <w:rsid w:val="00450E3A"/>
    <w:rsid w:val="0045596E"/>
    <w:rsid w:val="00470A35"/>
    <w:rsid w:val="004711C0"/>
    <w:rsid w:val="004711DB"/>
    <w:rsid w:val="00473764"/>
    <w:rsid w:val="00474D18"/>
    <w:rsid w:val="00480A09"/>
    <w:rsid w:val="0048341A"/>
    <w:rsid w:val="004836F7"/>
    <w:rsid w:val="00484276"/>
    <w:rsid w:val="004877D5"/>
    <w:rsid w:val="00492AF7"/>
    <w:rsid w:val="0049579C"/>
    <w:rsid w:val="004A07D5"/>
    <w:rsid w:val="004A083E"/>
    <w:rsid w:val="004A4046"/>
    <w:rsid w:val="004A4BAB"/>
    <w:rsid w:val="004A5FEF"/>
    <w:rsid w:val="004A6DA5"/>
    <w:rsid w:val="004B1625"/>
    <w:rsid w:val="004B4671"/>
    <w:rsid w:val="004D12BE"/>
    <w:rsid w:val="004D4B97"/>
    <w:rsid w:val="004D52D0"/>
    <w:rsid w:val="004D61D6"/>
    <w:rsid w:val="004E2BDB"/>
    <w:rsid w:val="004E4031"/>
    <w:rsid w:val="004F3B19"/>
    <w:rsid w:val="004F407D"/>
    <w:rsid w:val="00503040"/>
    <w:rsid w:val="00506289"/>
    <w:rsid w:val="0050677A"/>
    <w:rsid w:val="005109CF"/>
    <w:rsid w:val="0051565A"/>
    <w:rsid w:val="00515864"/>
    <w:rsid w:val="0052170E"/>
    <w:rsid w:val="00522BEB"/>
    <w:rsid w:val="00524FEF"/>
    <w:rsid w:val="00527996"/>
    <w:rsid w:val="0053206C"/>
    <w:rsid w:val="00533547"/>
    <w:rsid w:val="00533817"/>
    <w:rsid w:val="00536B6D"/>
    <w:rsid w:val="00537F29"/>
    <w:rsid w:val="00540485"/>
    <w:rsid w:val="00540A79"/>
    <w:rsid w:val="00540FBD"/>
    <w:rsid w:val="0054228B"/>
    <w:rsid w:val="005440EC"/>
    <w:rsid w:val="00546DFE"/>
    <w:rsid w:val="005548AE"/>
    <w:rsid w:val="0055763A"/>
    <w:rsid w:val="00563A31"/>
    <w:rsid w:val="00564A50"/>
    <w:rsid w:val="005723D3"/>
    <w:rsid w:val="00573231"/>
    <w:rsid w:val="00577D5D"/>
    <w:rsid w:val="005947A1"/>
    <w:rsid w:val="00597564"/>
    <w:rsid w:val="005A470B"/>
    <w:rsid w:val="005B0D30"/>
    <w:rsid w:val="005B2476"/>
    <w:rsid w:val="005B4802"/>
    <w:rsid w:val="005C1ADF"/>
    <w:rsid w:val="005C4D56"/>
    <w:rsid w:val="005C731D"/>
    <w:rsid w:val="005D3569"/>
    <w:rsid w:val="005D3793"/>
    <w:rsid w:val="005D3BAE"/>
    <w:rsid w:val="005E4077"/>
    <w:rsid w:val="005F6F0C"/>
    <w:rsid w:val="00603CB5"/>
    <w:rsid w:val="00607A37"/>
    <w:rsid w:val="00614C01"/>
    <w:rsid w:val="006221AD"/>
    <w:rsid w:val="00623C76"/>
    <w:rsid w:val="006248BF"/>
    <w:rsid w:val="0063568C"/>
    <w:rsid w:val="00651F8B"/>
    <w:rsid w:val="00654F82"/>
    <w:rsid w:val="00663132"/>
    <w:rsid w:val="006639FF"/>
    <w:rsid w:val="00673C5E"/>
    <w:rsid w:val="00676437"/>
    <w:rsid w:val="00676ECC"/>
    <w:rsid w:val="00681A5E"/>
    <w:rsid w:val="00697080"/>
    <w:rsid w:val="006A0424"/>
    <w:rsid w:val="006A70FF"/>
    <w:rsid w:val="006B1A73"/>
    <w:rsid w:val="006B3219"/>
    <w:rsid w:val="006B3D1C"/>
    <w:rsid w:val="006C0231"/>
    <w:rsid w:val="006C0564"/>
    <w:rsid w:val="006C1F57"/>
    <w:rsid w:val="006C2EDC"/>
    <w:rsid w:val="006C3C3D"/>
    <w:rsid w:val="006C3EC8"/>
    <w:rsid w:val="006E2717"/>
    <w:rsid w:val="006F5A14"/>
    <w:rsid w:val="006F6F00"/>
    <w:rsid w:val="006F730D"/>
    <w:rsid w:val="00705444"/>
    <w:rsid w:val="00710E1D"/>
    <w:rsid w:val="00730FC6"/>
    <w:rsid w:val="0073265F"/>
    <w:rsid w:val="00736772"/>
    <w:rsid w:val="007424FA"/>
    <w:rsid w:val="00743DCC"/>
    <w:rsid w:val="0075088D"/>
    <w:rsid w:val="00755375"/>
    <w:rsid w:val="007556BC"/>
    <w:rsid w:val="007636D1"/>
    <w:rsid w:val="007655E4"/>
    <w:rsid w:val="00766B05"/>
    <w:rsid w:val="007672F4"/>
    <w:rsid w:val="0077078D"/>
    <w:rsid w:val="0077132D"/>
    <w:rsid w:val="007753E0"/>
    <w:rsid w:val="00781CF8"/>
    <w:rsid w:val="00784D55"/>
    <w:rsid w:val="00790D25"/>
    <w:rsid w:val="0079168E"/>
    <w:rsid w:val="00793DB0"/>
    <w:rsid w:val="00796CA8"/>
    <w:rsid w:val="007A43F3"/>
    <w:rsid w:val="007B6062"/>
    <w:rsid w:val="007B6FAC"/>
    <w:rsid w:val="007C4963"/>
    <w:rsid w:val="007C5680"/>
    <w:rsid w:val="007C61AF"/>
    <w:rsid w:val="007E023D"/>
    <w:rsid w:val="007E4BEA"/>
    <w:rsid w:val="007F4741"/>
    <w:rsid w:val="007F5CC3"/>
    <w:rsid w:val="00806884"/>
    <w:rsid w:val="00811F02"/>
    <w:rsid w:val="008143F1"/>
    <w:rsid w:val="00825338"/>
    <w:rsid w:val="00830B1B"/>
    <w:rsid w:val="00831559"/>
    <w:rsid w:val="008325BC"/>
    <w:rsid w:val="00833CA6"/>
    <w:rsid w:val="00836E1C"/>
    <w:rsid w:val="008410ED"/>
    <w:rsid w:val="00851557"/>
    <w:rsid w:val="00852C35"/>
    <w:rsid w:val="008534B7"/>
    <w:rsid w:val="00856C37"/>
    <w:rsid w:val="00865096"/>
    <w:rsid w:val="008719D6"/>
    <w:rsid w:val="00873F91"/>
    <w:rsid w:val="008834C5"/>
    <w:rsid w:val="0088786D"/>
    <w:rsid w:val="00891C27"/>
    <w:rsid w:val="00896789"/>
    <w:rsid w:val="008968F2"/>
    <w:rsid w:val="00897E05"/>
    <w:rsid w:val="008A7049"/>
    <w:rsid w:val="008B3AB7"/>
    <w:rsid w:val="008D18EA"/>
    <w:rsid w:val="008D5810"/>
    <w:rsid w:val="008E0951"/>
    <w:rsid w:val="008F32B6"/>
    <w:rsid w:val="0090225D"/>
    <w:rsid w:val="009037BA"/>
    <w:rsid w:val="00905A23"/>
    <w:rsid w:val="00907D19"/>
    <w:rsid w:val="0091029F"/>
    <w:rsid w:val="00910FC8"/>
    <w:rsid w:val="009140B4"/>
    <w:rsid w:val="00920FD6"/>
    <w:rsid w:val="00921082"/>
    <w:rsid w:val="00927B65"/>
    <w:rsid w:val="009405E0"/>
    <w:rsid w:val="00942C21"/>
    <w:rsid w:val="00961074"/>
    <w:rsid w:val="009611A3"/>
    <w:rsid w:val="009763C5"/>
    <w:rsid w:val="00977595"/>
    <w:rsid w:val="00984F9C"/>
    <w:rsid w:val="00985AEE"/>
    <w:rsid w:val="00986C0D"/>
    <w:rsid w:val="009929C2"/>
    <w:rsid w:val="009A4AA4"/>
    <w:rsid w:val="009A4BC1"/>
    <w:rsid w:val="009B4A9D"/>
    <w:rsid w:val="009B727E"/>
    <w:rsid w:val="009C36B0"/>
    <w:rsid w:val="009C77DF"/>
    <w:rsid w:val="009D1E02"/>
    <w:rsid w:val="009D3C53"/>
    <w:rsid w:val="009D70E3"/>
    <w:rsid w:val="009E2922"/>
    <w:rsid w:val="009E37EA"/>
    <w:rsid w:val="009E7C49"/>
    <w:rsid w:val="009F0D4B"/>
    <w:rsid w:val="009F1FD9"/>
    <w:rsid w:val="009F2C2C"/>
    <w:rsid w:val="009F6B27"/>
    <w:rsid w:val="00A04445"/>
    <w:rsid w:val="00A04A8C"/>
    <w:rsid w:val="00A15407"/>
    <w:rsid w:val="00A21632"/>
    <w:rsid w:val="00A258D5"/>
    <w:rsid w:val="00A25E48"/>
    <w:rsid w:val="00A32A35"/>
    <w:rsid w:val="00A339CF"/>
    <w:rsid w:val="00A42347"/>
    <w:rsid w:val="00A56433"/>
    <w:rsid w:val="00A60D4A"/>
    <w:rsid w:val="00A65881"/>
    <w:rsid w:val="00A719A8"/>
    <w:rsid w:val="00A7308D"/>
    <w:rsid w:val="00A75891"/>
    <w:rsid w:val="00A80283"/>
    <w:rsid w:val="00A80759"/>
    <w:rsid w:val="00A80820"/>
    <w:rsid w:val="00A82C0D"/>
    <w:rsid w:val="00A84072"/>
    <w:rsid w:val="00A84DD0"/>
    <w:rsid w:val="00A90055"/>
    <w:rsid w:val="00AA26A8"/>
    <w:rsid w:val="00AA5136"/>
    <w:rsid w:val="00AB4FB0"/>
    <w:rsid w:val="00AB77C3"/>
    <w:rsid w:val="00AE458E"/>
    <w:rsid w:val="00AF3C36"/>
    <w:rsid w:val="00AF6B95"/>
    <w:rsid w:val="00B00A0E"/>
    <w:rsid w:val="00B0355B"/>
    <w:rsid w:val="00B23503"/>
    <w:rsid w:val="00B24E69"/>
    <w:rsid w:val="00B27B9B"/>
    <w:rsid w:val="00B31224"/>
    <w:rsid w:val="00B5099B"/>
    <w:rsid w:val="00B544FD"/>
    <w:rsid w:val="00B54A07"/>
    <w:rsid w:val="00B65365"/>
    <w:rsid w:val="00B66140"/>
    <w:rsid w:val="00B67263"/>
    <w:rsid w:val="00B70925"/>
    <w:rsid w:val="00B718F1"/>
    <w:rsid w:val="00B72118"/>
    <w:rsid w:val="00B833A7"/>
    <w:rsid w:val="00B85055"/>
    <w:rsid w:val="00BA2D54"/>
    <w:rsid w:val="00BA5796"/>
    <w:rsid w:val="00BA59CC"/>
    <w:rsid w:val="00BA7979"/>
    <w:rsid w:val="00BB385A"/>
    <w:rsid w:val="00BB748D"/>
    <w:rsid w:val="00BE564E"/>
    <w:rsid w:val="00BE6216"/>
    <w:rsid w:val="00BF363D"/>
    <w:rsid w:val="00BF5A10"/>
    <w:rsid w:val="00BF6C53"/>
    <w:rsid w:val="00BF735A"/>
    <w:rsid w:val="00C0433E"/>
    <w:rsid w:val="00C0569C"/>
    <w:rsid w:val="00C060CF"/>
    <w:rsid w:val="00C2239F"/>
    <w:rsid w:val="00C43453"/>
    <w:rsid w:val="00C44DF1"/>
    <w:rsid w:val="00C56972"/>
    <w:rsid w:val="00C57D25"/>
    <w:rsid w:val="00C61B4D"/>
    <w:rsid w:val="00C65857"/>
    <w:rsid w:val="00C674C5"/>
    <w:rsid w:val="00C71066"/>
    <w:rsid w:val="00C7726B"/>
    <w:rsid w:val="00C86410"/>
    <w:rsid w:val="00C930C3"/>
    <w:rsid w:val="00C955D7"/>
    <w:rsid w:val="00CB1C09"/>
    <w:rsid w:val="00CB3A28"/>
    <w:rsid w:val="00CB62AA"/>
    <w:rsid w:val="00CC0110"/>
    <w:rsid w:val="00CC1411"/>
    <w:rsid w:val="00CE7235"/>
    <w:rsid w:val="00D05B60"/>
    <w:rsid w:val="00D06003"/>
    <w:rsid w:val="00D07C95"/>
    <w:rsid w:val="00D10880"/>
    <w:rsid w:val="00D109F3"/>
    <w:rsid w:val="00D229DF"/>
    <w:rsid w:val="00D259BC"/>
    <w:rsid w:val="00D36788"/>
    <w:rsid w:val="00D41D52"/>
    <w:rsid w:val="00D46213"/>
    <w:rsid w:val="00D57E50"/>
    <w:rsid w:val="00D6485E"/>
    <w:rsid w:val="00D64D11"/>
    <w:rsid w:val="00D6685C"/>
    <w:rsid w:val="00D70264"/>
    <w:rsid w:val="00D72DAC"/>
    <w:rsid w:val="00D7302A"/>
    <w:rsid w:val="00D833D8"/>
    <w:rsid w:val="00D96F60"/>
    <w:rsid w:val="00DB435B"/>
    <w:rsid w:val="00DB5960"/>
    <w:rsid w:val="00DC2138"/>
    <w:rsid w:val="00DC3260"/>
    <w:rsid w:val="00DC3D60"/>
    <w:rsid w:val="00DD2867"/>
    <w:rsid w:val="00DD2E3D"/>
    <w:rsid w:val="00DD38D6"/>
    <w:rsid w:val="00DD3AA0"/>
    <w:rsid w:val="00DD5CA5"/>
    <w:rsid w:val="00DD648F"/>
    <w:rsid w:val="00DE2463"/>
    <w:rsid w:val="00DF1827"/>
    <w:rsid w:val="00E0018D"/>
    <w:rsid w:val="00E01951"/>
    <w:rsid w:val="00E01CE3"/>
    <w:rsid w:val="00E20038"/>
    <w:rsid w:val="00E269DB"/>
    <w:rsid w:val="00E42606"/>
    <w:rsid w:val="00E476F9"/>
    <w:rsid w:val="00E5690A"/>
    <w:rsid w:val="00E57C08"/>
    <w:rsid w:val="00E647A3"/>
    <w:rsid w:val="00E7087A"/>
    <w:rsid w:val="00E70889"/>
    <w:rsid w:val="00E70A88"/>
    <w:rsid w:val="00E71E43"/>
    <w:rsid w:val="00E7516A"/>
    <w:rsid w:val="00E84BD6"/>
    <w:rsid w:val="00E91F6A"/>
    <w:rsid w:val="00EB1689"/>
    <w:rsid w:val="00EC1243"/>
    <w:rsid w:val="00EC16D9"/>
    <w:rsid w:val="00EC7778"/>
    <w:rsid w:val="00EC7E81"/>
    <w:rsid w:val="00ED5D05"/>
    <w:rsid w:val="00ED6586"/>
    <w:rsid w:val="00ED787F"/>
    <w:rsid w:val="00EE3728"/>
    <w:rsid w:val="00EF3747"/>
    <w:rsid w:val="00EF3D3B"/>
    <w:rsid w:val="00EF7242"/>
    <w:rsid w:val="00F02690"/>
    <w:rsid w:val="00F1192B"/>
    <w:rsid w:val="00F20CCD"/>
    <w:rsid w:val="00F275EB"/>
    <w:rsid w:val="00F27927"/>
    <w:rsid w:val="00F3083E"/>
    <w:rsid w:val="00F336C6"/>
    <w:rsid w:val="00F434DF"/>
    <w:rsid w:val="00F550D2"/>
    <w:rsid w:val="00F558E4"/>
    <w:rsid w:val="00F57EB9"/>
    <w:rsid w:val="00F60B35"/>
    <w:rsid w:val="00F633E9"/>
    <w:rsid w:val="00F63CE1"/>
    <w:rsid w:val="00F6512F"/>
    <w:rsid w:val="00F65943"/>
    <w:rsid w:val="00F67D48"/>
    <w:rsid w:val="00F67DF5"/>
    <w:rsid w:val="00F76A55"/>
    <w:rsid w:val="00F840C3"/>
    <w:rsid w:val="00F85674"/>
    <w:rsid w:val="00F87885"/>
    <w:rsid w:val="00F95EDA"/>
    <w:rsid w:val="00FA03E1"/>
    <w:rsid w:val="00FA2D73"/>
    <w:rsid w:val="00FB0560"/>
    <w:rsid w:val="00FB0677"/>
    <w:rsid w:val="00FB2368"/>
    <w:rsid w:val="00FC3D35"/>
    <w:rsid w:val="00FC73F4"/>
    <w:rsid w:val="00FD1C25"/>
    <w:rsid w:val="00FD3C82"/>
    <w:rsid w:val="00FE029F"/>
    <w:rsid w:val="00FE56F4"/>
    <w:rsid w:val="00FE7DE8"/>
    <w:rsid w:val="00FF20CE"/>
    <w:rsid w:val="00FF6A9D"/>
    <w:rsid w:val="020433F3"/>
    <w:rsid w:val="053960A1"/>
    <w:rsid w:val="058F7C59"/>
    <w:rsid w:val="08475C8D"/>
    <w:rsid w:val="0AA64689"/>
    <w:rsid w:val="0BD653AF"/>
    <w:rsid w:val="0C68202D"/>
    <w:rsid w:val="0DC07ABB"/>
    <w:rsid w:val="0E843370"/>
    <w:rsid w:val="10BE0290"/>
    <w:rsid w:val="11EB32EF"/>
    <w:rsid w:val="12A92FF7"/>
    <w:rsid w:val="13DC5392"/>
    <w:rsid w:val="15BA264E"/>
    <w:rsid w:val="16DE54A1"/>
    <w:rsid w:val="182917E4"/>
    <w:rsid w:val="192B2C59"/>
    <w:rsid w:val="19640E83"/>
    <w:rsid w:val="19661F6F"/>
    <w:rsid w:val="19AA438A"/>
    <w:rsid w:val="1BFE586F"/>
    <w:rsid w:val="1E274592"/>
    <w:rsid w:val="20573846"/>
    <w:rsid w:val="20724E0B"/>
    <w:rsid w:val="211276EE"/>
    <w:rsid w:val="226F2A0B"/>
    <w:rsid w:val="22AF691E"/>
    <w:rsid w:val="2A5B12FB"/>
    <w:rsid w:val="2BC96002"/>
    <w:rsid w:val="2C4D508F"/>
    <w:rsid w:val="2D175908"/>
    <w:rsid w:val="2E9B17D4"/>
    <w:rsid w:val="324035D4"/>
    <w:rsid w:val="326A1917"/>
    <w:rsid w:val="34902BCC"/>
    <w:rsid w:val="3554675C"/>
    <w:rsid w:val="36BF45F2"/>
    <w:rsid w:val="3D2E0CDD"/>
    <w:rsid w:val="3DF121FA"/>
    <w:rsid w:val="40772F52"/>
    <w:rsid w:val="41DB0FEB"/>
    <w:rsid w:val="44175EC3"/>
    <w:rsid w:val="471F2BF8"/>
    <w:rsid w:val="47E50909"/>
    <w:rsid w:val="4E5A44BE"/>
    <w:rsid w:val="4F925A77"/>
    <w:rsid w:val="4FE0481B"/>
    <w:rsid w:val="507713B2"/>
    <w:rsid w:val="51522D53"/>
    <w:rsid w:val="52365253"/>
    <w:rsid w:val="525A7C26"/>
    <w:rsid w:val="54F0706A"/>
    <w:rsid w:val="5625380B"/>
    <w:rsid w:val="5650190F"/>
    <w:rsid w:val="58297231"/>
    <w:rsid w:val="59FC0431"/>
    <w:rsid w:val="5C313E64"/>
    <w:rsid w:val="5D135FD7"/>
    <w:rsid w:val="5DF63ECB"/>
    <w:rsid w:val="653F7E0C"/>
    <w:rsid w:val="67E67B52"/>
    <w:rsid w:val="68107A6A"/>
    <w:rsid w:val="690B44E7"/>
    <w:rsid w:val="6AEA31C6"/>
    <w:rsid w:val="6B4524B7"/>
    <w:rsid w:val="6DE8785D"/>
    <w:rsid w:val="6F8A2FEF"/>
    <w:rsid w:val="710267F5"/>
    <w:rsid w:val="713257D6"/>
    <w:rsid w:val="72A7206A"/>
    <w:rsid w:val="72BE0875"/>
    <w:rsid w:val="735417D0"/>
    <w:rsid w:val="73C0566E"/>
    <w:rsid w:val="75257746"/>
    <w:rsid w:val="77703B1E"/>
    <w:rsid w:val="792B29BD"/>
    <w:rsid w:val="7B806E9A"/>
    <w:rsid w:val="7DB314D6"/>
    <w:rsid w:val="7EA97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FF4E35"/>
  <w15:chartTrackingRefBased/>
  <w15:docId w15:val="{AE1D7D3D-F04F-468E-8505-6F54E3305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Arial"/>
      <w:sz w:val="22"/>
      <w:szCs w:val="22"/>
      <w:lang w:val="en-GB" w:eastAsia="en-US" w:bidi="ar-DZ"/>
    </w:rPr>
  </w:style>
  <w:style w:type="paragraph" w:styleId="1">
    <w:name w:val="heading 1"/>
    <w:basedOn w:val="a"/>
    <w:next w:val="a"/>
    <w:link w:val="10"/>
    <w:uiPriority w:val="9"/>
    <w:qFormat/>
    <w:pPr>
      <w:keepNext/>
      <w:keepLines/>
      <w:numPr>
        <w:numId w:val="1"/>
      </w:numPr>
      <w:spacing w:before="240" w:after="0"/>
      <w:outlineLvl w:val="0"/>
    </w:pPr>
    <w:rPr>
      <w:rFonts w:ascii="Times New Roman" w:eastAsia="等线 Light" w:hAnsi="Times New Roman" w:cs="Times New Roman"/>
      <w:b/>
      <w:sz w:val="24"/>
      <w:szCs w:val="32"/>
    </w:rPr>
  </w:style>
  <w:style w:type="paragraph" w:styleId="2">
    <w:name w:val="heading 2"/>
    <w:basedOn w:val="a"/>
    <w:next w:val="a"/>
    <w:link w:val="20"/>
    <w:uiPriority w:val="9"/>
    <w:qFormat/>
    <w:pPr>
      <w:keepNext/>
      <w:keepLines/>
      <w:numPr>
        <w:ilvl w:val="1"/>
        <w:numId w:val="1"/>
      </w:numPr>
      <w:spacing w:before="40" w:after="0"/>
      <w:outlineLvl w:val="1"/>
    </w:pPr>
    <w:rPr>
      <w:rFonts w:ascii="Times New Roman" w:eastAsia="等线 Light" w:hAnsi="Times New Roman" w:cs="Times New Roman"/>
      <w:b/>
      <w:sz w:val="24"/>
      <w:szCs w:val="26"/>
    </w:rPr>
  </w:style>
  <w:style w:type="paragraph" w:styleId="3">
    <w:name w:val="heading 3"/>
    <w:basedOn w:val="a"/>
    <w:link w:val="30"/>
    <w:uiPriority w:val="9"/>
    <w:qFormat/>
    <w:pPr>
      <w:numPr>
        <w:ilvl w:val="2"/>
        <w:numId w:val="1"/>
      </w:numPr>
      <w:spacing w:before="100" w:beforeAutospacing="1" w:after="100" w:afterAutospacing="1" w:line="240" w:lineRule="auto"/>
      <w:outlineLvl w:val="2"/>
    </w:pPr>
    <w:rPr>
      <w:rFonts w:ascii="Times New Roman" w:eastAsia="Times New Roman" w:hAnsi="Times New Roman" w:cs="Times New Roman"/>
      <w:b/>
      <w:bCs/>
      <w:sz w:val="24"/>
      <w:szCs w:val="27"/>
      <w:lang w:val="zh-CN" w:eastAsia="zh-CN" w:bidi="ar-SA"/>
    </w:rPr>
  </w:style>
  <w:style w:type="paragraph" w:styleId="4">
    <w:name w:val="heading 4"/>
    <w:basedOn w:val="a"/>
    <w:link w:val="40"/>
    <w:uiPriority w:val="9"/>
    <w:qFormat/>
    <w:pPr>
      <w:numPr>
        <w:ilvl w:val="3"/>
        <w:numId w:val="1"/>
      </w:numPr>
      <w:spacing w:before="100" w:beforeAutospacing="1" w:after="100" w:afterAutospacing="1" w:line="240" w:lineRule="auto"/>
      <w:outlineLvl w:val="3"/>
    </w:pPr>
    <w:rPr>
      <w:rFonts w:ascii="Times New Roman" w:eastAsia="Times New Roman" w:hAnsi="Times New Roman" w:cs="Times New Roman"/>
      <w:b/>
      <w:bCs/>
      <w:sz w:val="24"/>
      <w:szCs w:val="24"/>
      <w:lang w:val="zh-CN" w:eastAsia="zh-CN" w:bidi="ar-SA"/>
    </w:rPr>
  </w:style>
  <w:style w:type="paragraph" w:styleId="5">
    <w:name w:val="heading 5"/>
    <w:basedOn w:val="a"/>
    <w:next w:val="a"/>
    <w:link w:val="50"/>
    <w:uiPriority w:val="9"/>
    <w:qFormat/>
    <w:pPr>
      <w:keepNext/>
      <w:keepLines/>
      <w:numPr>
        <w:ilvl w:val="4"/>
        <w:numId w:val="1"/>
      </w:numPr>
      <w:spacing w:before="40" w:after="0"/>
      <w:outlineLvl w:val="4"/>
    </w:pPr>
    <w:rPr>
      <w:rFonts w:ascii="Calibri Light" w:eastAsia="等线 Light" w:hAnsi="Calibri Light" w:cs="Times New Roman"/>
      <w:color w:val="2F5496"/>
    </w:rPr>
  </w:style>
  <w:style w:type="paragraph" w:styleId="6">
    <w:name w:val="heading 6"/>
    <w:basedOn w:val="a"/>
    <w:next w:val="a"/>
    <w:link w:val="60"/>
    <w:uiPriority w:val="9"/>
    <w:qFormat/>
    <w:pPr>
      <w:keepNext/>
      <w:keepLines/>
      <w:numPr>
        <w:ilvl w:val="5"/>
        <w:numId w:val="1"/>
      </w:numPr>
      <w:spacing w:before="40" w:after="0"/>
      <w:outlineLvl w:val="5"/>
    </w:pPr>
    <w:rPr>
      <w:rFonts w:ascii="Calibri Light" w:eastAsia="等线 Light" w:hAnsi="Calibri Light" w:cs="Times New Roman"/>
      <w:color w:val="1F3864"/>
    </w:rPr>
  </w:style>
  <w:style w:type="paragraph" w:styleId="7">
    <w:name w:val="heading 7"/>
    <w:basedOn w:val="a"/>
    <w:next w:val="a"/>
    <w:link w:val="70"/>
    <w:uiPriority w:val="9"/>
    <w:qFormat/>
    <w:pPr>
      <w:keepNext/>
      <w:keepLines/>
      <w:numPr>
        <w:ilvl w:val="6"/>
        <w:numId w:val="1"/>
      </w:numPr>
      <w:spacing w:before="40" w:after="0"/>
      <w:outlineLvl w:val="6"/>
    </w:pPr>
    <w:rPr>
      <w:rFonts w:ascii="Calibri Light" w:eastAsia="等线 Light" w:hAnsi="Calibri Light" w:cs="Times New Roman"/>
      <w:i/>
      <w:iCs/>
      <w:color w:val="1F3864"/>
    </w:rPr>
  </w:style>
  <w:style w:type="paragraph" w:styleId="8">
    <w:name w:val="heading 8"/>
    <w:basedOn w:val="a"/>
    <w:next w:val="a"/>
    <w:link w:val="80"/>
    <w:uiPriority w:val="9"/>
    <w:qFormat/>
    <w:pPr>
      <w:keepNext/>
      <w:keepLines/>
      <w:numPr>
        <w:ilvl w:val="7"/>
        <w:numId w:val="1"/>
      </w:numPr>
      <w:spacing w:before="40" w:after="0"/>
      <w:outlineLvl w:val="7"/>
    </w:pPr>
    <w:rPr>
      <w:rFonts w:ascii="Calibri Light" w:eastAsia="等线 Light" w:hAnsi="Calibri Light" w:cs="Times New Roman"/>
      <w:color w:val="262626"/>
      <w:sz w:val="21"/>
      <w:szCs w:val="21"/>
    </w:rPr>
  </w:style>
  <w:style w:type="paragraph" w:styleId="9">
    <w:name w:val="heading 9"/>
    <w:basedOn w:val="a"/>
    <w:next w:val="a"/>
    <w:link w:val="90"/>
    <w:uiPriority w:val="9"/>
    <w:qFormat/>
    <w:pPr>
      <w:keepNext/>
      <w:keepLines/>
      <w:numPr>
        <w:ilvl w:val="8"/>
        <w:numId w:val="1"/>
      </w:numPr>
      <w:spacing w:before="40" w:after="0"/>
      <w:outlineLvl w:val="8"/>
    </w:pPr>
    <w:rPr>
      <w:rFonts w:ascii="Calibri Light" w:eastAsia="等线 Light" w:hAnsi="Calibri Light" w:cs="Times New Roman"/>
      <w:i/>
      <w:iCs/>
      <w:color w:val="262626"/>
      <w:sz w:val="21"/>
      <w:szCs w:val="21"/>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rFonts w:ascii="Times New Roman" w:eastAsia="等线 Light" w:hAnsi="Times New Roman" w:cs="Times New Roman"/>
      <w:b/>
      <w:sz w:val="24"/>
      <w:szCs w:val="32"/>
      <w:lang w:val="en-GB" w:bidi="ar-DZ"/>
    </w:rPr>
  </w:style>
  <w:style w:type="character" w:customStyle="1" w:styleId="20">
    <w:name w:val="标题 2 字符"/>
    <w:link w:val="2"/>
    <w:uiPriority w:val="9"/>
    <w:qFormat/>
    <w:rPr>
      <w:rFonts w:ascii="Times New Roman" w:eastAsia="等线 Light" w:hAnsi="Times New Roman" w:cs="Times New Roman"/>
      <w:b/>
      <w:sz w:val="24"/>
      <w:szCs w:val="26"/>
      <w:lang w:val="en-GB" w:bidi="ar-DZ"/>
    </w:rPr>
  </w:style>
  <w:style w:type="character" w:customStyle="1" w:styleId="30">
    <w:name w:val="标题 3 字符"/>
    <w:link w:val="3"/>
    <w:uiPriority w:val="9"/>
    <w:qFormat/>
    <w:rPr>
      <w:rFonts w:ascii="Times New Roman" w:eastAsia="Times New Roman" w:hAnsi="Times New Roman"/>
      <w:b/>
      <w:bCs/>
      <w:sz w:val="24"/>
      <w:szCs w:val="27"/>
      <w:lang w:val="zh-CN" w:eastAsia="zh-CN"/>
    </w:rPr>
  </w:style>
  <w:style w:type="character" w:customStyle="1" w:styleId="40">
    <w:name w:val="标题 4 字符"/>
    <w:link w:val="4"/>
    <w:uiPriority w:val="9"/>
    <w:qFormat/>
    <w:rPr>
      <w:rFonts w:ascii="Times New Roman" w:eastAsia="Times New Roman" w:hAnsi="Times New Roman" w:cs="Times New Roman"/>
      <w:b/>
      <w:bCs/>
      <w:sz w:val="24"/>
      <w:szCs w:val="24"/>
    </w:rPr>
  </w:style>
  <w:style w:type="character" w:customStyle="1" w:styleId="50">
    <w:name w:val="标题 5 字符"/>
    <w:link w:val="5"/>
    <w:uiPriority w:val="9"/>
    <w:semiHidden/>
    <w:qFormat/>
    <w:rPr>
      <w:rFonts w:ascii="Calibri Light" w:eastAsia="等线 Light" w:hAnsi="Calibri Light" w:cs="Times New Roman"/>
      <w:color w:val="2F5496"/>
      <w:sz w:val="22"/>
      <w:szCs w:val="22"/>
      <w:lang w:val="en-GB" w:bidi="ar-DZ"/>
    </w:rPr>
  </w:style>
  <w:style w:type="character" w:customStyle="1" w:styleId="60">
    <w:name w:val="标题 6 字符"/>
    <w:link w:val="6"/>
    <w:uiPriority w:val="9"/>
    <w:semiHidden/>
    <w:rPr>
      <w:rFonts w:ascii="Calibri Light" w:eastAsia="等线 Light" w:hAnsi="Calibri Light" w:cs="Times New Roman"/>
      <w:color w:val="1F3864"/>
      <w:sz w:val="22"/>
      <w:szCs w:val="22"/>
      <w:lang w:val="en-GB" w:bidi="ar-DZ"/>
    </w:rPr>
  </w:style>
  <w:style w:type="character" w:customStyle="1" w:styleId="70">
    <w:name w:val="标题 7 字符"/>
    <w:link w:val="7"/>
    <w:uiPriority w:val="9"/>
    <w:semiHidden/>
    <w:qFormat/>
    <w:rPr>
      <w:rFonts w:ascii="Calibri Light" w:eastAsia="等线 Light" w:hAnsi="Calibri Light" w:cs="Times New Roman"/>
      <w:i/>
      <w:iCs/>
      <w:color w:val="1F3864"/>
      <w:sz w:val="22"/>
      <w:szCs w:val="22"/>
      <w:lang w:val="en-GB" w:bidi="ar-DZ"/>
    </w:rPr>
  </w:style>
  <w:style w:type="character" w:customStyle="1" w:styleId="80">
    <w:name w:val="标题 8 字符"/>
    <w:link w:val="8"/>
    <w:uiPriority w:val="9"/>
    <w:semiHidden/>
    <w:rPr>
      <w:rFonts w:ascii="Calibri Light" w:eastAsia="等线 Light" w:hAnsi="Calibri Light" w:cs="Times New Roman"/>
      <w:color w:val="262626"/>
      <w:sz w:val="21"/>
      <w:szCs w:val="21"/>
      <w:lang w:val="en-GB" w:bidi="ar-DZ"/>
    </w:rPr>
  </w:style>
  <w:style w:type="character" w:customStyle="1" w:styleId="90">
    <w:name w:val="标题 9 字符"/>
    <w:link w:val="9"/>
    <w:uiPriority w:val="9"/>
    <w:semiHidden/>
    <w:qFormat/>
    <w:rPr>
      <w:rFonts w:ascii="Calibri Light" w:eastAsia="等线 Light" w:hAnsi="Calibri Light" w:cs="Times New Roman"/>
      <w:i/>
      <w:iCs/>
      <w:color w:val="262626"/>
      <w:sz w:val="21"/>
      <w:szCs w:val="21"/>
      <w:lang w:val="en-GB" w:bidi="ar-DZ"/>
    </w:rPr>
  </w:style>
  <w:style w:type="character" w:styleId="a3">
    <w:name w:val="line number"/>
    <w:uiPriority w:val="99"/>
    <w:unhideWhenUsed/>
  </w:style>
  <w:style w:type="character" w:styleId="a4">
    <w:name w:val="footnote reference"/>
    <w:uiPriority w:val="99"/>
    <w:unhideWhenUsed/>
    <w:qFormat/>
    <w:rPr>
      <w:vertAlign w:val="superscript"/>
    </w:rPr>
  </w:style>
  <w:style w:type="character" w:styleId="a5">
    <w:name w:val="Strong"/>
    <w:uiPriority w:val="22"/>
    <w:qFormat/>
    <w:rPr>
      <w:b/>
      <w:bCs/>
    </w:rPr>
  </w:style>
  <w:style w:type="character" w:styleId="a6">
    <w:name w:val="Emphasis"/>
    <w:uiPriority w:val="20"/>
    <w:qFormat/>
    <w:rPr>
      <w:i/>
      <w:iCs/>
    </w:rPr>
  </w:style>
  <w:style w:type="paragraph" w:styleId="a7">
    <w:name w:val="footnote text"/>
    <w:basedOn w:val="a"/>
    <w:link w:val="a8"/>
    <w:uiPriority w:val="99"/>
    <w:unhideWhenUsed/>
    <w:pPr>
      <w:spacing w:after="0" w:line="240" w:lineRule="auto"/>
    </w:pPr>
    <w:rPr>
      <w:rFonts w:ascii="Cambria" w:eastAsia="MS Mincho" w:hAnsi="Cambria"/>
      <w:sz w:val="20"/>
      <w:szCs w:val="20"/>
      <w:lang w:val="en-US" w:bidi="ar-SA"/>
    </w:rPr>
  </w:style>
  <w:style w:type="character" w:customStyle="1" w:styleId="a8">
    <w:name w:val="脚注文本 字符"/>
    <w:link w:val="a7"/>
    <w:uiPriority w:val="99"/>
    <w:semiHidden/>
    <w:rPr>
      <w:rFonts w:ascii="Cambria" w:eastAsia="MS Mincho" w:hAnsi="Cambria" w:cs="Arial"/>
    </w:rPr>
  </w:style>
  <w:style w:type="paragraph" w:styleId="a9">
    <w:name w:val="Normal (Web)"/>
    <w:basedOn w:val="a"/>
    <w:link w:val="a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aa">
    <w:name w:val="普通(网站) 字符"/>
    <w:link w:val="a9"/>
    <w:uiPriority w:val="99"/>
    <w:rPr>
      <w:rFonts w:eastAsia="Times New Roman"/>
      <w:sz w:val="24"/>
      <w:szCs w:val="24"/>
      <w:lang w:eastAsia="en-US"/>
    </w:rPr>
  </w:style>
  <w:style w:type="paragraph" w:styleId="ab">
    <w:name w:val="footer"/>
    <w:basedOn w:val="a"/>
    <w:link w:val="ac"/>
    <w:uiPriority w:val="99"/>
    <w:unhideWhenUsed/>
    <w:qFormat/>
    <w:pPr>
      <w:tabs>
        <w:tab w:val="center" w:pos="4153"/>
        <w:tab w:val="right" w:pos="8306"/>
      </w:tabs>
    </w:pPr>
  </w:style>
  <w:style w:type="character" w:customStyle="1" w:styleId="ac">
    <w:name w:val="页脚 字符"/>
    <w:link w:val="ab"/>
    <w:uiPriority w:val="99"/>
    <w:qFormat/>
    <w:rPr>
      <w:rFonts w:ascii="Calibri" w:eastAsia="Calibri" w:hAnsi="Calibri" w:cs="Arial"/>
      <w:sz w:val="22"/>
      <w:szCs w:val="22"/>
      <w:lang w:val="en-GB" w:bidi="ar-DZ"/>
    </w:rPr>
  </w:style>
  <w:style w:type="paragraph" w:styleId="ad">
    <w:name w:val="header"/>
    <w:basedOn w:val="a"/>
    <w:link w:val="ae"/>
    <w:uiPriority w:val="99"/>
    <w:unhideWhenUsed/>
    <w:pPr>
      <w:tabs>
        <w:tab w:val="center" w:pos="4153"/>
        <w:tab w:val="right" w:pos="8306"/>
      </w:tabs>
    </w:pPr>
  </w:style>
  <w:style w:type="character" w:customStyle="1" w:styleId="ae">
    <w:name w:val="页眉 字符"/>
    <w:link w:val="ad"/>
    <w:uiPriority w:val="99"/>
    <w:qFormat/>
    <w:rPr>
      <w:rFonts w:ascii="Calibri" w:eastAsia="Calibri" w:hAnsi="Calibri" w:cs="Arial"/>
      <w:sz w:val="22"/>
      <w:szCs w:val="22"/>
      <w:lang w:val="en-GB" w:bidi="ar-DZ"/>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qFormat/>
  </w:style>
  <w:style w:type="character" w:customStyle="1" w:styleId="mord">
    <w:name w:val="mord"/>
    <w:qFormat/>
  </w:style>
  <w:style w:type="character" w:customStyle="1" w:styleId="vlist-s">
    <w:name w:val="vlist-s"/>
    <w:qFormat/>
  </w:style>
  <w:style w:type="character" w:customStyle="1" w:styleId="mbin">
    <w:name w:val="mbin"/>
    <w:qFormat/>
  </w:style>
  <w:style w:type="character" w:customStyle="1" w:styleId="mopen">
    <w:name w:val="mopen"/>
    <w:qFormat/>
  </w:style>
  <w:style w:type="character" w:customStyle="1" w:styleId="mclose">
    <w:name w:val="mclose"/>
    <w:qFormat/>
  </w:style>
  <w:style w:type="character" w:customStyle="1" w:styleId="mrel">
    <w:name w:val="mrel"/>
    <w:qFormat/>
  </w:style>
  <w:style w:type="character" w:customStyle="1" w:styleId="mop">
    <w:name w:val="mop"/>
    <w:qFormat/>
  </w:style>
  <w:style w:type="character" w:customStyle="1" w:styleId="line-clamp-1">
    <w:name w:val="line-clamp-1"/>
    <w:qFormat/>
  </w:style>
  <w:style w:type="character" w:styleId="af0">
    <w:name w:val="Placeholder Text"/>
    <w:uiPriority w:val="99"/>
    <w:semiHidden/>
    <w:rPr>
      <w:color w:val="808080"/>
    </w:rPr>
  </w:style>
  <w:style w:type="paragraph" w:styleId="af1">
    <w:name w:val="List Paragraph"/>
    <w:basedOn w:val="a"/>
    <w:uiPriority w:val="34"/>
    <w:qFormat/>
    <w:pPr>
      <w:ind w:left="720"/>
      <w:contextualSpacing/>
    </w:pPr>
  </w:style>
  <w:style w:type="table" w:customStyle="1" w:styleId="TableNormal1">
    <w:name w:val="Table Normal1"/>
    <w:semiHidden/>
    <w:qFormat/>
    <w:rPr>
      <w:rFonts w:eastAsia="Times New Roman"/>
      <w:lang w:val="en" w:eastAsia="fr-FR"/>
    </w:rPr>
    <w:tblPr>
      <w:tblCellMar>
        <w:top w:w="0" w:type="dxa"/>
        <w:left w:w="0" w:type="dxa"/>
        <w:bottom w:w="0" w:type="dxa"/>
        <w:right w:w="0" w:type="dxa"/>
      </w:tblCellMar>
    </w:tblPr>
  </w:style>
  <w:style w:type="character" w:customStyle="1" w:styleId="hps">
    <w:name w:val="hps"/>
    <w:qFormat/>
  </w:style>
  <w:style w:type="character" w:customStyle="1" w:styleId="longtext">
    <w:name w:val="long_text"/>
    <w:qFormat/>
  </w:style>
  <w:style w:type="character" w:customStyle="1" w:styleId="15">
    <w:name w:val="15"/>
    <w:qFormat/>
    <w:rPr>
      <w:rFonts w:ascii="Times New Roman" w:hAnsi="Times New Roman" w:cs="Times New Roman" w:hint="default"/>
    </w:rPr>
  </w:style>
  <w:style w:type="character" w:customStyle="1" w:styleId="16">
    <w:name w:val="16"/>
    <w:qFormat/>
    <w:rPr>
      <w:rFonts w:ascii="Times New Roman" w:hAnsi="Times New Roman" w:cs="Times New Roman" w:hint="default"/>
    </w:rPr>
  </w:style>
  <w:style w:type="table" w:customStyle="1" w:styleId="GridTable1Light1">
    <w:name w:val="Grid Table 1 Light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single" w:sz="12" w:space="0" w:color="666666"/>
          <w:bottom w:val="nil"/>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najran1">
    <w:name w:val="najran1"/>
    <w:basedOn w:val="a1"/>
    <w:uiPriority w:val="99"/>
    <w:qFormat/>
    <w:tblPr>
      <w:tblBorders>
        <w:top w:val="single" w:sz="4" w:space="0" w:color="auto"/>
        <w:bottom w:val="single" w:sz="4" w:space="0" w:color="auto"/>
        <w:insideH w:val="single" w:sz="4" w:space="0" w:color="auto"/>
      </w:tblBorders>
    </w:tblPr>
  </w:style>
  <w:style w:type="table" w:styleId="41">
    <w:name w:val="Plain Table 4"/>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1">
    <w:name w:val="Grid Table 1 Light"/>
    <w:basedOn w:val="a1"/>
    <w:uiPriority w:val="4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MTDisplayEquation">
    <w:name w:val="MTDisplayEquation"/>
    <w:basedOn w:val="a9"/>
    <w:next w:val="a"/>
    <w:link w:val="MTDisplayEquationChar"/>
    <w:pPr>
      <w:tabs>
        <w:tab w:val="center" w:pos="4360"/>
        <w:tab w:val="right" w:pos="8740"/>
      </w:tabs>
      <w:ind w:firstLine="720"/>
      <w:jc w:val="both"/>
    </w:pPr>
    <w:rPr>
      <w:color w:val="000000"/>
    </w:rPr>
  </w:style>
  <w:style w:type="character" w:customStyle="1" w:styleId="MTDisplayEquationChar">
    <w:name w:val="MTDisplayEquation Char"/>
    <w:link w:val="MTDisplayEquation"/>
    <w:rPr>
      <w:rFonts w:eastAsia="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png"/><Relationship Id="rId42" Type="http://schemas.openxmlformats.org/officeDocument/2006/relationships/oleObject" Target="embeddings/oleObject15.bin"/><Relationship Id="rId47" Type="http://schemas.openxmlformats.org/officeDocument/2006/relationships/image" Target="media/image24.png"/><Relationship Id="rId63" Type="http://schemas.openxmlformats.org/officeDocument/2006/relationships/oleObject" Target="embeddings/oleObject24.bin"/><Relationship Id="rId68" Type="http://schemas.openxmlformats.org/officeDocument/2006/relationships/image" Target="media/image37.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0.bin"/><Relationship Id="rId11" Type="http://schemas.openxmlformats.org/officeDocument/2006/relationships/image" Target="media/image3.wmf"/><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19.emf"/><Relationship Id="rId40" Type="http://schemas.openxmlformats.org/officeDocument/2006/relationships/oleObject" Target="embeddings/oleObject14.bin"/><Relationship Id="rId45" Type="http://schemas.openxmlformats.org/officeDocument/2006/relationships/image" Target="media/image23.emf"/><Relationship Id="rId53" Type="http://schemas.openxmlformats.org/officeDocument/2006/relationships/oleObject" Target="embeddings/oleObject19.bin"/><Relationship Id="rId58" Type="http://schemas.openxmlformats.org/officeDocument/2006/relationships/image" Target="media/image31.emf"/><Relationship Id="rId66" Type="http://schemas.openxmlformats.org/officeDocument/2006/relationships/image" Target="media/image35.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oleObject" Target="embeddings/oleObject23.bin"/><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image" Target="media/image9.wmf"/><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8.emf"/><Relationship Id="rId43" Type="http://schemas.openxmlformats.org/officeDocument/2006/relationships/image" Target="media/image22.emf"/><Relationship Id="rId48" Type="http://schemas.openxmlformats.org/officeDocument/2006/relationships/image" Target="media/image25.png"/><Relationship Id="rId56" Type="http://schemas.openxmlformats.org/officeDocument/2006/relationships/image" Target="media/image30.emf"/><Relationship Id="rId64" Type="http://schemas.openxmlformats.org/officeDocument/2006/relationships/image" Target="media/image34.wmf"/><Relationship Id="rId69" Type="http://schemas.openxmlformats.org/officeDocument/2006/relationships/oleObject" Target="embeddings/oleObject26.bin"/><Relationship Id="rId8" Type="http://schemas.openxmlformats.org/officeDocument/2006/relationships/oleObject" Target="embeddings/oleObject1.bin"/><Relationship Id="rId51" Type="http://schemas.openxmlformats.org/officeDocument/2006/relationships/oleObject" Target="embeddings/oleObject18.bin"/><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1.wmf"/><Relationship Id="rId33" Type="http://schemas.openxmlformats.org/officeDocument/2006/relationships/image" Target="media/image17.emf"/><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oleObject" Target="embeddings/oleObject22.bin"/><Relationship Id="rId67" Type="http://schemas.openxmlformats.org/officeDocument/2006/relationships/image" Target="media/image36.png"/><Relationship Id="rId20" Type="http://schemas.openxmlformats.org/officeDocument/2006/relationships/oleObject" Target="embeddings/oleObject7.bin"/><Relationship Id="rId41" Type="http://schemas.openxmlformats.org/officeDocument/2006/relationships/image" Target="media/image21.emf"/><Relationship Id="rId54" Type="http://schemas.openxmlformats.org/officeDocument/2006/relationships/image" Target="media/image29.emf"/><Relationship Id="rId62" Type="http://schemas.openxmlformats.org/officeDocument/2006/relationships/image" Target="media/image33.emf"/><Relationship Id="rId70"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oleObject" Target="embeddings/oleObject8.bin"/><Relationship Id="rId28" Type="http://schemas.openxmlformats.org/officeDocument/2006/relationships/image" Target="media/image13.emf"/><Relationship Id="rId36" Type="http://schemas.openxmlformats.org/officeDocument/2006/relationships/oleObject" Target="embeddings/oleObject12.bin"/><Relationship Id="rId49" Type="http://schemas.openxmlformats.org/officeDocument/2006/relationships/image" Target="media/image26.png"/><Relationship Id="rId57" Type="http://schemas.openxmlformats.org/officeDocument/2006/relationships/oleObject" Target="embeddings/oleObject21.bin"/><Relationship Id="rId10" Type="http://schemas.openxmlformats.org/officeDocument/2006/relationships/oleObject" Target="embeddings/oleObject2.bin"/><Relationship Id="rId31" Type="http://schemas.openxmlformats.org/officeDocument/2006/relationships/image" Target="media/image15.png"/><Relationship Id="rId44" Type="http://schemas.openxmlformats.org/officeDocument/2006/relationships/oleObject" Target="embeddings/oleObject16.bin"/><Relationship Id="rId52" Type="http://schemas.openxmlformats.org/officeDocument/2006/relationships/image" Target="media/image28.emf"/><Relationship Id="rId60" Type="http://schemas.openxmlformats.org/officeDocument/2006/relationships/image" Target="media/image32.emf"/><Relationship Id="rId65" Type="http://schemas.openxmlformats.org/officeDocument/2006/relationships/oleObject" Target="embeddings/oleObject25.bin"/><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20.emf"/><Relationship Id="rId34" Type="http://schemas.openxmlformats.org/officeDocument/2006/relationships/oleObject" Target="embeddings/oleObject11.bin"/><Relationship Id="rId50" Type="http://schemas.openxmlformats.org/officeDocument/2006/relationships/image" Target="media/image27.emf"/><Relationship Id="rId55" Type="http://schemas.openxmlformats.org/officeDocument/2006/relationships/oleObject" Target="embeddings/oleObject20.bin"/><Relationship Id="rId7" Type="http://schemas.openxmlformats.org/officeDocument/2006/relationships/image" Target="media/image1.wmf"/><Relationship Id="rId71" Type="http://schemas.openxmlformats.org/officeDocument/2006/relationships/image" Target="media/image3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9320</Words>
  <Characters>57041</Characters>
  <Application>Microsoft Office Word</Application>
  <DocSecurity>0</DocSecurity>
  <Lines>1118</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najran malfi</dc:creator>
  <cp:keywords/>
  <cp:lastModifiedBy>周俊达</cp:lastModifiedBy>
  <cp:revision>2</cp:revision>
  <cp:lastPrinted>2026-01-27T04:27:00Z</cp:lastPrinted>
  <dcterms:created xsi:type="dcterms:W3CDTF">2026-08-03T01:30:00Z</dcterms:created>
  <dcterms:modified xsi:type="dcterms:W3CDTF">2026-08-03T01:30:00Z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980f23f0-3b97-4fc7-a40a-9cfeab14ce6e</vt:lpwstr>
  </property>
  <property fmtid="{D5CDD505-2E9C-101B-9397-08002B2CF9AE}" pid="3" name="KSOProductBuildVer">
    <vt:lpwstr>1036-12.2.0.23155</vt:lpwstr>
  </property>
  <property fmtid="{D5CDD505-2E9C-101B-9397-08002B2CF9AE}" pid="4" name="ICV">
    <vt:lpwstr>1667F98D8C1E4E53B51F264A8E570588_13</vt:lpwstr>
  </property>
  <property fmtid="{D5CDD505-2E9C-101B-9397-08002B2CF9AE}" pid="5" name="Mendeley Document_1">
    <vt:lpwstr>True</vt:lpwstr>
  </property>
  <property fmtid="{D5CDD505-2E9C-101B-9397-08002B2CF9AE}" pid="6" name="Mendeley Unique User Id_1">
    <vt:lpwstr>c716af3a-1d0b-381f-9d97-86b0c6732c99</vt:lpwstr>
  </property>
  <property fmtid="{D5CDD505-2E9C-101B-9397-08002B2CF9AE}" pid="7" name="Mendeley Citation Style_1">
    <vt:lpwstr>http://www.zotero.org/styles/hydrometallurgy</vt:lpwstr>
  </property>
  <property fmtid="{D5CDD505-2E9C-101B-9397-08002B2CF9AE}" pid="8" name="Mendeley Recent Style Id 0_1">
    <vt:lpwstr>http://www.zotero.org/styles/american-political-science-association</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7th edition</vt:lpwstr>
  </property>
  <property fmtid="{D5CDD505-2E9C-101B-9397-08002B2CF9AE}" pid="12" name="Mendeley Recent Style Id 2_1">
    <vt:lpwstr>http://www.zotero.org/styles/american-sociological-association</vt:lpwstr>
  </property>
  <property fmtid="{D5CDD505-2E9C-101B-9397-08002B2CF9AE}" pid="13" name="Mendeley Recent Style Name 2_1">
    <vt:lpwstr>American Sociological Association 6th edition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17th edition (author-date)</vt:lpwstr>
  </property>
  <property fmtid="{D5CDD505-2E9C-101B-9397-08002B2CF9AE}" pid="16" name="Mendeley Recent Style Id 4_1">
    <vt:lpwstr>http://www.zotero.org/styles/hydrometallurgy</vt:lpwstr>
  </property>
  <property fmtid="{D5CDD505-2E9C-101B-9397-08002B2CF9AE}" pid="17" name="Mendeley Recent Style Name 4_1">
    <vt:lpwstr>Hydrometallurgy</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http://www.zotero.org/styles/journal-of-geotechnical-and-geoenvironmental-engineering</vt:lpwstr>
  </property>
  <property fmtid="{D5CDD505-2E9C-101B-9397-08002B2CF9AE}" pid="21" name="Mendeley Recent Style Name 6_1">
    <vt:lpwstr>Journal of Geotechnical and Geoenvironmental Engineering</vt:lpwstr>
  </property>
  <property fmtid="{D5CDD505-2E9C-101B-9397-08002B2CF9AE}" pid="22" name="Mendeley Recent Style Id 7_1">
    <vt:lpwstr>http://www.zotero.org/styles/materials-today</vt:lpwstr>
  </property>
  <property fmtid="{D5CDD505-2E9C-101B-9397-08002B2CF9AE}" pid="23" name="Mendeley Recent Style Name 7_1">
    <vt:lpwstr>Materials Today</vt:lpwstr>
  </property>
  <property fmtid="{D5CDD505-2E9C-101B-9397-08002B2CF9AE}" pid="24" name="Mendeley Recent Style Id 8_1">
    <vt:lpwstr>http://www.zotero.org/styles/materials-today-proceedings</vt:lpwstr>
  </property>
  <property fmtid="{D5CDD505-2E9C-101B-9397-08002B2CF9AE}" pid="25" name="Mendeley Recent Style Name 8_1">
    <vt:lpwstr>Materials Today: Proceedings</vt:lpwstr>
  </property>
  <property fmtid="{D5CDD505-2E9C-101B-9397-08002B2CF9AE}" pid="26" name="Mendeley Recent Style Id 9_1">
    <vt:lpwstr>http://www.zotero.org/styles/vancouver</vt:lpwstr>
  </property>
  <property fmtid="{D5CDD505-2E9C-101B-9397-08002B2CF9AE}" pid="27" name="Mendeley Recent Style Name 9_1">
    <vt:lpwstr>Vancouver</vt:lpwstr>
  </property>
  <property fmtid="{D5CDD505-2E9C-101B-9397-08002B2CF9AE}" pid="28" name="MTWinEqns">
    <vt:bool>true</vt:bool>
  </property>
</Properties>
</file>