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05CE0">
      <w:pPr>
        <w:spacing w:after="0" w:line="360" w:lineRule="auto"/>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Review</w:t>
      </w:r>
    </w:p>
    <w:p w14:paraId="0507DAD1">
      <w:pPr>
        <w:spacing w:after="0" w:line="360" w:lineRule="auto"/>
        <w:rPr>
          <w:rFonts w:ascii="Times New Roman" w:hAnsi="Times New Roman" w:eastAsia="Times New Roman" w:cs="Times New Roman"/>
          <w:b/>
          <w:bCs/>
          <w:sz w:val="26"/>
          <w:szCs w:val="26"/>
        </w:rPr>
      </w:pPr>
    </w:p>
    <w:p w14:paraId="19622486">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highlight w:val="yellow"/>
        </w:rPr>
        <w:t xml:space="preserve">Antiseizure </w:t>
      </w:r>
      <w:r>
        <w:rPr>
          <w:rFonts w:ascii="Times New Roman" w:hAnsi="Times New Roman" w:eastAsia="Times New Roman" w:cs="Times New Roman"/>
          <w:b/>
          <w:bCs/>
          <w:sz w:val="24"/>
          <w:szCs w:val="24"/>
          <w:highlight w:val="yellow"/>
        </w:rPr>
        <w:t>Medications</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6"/>
          <w:szCs w:val="26"/>
        </w:rPr>
        <w:t>impact mitochondrial ion channels in novel bioenergetic and neural mechanisms</w:t>
      </w:r>
    </w:p>
    <w:p w14:paraId="75E55615">
      <w:pPr>
        <w:spacing w:after="0" w:line="360" w:lineRule="auto"/>
        <w:rPr>
          <w:rFonts w:hint="eastAsia" w:ascii="Times New Roman" w:hAnsi="Times New Roman" w:cs="Times New Roman"/>
          <w:b/>
          <w:bCs/>
          <w:sz w:val="26"/>
          <w:szCs w:val="26"/>
        </w:rPr>
      </w:pPr>
    </w:p>
    <w:p w14:paraId="05997034">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Carmen Rubio1#, Norma Serrano-Garcia1#, Ricardo Pérez-Rubio1,2, Javier Pérez-Villavicencio1,3, Héctor Romo-Parra1,4, Ángel Lee5, Moisés Rubio-Osornio6*.</w:t>
      </w:r>
    </w:p>
    <w:p w14:paraId="6A7231D0">
      <w:pPr>
        <w:spacing w:after="0" w:line="360" w:lineRule="auto"/>
        <w:rPr>
          <w:rFonts w:ascii="Times New Roman" w:hAnsi="Times New Roman" w:eastAsia="Times New Roman" w:cs="Times New Roman"/>
          <w:bCs/>
          <w:sz w:val="26"/>
          <w:szCs w:val="26"/>
        </w:rPr>
      </w:pPr>
    </w:p>
    <w:p w14:paraId="55D1FCC3">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vertAlign w:val="superscript"/>
        </w:rPr>
        <w:t>1</w:t>
      </w:r>
      <w:r>
        <w:rPr>
          <w:rFonts w:ascii="Times New Roman" w:hAnsi="Times New Roman" w:eastAsia="Times New Roman" w:cs="Times New Roman"/>
          <w:bCs/>
          <w:sz w:val="26"/>
          <w:szCs w:val="26"/>
        </w:rPr>
        <w:t xml:space="preserve"> Department of Neurophysiology, National Institute of Neurology and Neurosurgery, Mexico City, 14269 Mexico</w:t>
      </w:r>
    </w:p>
    <w:p w14:paraId="73DAAE90">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vertAlign w:val="superscript"/>
        </w:rPr>
        <w:t>2</w:t>
      </w:r>
      <w:r>
        <w:rPr>
          <w:rFonts w:ascii="Times New Roman" w:hAnsi="Times New Roman" w:eastAsia="Times New Roman" w:cs="Times New Roman"/>
          <w:bCs/>
          <w:sz w:val="26"/>
          <w:szCs w:val="26"/>
        </w:rPr>
        <w:t xml:space="preserve"> Mexican Faculty of Medicine, La Salle University, Mexico City, 14000 Mexico  </w:t>
      </w:r>
    </w:p>
    <w:p w14:paraId="2767AF78">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vertAlign w:val="superscript"/>
        </w:rPr>
        <w:t>3</w:t>
      </w:r>
      <w:r>
        <w:rPr>
          <w:rFonts w:ascii="Times New Roman" w:hAnsi="Times New Roman" w:eastAsia="Times New Roman" w:cs="Times New Roman"/>
          <w:bCs/>
          <w:sz w:val="26"/>
          <w:szCs w:val="26"/>
        </w:rPr>
        <w:t xml:space="preserve"> Department of Electrical Engineering, Basic Sciences and Engineering Division Metropolitan Autonomous University, Iztapalapa Campus, Mexico City, 09340 Mexico.</w:t>
      </w:r>
    </w:p>
    <w:p w14:paraId="4FC34A76">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vertAlign w:val="superscript"/>
        </w:rPr>
        <w:t>4</w:t>
      </w:r>
      <w:r>
        <w:rPr>
          <w:rFonts w:ascii="Times New Roman" w:hAnsi="Times New Roman" w:eastAsia="Times New Roman" w:cs="Times New Roman"/>
          <w:bCs/>
          <w:sz w:val="26"/>
          <w:szCs w:val="26"/>
        </w:rPr>
        <w:t xml:space="preserve"> Department of Psychology, Ibero-American University, Santa Fe Campus, Mexico City, 01376 Mexico </w:t>
      </w:r>
    </w:p>
    <w:p w14:paraId="120C6FBB">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vertAlign w:val="superscript"/>
        </w:rPr>
        <w:t>5</w:t>
      </w:r>
      <w:r>
        <w:rPr>
          <w:rFonts w:ascii="Times New Roman" w:hAnsi="Times New Roman" w:eastAsia="Times New Roman" w:cs="Times New Roman"/>
          <w:bCs/>
          <w:sz w:val="26"/>
          <w:szCs w:val="26"/>
        </w:rPr>
        <w:t xml:space="preserve"> National Institute of Public Health, Cuernavaca, Morelos, Mexico  </w:t>
      </w:r>
    </w:p>
    <w:p w14:paraId="02270AC4">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vertAlign w:val="superscript"/>
        </w:rPr>
        <w:t>6</w:t>
      </w:r>
      <w:r>
        <w:rPr>
          <w:rFonts w:ascii="Times New Roman" w:hAnsi="Times New Roman" w:eastAsia="Times New Roman" w:cs="Times New Roman"/>
          <w:bCs/>
          <w:sz w:val="26"/>
          <w:szCs w:val="26"/>
        </w:rPr>
        <w:t xml:space="preserve"> Department of Neurochemistry, National Institute of Neurology and Neurosurgery, Mexico City, 14269 Mexico</w:t>
      </w:r>
    </w:p>
    <w:p w14:paraId="2ED4ACAA">
      <w:pPr>
        <w:spacing w:after="0" w:line="360" w:lineRule="auto"/>
        <w:rPr>
          <w:rFonts w:ascii="Times New Roman" w:hAnsi="Times New Roman" w:eastAsia="Times New Roman" w:cs="Times New Roman"/>
          <w:bCs/>
          <w:sz w:val="26"/>
          <w:szCs w:val="26"/>
        </w:rPr>
      </w:pPr>
    </w:p>
    <w:p w14:paraId="2FF0B6B9">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#contributed equally to this work</w:t>
      </w:r>
    </w:p>
    <w:p w14:paraId="1B01395A">
      <w:pPr>
        <w:spacing w:after="0" w:line="360" w:lineRule="auto"/>
        <w:rPr>
          <w:rFonts w:hint="eastAsia" w:ascii="Times New Roman" w:hAnsi="Times New Roman" w:cs="Times New Roman"/>
          <w:bCs/>
          <w:sz w:val="26"/>
          <w:szCs w:val="26"/>
        </w:rPr>
      </w:pPr>
    </w:p>
    <w:p w14:paraId="7D39A72E">
      <w:pPr>
        <w:spacing w:after="0" w:line="360" w:lineRule="auto"/>
        <w:rPr>
          <w:rFonts w:hint="eastAsia" w:ascii="Times New Roman" w:hAnsi="Times New Roman" w:cs="Times New Roman"/>
          <w:bCs/>
          <w:sz w:val="26"/>
          <w:szCs w:val="26"/>
        </w:rPr>
      </w:pPr>
      <w:r>
        <w:rPr>
          <w:rFonts w:ascii="Times New Roman" w:hAnsi="Times New Roman" w:eastAsia="Times New Roman" w:cs="Times New Roman"/>
          <w:bCs/>
          <w:sz w:val="26"/>
          <w:szCs w:val="26"/>
        </w:rPr>
        <w:t xml:space="preserve">*Corresponding author </w:t>
      </w:r>
    </w:p>
    <w:p w14:paraId="5593DD64">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Moisés Rubio-Osornio, E-mail: moises.rubio@innn.edu.mx </w:t>
      </w:r>
    </w:p>
    <w:p w14:paraId="661EC0B2">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ORCID:</w:t>
      </w:r>
    </w:p>
    <w:p w14:paraId="24A1374C">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Moisés Rubio-Osornio: 0000-0001-9236-0609</w:t>
      </w:r>
    </w:p>
    <w:p w14:paraId="78754034">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Norma Serrano-García </w:t>
      </w:r>
      <w:r>
        <w:fldChar w:fldCharType="begin"/>
      </w:r>
      <w:r>
        <w:instrText xml:space="preserve"> HYPERLINK "https://orcid.org/0000-0001-5859-2617" \t "_blank" </w:instrText>
      </w:r>
      <w:r>
        <w:fldChar w:fldCharType="separate"/>
      </w:r>
      <w:r>
        <w:rPr>
          <w:rFonts w:ascii="Times New Roman" w:hAnsi="Times New Roman" w:eastAsia="Times New Roman" w:cs="Times New Roman"/>
          <w:bCs/>
          <w:sz w:val="26"/>
          <w:szCs w:val="26"/>
        </w:rPr>
        <w:t>0000-0001-5859-2617</w:t>
      </w:r>
      <w:r>
        <w:rPr>
          <w:rFonts w:ascii="Times New Roman" w:hAnsi="Times New Roman" w:eastAsia="Times New Roman" w:cs="Times New Roman"/>
          <w:bCs/>
          <w:sz w:val="26"/>
          <w:szCs w:val="26"/>
        </w:rPr>
        <w:fldChar w:fldCharType="end"/>
      </w:r>
    </w:p>
    <w:p w14:paraId="7691097E">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Ricardo Perez-Rubio</w:t>
      </w:r>
      <w:r>
        <w:rPr>
          <w:rFonts w:hint="eastAsia" w:ascii="Times New Roman" w:hAnsi="Times New Roman" w:eastAsia="Times New Roman" w:cs="Times New Roman"/>
          <w:bCs/>
          <w:sz w:val="26"/>
          <w:szCs w:val="26"/>
        </w:rPr>
        <w:t>:</w:t>
      </w:r>
      <w:r>
        <w:rPr>
          <w:rFonts w:ascii="Times New Roman" w:hAnsi="Times New Roman" w:eastAsia="Times New Roman" w:cs="Times New Roman"/>
          <w:bCs/>
          <w:sz w:val="26"/>
          <w:szCs w:val="26"/>
        </w:rPr>
        <w:t xml:space="preserve"> </w:t>
      </w:r>
      <w:r>
        <w:fldChar w:fldCharType="begin"/>
      </w:r>
      <w:r>
        <w:instrText xml:space="preserve"> HYPERLINK "https://orcid.org/0000000242784814" \t "_blank" </w:instrText>
      </w:r>
      <w:r>
        <w:fldChar w:fldCharType="separate"/>
      </w:r>
      <w:r>
        <w:rPr>
          <w:rFonts w:ascii="Times New Roman" w:hAnsi="Times New Roman" w:eastAsia="Times New Roman" w:cs="Times New Roman"/>
          <w:bCs/>
          <w:sz w:val="26"/>
          <w:szCs w:val="26"/>
        </w:rPr>
        <w:t>0000000242784814</w:t>
      </w:r>
      <w:r>
        <w:rPr>
          <w:rFonts w:ascii="Times New Roman" w:hAnsi="Times New Roman" w:eastAsia="Times New Roman" w:cs="Times New Roman"/>
          <w:bCs/>
          <w:sz w:val="26"/>
          <w:szCs w:val="26"/>
        </w:rPr>
        <w:fldChar w:fldCharType="end"/>
      </w:r>
    </w:p>
    <w:p w14:paraId="323853EF">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Javier Perez-Villavicencio</w:t>
      </w:r>
      <w:r>
        <w:rPr>
          <w:rFonts w:hint="eastAsia" w:ascii="Times New Roman" w:hAnsi="Times New Roman" w:eastAsia="Times New Roman" w:cs="Times New Roman"/>
          <w:bCs/>
          <w:sz w:val="26"/>
          <w:szCs w:val="26"/>
        </w:rPr>
        <w:t>:</w:t>
      </w:r>
      <w:r>
        <w:rPr>
          <w:rFonts w:ascii="Times New Roman" w:hAnsi="Times New Roman" w:eastAsia="Times New Roman" w:cs="Times New Roman"/>
          <w:bCs/>
          <w:sz w:val="26"/>
          <w:szCs w:val="26"/>
        </w:rPr>
        <w:t xml:space="preserve"> </w:t>
      </w:r>
      <w:r>
        <w:fldChar w:fldCharType="begin"/>
      </w:r>
      <w:r>
        <w:instrText xml:space="preserve"> HYPERLINK "https://orcid.org/0000000231846522" \t "_blank" </w:instrText>
      </w:r>
      <w:r>
        <w:fldChar w:fldCharType="separate"/>
      </w:r>
      <w:r>
        <w:rPr>
          <w:rFonts w:ascii="Times New Roman" w:hAnsi="Times New Roman" w:eastAsia="Times New Roman" w:cs="Times New Roman"/>
          <w:bCs/>
          <w:sz w:val="26"/>
          <w:szCs w:val="26"/>
        </w:rPr>
        <w:t>0000000231846522</w:t>
      </w:r>
      <w:r>
        <w:rPr>
          <w:rFonts w:ascii="Times New Roman" w:hAnsi="Times New Roman" w:eastAsia="Times New Roman" w:cs="Times New Roman"/>
          <w:bCs/>
          <w:sz w:val="26"/>
          <w:szCs w:val="26"/>
        </w:rPr>
        <w:fldChar w:fldCharType="end"/>
      </w:r>
    </w:p>
    <w:p w14:paraId="69E41514">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Hector Romo-Parra</w:t>
      </w:r>
      <w:r>
        <w:rPr>
          <w:rFonts w:hint="eastAsia" w:ascii="Times New Roman" w:hAnsi="Times New Roman" w:eastAsia="Times New Roman" w:cs="Times New Roman"/>
          <w:bCs/>
          <w:sz w:val="26"/>
          <w:szCs w:val="26"/>
        </w:rPr>
        <w:t>:</w:t>
      </w:r>
      <w:r>
        <w:rPr>
          <w:rFonts w:ascii="Times New Roman" w:hAnsi="Times New Roman" w:eastAsia="Times New Roman" w:cs="Times New Roman"/>
          <w:bCs/>
          <w:sz w:val="26"/>
          <w:szCs w:val="26"/>
        </w:rPr>
        <w:t xml:space="preserve"> </w:t>
      </w:r>
      <w:r>
        <w:fldChar w:fldCharType="begin"/>
      </w:r>
      <w:r>
        <w:instrText xml:space="preserve"> HYPERLINK "https://orcid.org/0000-0002-4275-3161" \t "_blank" </w:instrText>
      </w:r>
      <w:r>
        <w:fldChar w:fldCharType="separate"/>
      </w:r>
      <w:r>
        <w:rPr>
          <w:rFonts w:ascii="Times New Roman" w:hAnsi="Times New Roman" w:eastAsia="Times New Roman" w:cs="Times New Roman"/>
          <w:bCs/>
          <w:sz w:val="26"/>
          <w:szCs w:val="26"/>
        </w:rPr>
        <w:t>0000-0002-4275-3161</w:t>
      </w:r>
      <w:r>
        <w:rPr>
          <w:rFonts w:ascii="Times New Roman" w:hAnsi="Times New Roman" w:eastAsia="Times New Roman" w:cs="Times New Roman"/>
          <w:bCs/>
          <w:sz w:val="26"/>
          <w:szCs w:val="26"/>
        </w:rPr>
        <w:fldChar w:fldCharType="end"/>
      </w:r>
    </w:p>
    <w:p w14:paraId="3BC05096">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Angel Lee</w:t>
      </w:r>
      <w:r>
        <w:rPr>
          <w:rFonts w:hint="eastAsia" w:ascii="Times New Roman" w:hAnsi="Times New Roman" w:eastAsia="Times New Roman" w:cs="Times New Roman"/>
          <w:bCs/>
          <w:sz w:val="26"/>
          <w:szCs w:val="26"/>
        </w:rPr>
        <w:t>:</w:t>
      </w:r>
      <w:r>
        <w:rPr>
          <w:rFonts w:ascii="Times New Roman" w:hAnsi="Times New Roman" w:eastAsia="Times New Roman" w:cs="Times New Roman"/>
          <w:bCs/>
          <w:sz w:val="26"/>
          <w:szCs w:val="26"/>
        </w:rPr>
        <w:t xml:space="preserve"> </w:t>
      </w:r>
      <w:r>
        <w:fldChar w:fldCharType="begin"/>
      </w:r>
      <w:r>
        <w:instrText xml:space="preserve"> HYPERLINK "https://orcid.org/0000-0002-2301-3598" \t "_blank" </w:instrText>
      </w:r>
      <w:r>
        <w:fldChar w:fldCharType="separate"/>
      </w:r>
      <w:r>
        <w:rPr>
          <w:rFonts w:ascii="Times New Roman" w:hAnsi="Times New Roman" w:eastAsia="Times New Roman" w:cs="Times New Roman"/>
          <w:bCs/>
          <w:sz w:val="26"/>
          <w:szCs w:val="26"/>
        </w:rPr>
        <w:t>0000-0002-2301-3598</w:t>
      </w:r>
      <w:r>
        <w:rPr>
          <w:rFonts w:ascii="Times New Roman" w:hAnsi="Times New Roman" w:eastAsia="Times New Roman" w:cs="Times New Roman"/>
          <w:bCs/>
          <w:sz w:val="26"/>
          <w:szCs w:val="26"/>
        </w:rPr>
        <w:fldChar w:fldCharType="end"/>
      </w:r>
    </w:p>
    <w:p w14:paraId="799A61C1">
      <w:pPr>
        <w:spacing w:after="0" w:line="360" w:lineRule="auto"/>
        <w:rPr>
          <w:rFonts w:hint="eastAsia" w:ascii="Times New Roman" w:hAnsi="Times New Roman" w:eastAsia="Times New Roman" w:cs="Times New Roman"/>
          <w:bCs/>
          <w:sz w:val="26"/>
          <w:szCs w:val="26"/>
        </w:rPr>
      </w:pPr>
    </w:p>
    <w:p w14:paraId="7D1CED6B">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Academic Editor: Kuei-Sen Hsu</w:t>
      </w:r>
    </w:p>
    <w:p w14:paraId="59CD2332">
      <w:pPr>
        <w:spacing w:after="0" w:line="360" w:lineRule="auto"/>
        <w:rPr>
          <w:rFonts w:ascii="Times New Roman" w:hAnsi="Times New Roman" w:eastAsia="Times New Roman" w:cs="Times New Roman"/>
          <w:b/>
          <w:bCs/>
          <w:sz w:val="26"/>
          <w:szCs w:val="26"/>
        </w:rPr>
      </w:pPr>
    </w:p>
    <w:p w14:paraId="2DCC22C9">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Submitted: 27 / 03 / 2026</w:t>
      </w:r>
    </w:p>
    <w:p w14:paraId="0B5F48E6">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Revised: </w:t>
      </w:r>
      <w:r>
        <w:rPr>
          <w:rFonts w:hint="eastAsia" w:ascii="Times New Roman" w:hAnsi="Times New Roman" w:eastAsia="宋体" w:cs="Times New Roman"/>
          <w:b/>
          <w:bCs/>
          <w:sz w:val="26"/>
          <w:szCs w:val="26"/>
          <w:lang w:val="en-US" w:eastAsia="zh-CN"/>
        </w:rPr>
        <w:t>27</w:t>
      </w:r>
      <w:r>
        <w:rPr>
          <w:rFonts w:ascii="Times New Roman" w:hAnsi="Times New Roman" w:eastAsia="Times New Roman" w:cs="Times New Roman"/>
          <w:b/>
          <w:bCs/>
          <w:sz w:val="26"/>
          <w:szCs w:val="26"/>
        </w:rPr>
        <w:t xml:space="preserve"> / 04 / 2026</w:t>
      </w:r>
    </w:p>
    <w:p w14:paraId="651FDCAE">
      <w:pPr>
        <w:spacing w:after="0" w:line="360" w:lineRule="auto"/>
        <w:rPr>
          <w:rFonts w:ascii="宋体" w:hAnsi="宋体" w:eastAsia="宋体" w:cs="宋体"/>
          <w:b/>
          <w:bCs/>
          <w:sz w:val="26"/>
          <w:szCs w:val="26"/>
        </w:rPr>
      </w:pPr>
      <w:r>
        <w:rPr>
          <w:rFonts w:hint="eastAsia" w:ascii="Times New Roman" w:hAnsi="Times New Roman" w:eastAsia="Times New Roman" w:cs="Times New Roman"/>
          <w:b/>
          <w:bCs/>
          <w:sz w:val="26"/>
          <w:szCs w:val="26"/>
        </w:rPr>
        <w:t>Accepted</w:t>
      </w:r>
      <w:r>
        <w:rPr>
          <w:rFonts w:hint="eastAsia" w:ascii="宋体" w:hAnsi="宋体" w:eastAsia="宋体" w:cs="宋体"/>
          <w:b/>
          <w:bCs/>
          <w:sz w:val="26"/>
          <w:szCs w:val="26"/>
        </w:rPr>
        <w:t>：</w:t>
      </w:r>
      <w:r>
        <w:rPr>
          <w:rFonts w:hint="eastAsia" w:ascii="Times New Roman" w:hAnsi="Times New Roman" w:eastAsia="宋体" w:cs="Times New Roman"/>
          <w:b/>
          <w:bCs/>
          <w:sz w:val="26"/>
          <w:szCs w:val="26"/>
          <w:lang w:val="en-US" w:eastAsia="zh-CN"/>
        </w:rPr>
        <w:t>30</w:t>
      </w:r>
      <w:r>
        <w:rPr>
          <w:rFonts w:ascii="Times New Roman" w:hAnsi="Times New Roman" w:eastAsia="Times New Roman" w:cs="Times New Roman"/>
          <w:b/>
          <w:bCs/>
          <w:sz w:val="26"/>
          <w:szCs w:val="26"/>
        </w:rPr>
        <w:t xml:space="preserve"> / 04 / 2026</w:t>
      </w:r>
      <w:bookmarkStart w:id="1" w:name="_GoBack"/>
      <w:bookmarkEnd w:id="1"/>
    </w:p>
    <w:p w14:paraId="110E877F">
      <w:pPr>
        <w:spacing w:after="0" w:line="360" w:lineRule="auto"/>
        <w:rPr>
          <w:rFonts w:ascii="Times New Roman" w:hAnsi="Times New Roman" w:cs="Times New Roman"/>
          <w:b/>
          <w:bCs/>
          <w:sz w:val="26"/>
          <w:szCs w:val="26"/>
        </w:rPr>
      </w:pPr>
    </w:p>
    <w:p w14:paraId="56505179">
      <w:pPr>
        <w:spacing w:after="0" w:line="360" w:lineRule="auto"/>
        <w:rPr>
          <w:rFonts w:hint="eastAsia" w:ascii="Times New Roman" w:hAnsi="Times New Roman" w:cs="Times New Roman"/>
          <w:b/>
          <w:bCs/>
          <w:sz w:val="26"/>
          <w:szCs w:val="26"/>
        </w:rPr>
      </w:pPr>
    </w:p>
    <w:p w14:paraId="1261DB4D">
      <w:pPr>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Abstract</w:t>
      </w:r>
    </w:p>
    <w:p w14:paraId="4F26D58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Pr>
        <w:t>Antiseizure medications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have traditionally been characterized by their modulation of neuronal ion channels and synaptic processes; however, accumulating evidence indicates that numerous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also directly modulate mitochondrial function. Specifically, several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interact with ion channels located in both the inner and outer mitochondrial membranes, including the voltage-dependent anion channel (VDAC), the mitochondrial calcium uniporter (MCU), the mitochondrial Na⁺/Ca²⁺ exchanger (NCLX), the mitochondrial permeability transition pore (mPTP), and mitochondrial ATP-sensitive potassium channels (mitoKATP). Modulation of these channels regulates critical processes in epilepsy, including Ca²⁺ homeostasis, ATP synthesis, redox equilibrium, and susceptibility to neuronal apoptosis. Phenytoin and carbamazepine reduce VDAC1-associated mitochondrial permeability by modulating the Bax/Bcl-2 ratio; ethosuximide limits mitochondrial Ca²⁺ overload through modulation of the MCU complex; valproic acid stabilizes NCLX function and prevents mPTP opening via antioxidant mechanisms; levetiracetam contributes to preserving intracellular Ca²⁺ handling; and mitoKATP activators, including diazoxide and retigabine, promote mitochondrial membrane potential stability and reduce seizure-induced reactive oxygen species (ROS) generation. The mitochondrial effects vary according to epilepsy subtype, contributing to the attenuation of hippocampal apoptosis in temporal lobe epilepsy and thalamocortical network modulation in generalized epilepsies. This </w:t>
      </w:r>
      <w:r>
        <w:rPr>
          <w:rFonts w:ascii="Times New Roman" w:hAnsi="Times New Roman" w:eastAsia="Times New Roman" w:cs="Times New Roman"/>
          <w:sz w:val="24"/>
          <w:szCs w:val="24"/>
          <w:highlight w:val="yellow"/>
        </w:rPr>
        <w:t>narrative</w:t>
      </w:r>
      <w:r>
        <w:rPr>
          <w:rFonts w:ascii="Times New Roman" w:hAnsi="Times New Roman" w:eastAsia="Times New Roman" w:cs="Times New Roman"/>
          <w:sz w:val="24"/>
          <w:szCs w:val="24"/>
        </w:rPr>
        <w:t xml:space="preserve"> review examines the experimental and molecular evidence demonstrating how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modulate mitochondrial ion channels and how these interactions contribute to their anticonvulsant mechanisms, thereby broadening the understanding of mitochondria as key functional components in </w:t>
      </w:r>
      <w:r>
        <w:rPr>
          <w:rFonts w:ascii="Times New Roman" w:hAnsi="Times New Roman" w:eastAsia="Times New Roman" w:cs="Times New Roman"/>
          <w:sz w:val="24"/>
          <w:szCs w:val="24"/>
          <w:highlight w:val="yellow"/>
        </w:rPr>
        <w:t xml:space="preserve">antiseizure </w:t>
      </w:r>
      <w:r>
        <w:rPr>
          <w:rFonts w:ascii="Times New Roman" w:hAnsi="Times New Roman" w:eastAsia="Times New Roman" w:cs="Times New Roman"/>
          <w:sz w:val="24"/>
          <w:szCs w:val="24"/>
        </w:rPr>
        <w:t>pharmacology.</w:t>
      </w:r>
    </w:p>
    <w:p w14:paraId="1FD9F9CE">
      <w:pPr>
        <w:spacing w:after="0" w:line="360" w:lineRule="auto"/>
        <w:jc w:val="both"/>
        <w:rPr>
          <w:rFonts w:ascii="Times New Roman" w:hAnsi="Times New Roman" w:eastAsia="Times New Roman" w:cs="Times New Roman"/>
          <w:sz w:val="24"/>
          <w:szCs w:val="24"/>
        </w:rPr>
      </w:pPr>
    </w:p>
    <w:p w14:paraId="085106F1">
      <w:pPr>
        <w:spacing w:after="0" w:line="360" w:lineRule="auto"/>
        <w:jc w:val="both"/>
        <w:rPr>
          <w:rFonts w:ascii="Times New Roman" w:hAnsi="Times New Roman" w:eastAsia="Times New Roman" w:cs="Times New Roman"/>
          <w:sz w:val="24"/>
          <w:szCs w:val="24"/>
        </w:rPr>
      </w:pPr>
    </w:p>
    <w:p w14:paraId="2783FA62">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b/>
          <w:bCs/>
          <w:sz w:val="24"/>
          <w:szCs w:val="24"/>
        </w:rPr>
        <w:t>Keywords:</w:t>
      </w:r>
      <w:r>
        <w:rPr>
          <w:rFonts w:ascii="Times New Roman" w:hAnsi="Times New Roman" w:eastAsia="Times New Roman" w:cs="Times New Roman"/>
          <w:sz w:val="24"/>
          <w:szCs w:val="24"/>
        </w:rPr>
        <w:t xml:space="preserve"> Mitochondria; </w:t>
      </w:r>
      <w:r>
        <w:rPr>
          <w:rFonts w:ascii="Times New Roman" w:hAnsi="Times New Roman" w:eastAsia="Times New Roman" w:cs="Times New Roman"/>
          <w:sz w:val="24"/>
          <w:szCs w:val="24"/>
          <w:highlight w:val="yellow"/>
        </w:rPr>
        <w:t>Anticonvulsants</w:t>
      </w:r>
      <w:r>
        <w:rPr>
          <w:rFonts w:ascii="Times New Roman" w:hAnsi="Times New Roman" w:eastAsia="Times New Roman" w:cs="Times New Roman"/>
          <w:sz w:val="24"/>
          <w:szCs w:val="24"/>
        </w:rPr>
        <w:t xml:space="preserve">; Voltage-Dependent Anion Channels; Ion Channels; </w:t>
      </w:r>
      <w:r>
        <w:rPr>
          <w:rFonts w:ascii="Times New Roman" w:hAnsi="Times New Roman" w:eastAsia="Times New Roman" w:cs="Times New Roman"/>
          <w:sz w:val="24"/>
          <w:szCs w:val="24"/>
          <w:highlight w:val="yellow"/>
        </w:rPr>
        <w:t>Mitochondrial Membrane Transport Proteins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Epilepsy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Reactive Oxygen Species; Calcium Signaling</w:t>
      </w:r>
    </w:p>
    <w:p w14:paraId="0D29493D">
      <w:pPr>
        <w:spacing w:after="0" w:line="360" w:lineRule="auto"/>
        <w:jc w:val="both"/>
        <w:rPr>
          <w:rFonts w:ascii="Times New Roman" w:hAnsi="Times New Roman" w:eastAsia="Times New Roman" w:cs="Times New Roman"/>
          <w:sz w:val="24"/>
          <w:szCs w:val="24"/>
        </w:rPr>
      </w:pPr>
    </w:p>
    <w:p w14:paraId="03EB4F27">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 Introduction</w:t>
      </w:r>
    </w:p>
    <w:p w14:paraId="7548422A">
      <w:pPr>
        <w:spacing w:after="0" w:line="360" w:lineRule="auto"/>
        <w:jc w:val="both"/>
        <w:rPr>
          <w:rFonts w:ascii="Times New Roman" w:hAnsi="Times New Roman" w:eastAsia="Times New Roman" w:cs="Times New Roman"/>
          <w:sz w:val="24"/>
          <w:szCs w:val="24"/>
        </w:rPr>
      </w:pPr>
    </w:p>
    <w:p w14:paraId="701F2B8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Epilepsy encompasses a diverse array of neurological conditions characterized by a chronic propensity to generate epileptic seizures arising from aberrant, excessive, and hypersynchronous neural activity [1,2]. Seizures arise from a neurobiological imbalance between excitatory and inhibitory mechanisms, including disruptions in glutamatergic and GABAergic transmission, variations in intrinsic neuronal excitability, and reconfigurations of neuronal networks [3,4,5].</w:t>
      </w:r>
    </w:p>
    <w:p w14:paraId="76D5FE5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Despite the development of numerous </w:t>
      </w:r>
      <w:r>
        <w:rPr>
          <w:rFonts w:ascii="Times New Roman" w:hAnsi="Times New Roman" w:eastAsia="Times New Roman" w:cs="Times New Roman"/>
          <w:sz w:val="24"/>
          <w:szCs w:val="24"/>
          <w:highlight w:val="yellow"/>
        </w:rPr>
        <w:t>antiseizure medications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approximately one-third of patients continue to suffer from drug-resistant epilepsy, highlighting significant limitations in current therapeutic approaches and pointing to the potential contribution of incompletely understood cellular mechanisms [6,7].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have traditionally been classified according to their ability to modulate voltage-gated neuronal ion channels specifically sodium, calcium, and potassium channels as well as their effects on inhibitory or excitatory synaptic neurotransmission [8,9].</w:t>
      </w:r>
    </w:p>
    <w:p w14:paraId="0A8BF64D">
      <w:pPr>
        <w:spacing w:after="0" w:line="360" w:lineRule="auto"/>
        <w:jc w:val="both"/>
        <w:rPr>
          <w:rFonts w:ascii="Times New Roman" w:hAnsi="Times New Roman" w:eastAsia="Times New Roman" w:cs="Times New Roman"/>
          <w:sz w:val="24"/>
          <w:szCs w:val="24"/>
        </w:rPr>
      </w:pPr>
      <w:bookmarkStart w:id="0" w:name="_heading=h.84pgprmee3d" w:colFirst="0" w:colLast="0"/>
      <w:bookmarkEnd w:id="0"/>
      <w:r>
        <w:rPr>
          <w:rFonts w:ascii="Times New Roman" w:hAnsi="Times New Roman" w:eastAsia="Times New Roman" w:cs="Times New Roman"/>
          <w:sz w:val="24"/>
          <w:szCs w:val="24"/>
        </w:rPr>
        <w:t>These mechanisms partially explain the reduction of neuronal hyperexcitability; however, they do not fully account for the neuroprotective benefits reported with various pharmacological agents or the clinical heterogeneity observed across patients and epilepsy subtypes [10,11]. More recently, a new paradigm has emerged acknowledging the mitochondrion as a pivotal regulator of neuronal excitability [12,13]. Beyond its well-established role in energy production, the mitochondrion plays a critical function in intracellular calcium regulation, formation of reactive oxygen species (ROS), redox signaling, and the initiation of apoptotic pathways [14,15]. These processes are closely associated with the pathophysiology of epileptic seizures [16].</w:t>
      </w:r>
    </w:p>
    <w:p w14:paraId="3674AA9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study of mitochondrial ion channels therefore represents both a conceptual and therapeutic priority, as these systems govern the interplay between cellular metabolism and brain electrical activity [17,18]. Understanding how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interact with these channels extends the traditional view of their mechanisms of action and helps explain the anticonvulsant and neuroprotective effects that were previously attributed solely to synaptic mechanisms [19,20].</w:t>
      </w:r>
    </w:p>
    <w:p w14:paraId="34C1025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w:t>
      </w:r>
      <w:r>
        <w:rPr>
          <w:rFonts w:ascii="Times New Roman" w:hAnsi="Times New Roman" w:eastAsia="Times New Roman" w:cs="Times New Roman"/>
          <w:sz w:val="24"/>
          <w:szCs w:val="24"/>
          <w:highlight w:val="yellow"/>
        </w:rPr>
        <w:t>narrative</w:t>
      </w:r>
      <w:r>
        <w:rPr>
          <w:rFonts w:ascii="Times New Roman" w:hAnsi="Times New Roman" w:eastAsia="Times New Roman" w:cs="Times New Roman"/>
          <w:sz w:val="24"/>
          <w:szCs w:val="24"/>
        </w:rPr>
        <w:t xml:space="preserve"> review </w:t>
      </w:r>
      <w:r>
        <w:rPr>
          <w:rFonts w:ascii="Times New Roman" w:hAnsi="Times New Roman" w:eastAsia="Times New Roman" w:cs="Times New Roman"/>
          <w:sz w:val="24"/>
          <w:szCs w:val="24"/>
          <w:highlight w:val="yellow"/>
        </w:rPr>
        <w:t>synthesizes</w:t>
      </w:r>
      <w:r>
        <w:rPr>
          <w:rFonts w:ascii="Times New Roman" w:hAnsi="Times New Roman" w:eastAsia="Times New Roman" w:cs="Times New Roman"/>
          <w:sz w:val="24"/>
          <w:szCs w:val="24"/>
        </w:rPr>
        <w:t xml:space="preserve"> the molecular and experimental evidence supporting the role of mitochondrial ion channels in epilepsy and elucidates how various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modulate these structures, thereby contributing to their anticonvulsant efficacy. </w:t>
      </w:r>
      <w:r>
        <w:rPr>
          <w:rFonts w:ascii="Times New Roman" w:hAnsi="Times New Roman" w:eastAsia="Times New Roman" w:cs="Times New Roman"/>
          <w:sz w:val="24"/>
          <w:szCs w:val="24"/>
          <w:highlight w:val="yellow"/>
        </w:rPr>
        <w:t>Representative preclinical, mechanistic, and pharmacological studies were selected on the basis of their relevance to the interaction between ASMs and mitochondrial ion channels, without applying formal systematic search or risk-of-bias appraisal protocols</w:t>
      </w:r>
      <w:r>
        <w:rPr>
          <w:rFonts w:ascii="Times New Roman" w:hAnsi="Times New Roman" w:eastAsia="Times New Roman" w:cs="Times New Roman"/>
          <w:sz w:val="24"/>
          <w:szCs w:val="24"/>
        </w:rPr>
        <w:t xml:space="preserve">. </w:t>
      </w:r>
    </w:p>
    <w:p w14:paraId="6B830F14">
      <w:pPr>
        <w:spacing w:after="0" w:line="360" w:lineRule="auto"/>
        <w:jc w:val="both"/>
        <w:rPr>
          <w:rFonts w:ascii="Times New Roman" w:hAnsi="Times New Roman" w:eastAsia="Times New Roman" w:cs="Times New Roman"/>
          <w:b/>
          <w:bCs/>
          <w:sz w:val="24"/>
          <w:szCs w:val="24"/>
          <w:highlight w:val="yellow"/>
        </w:rPr>
      </w:pPr>
      <w:r>
        <w:rPr>
          <w:rFonts w:ascii="Times New Roman" w:hAnsi="Times New Roman" w:eastAsia="Times New Roman" w:cs="Times New Roman"/>
          <w:sz w:val="24"/>
          <w:szCs w:val="24"/>
          <w:highlight w:val="yellow"/>
        </w:rPr>
        <w:t>The present review focuses primarily on classical ASMs (phenytoin, carbamazepine, ethosuximide, valproate, levetiracetam) and on selected mitochondrial-channel modulators (diazoxide, retigabine), as these agents possess the most extensively characterized preclinical evidence regarding interactions with specific mitochondrial ion channels; mechanistic data on most newer-generation ASMs remain comparatively scarce, an issue revisited in Section 5.</w:t>
      </w:r>
    </w:p>
    <w:p w14:paraId="1DE665CF">
      <w:pPr>
        <w:spacing w:after="0" w:line="360" w:lineRule="auto"/>
        <w:jc w:val="both"/>
        <w:rPr>
          <w:rFonts w:ascii="Times New Roman" w:hAnsi="Times New Roman" w:eastAsia="Times New Roman" w:cs="Times New Roman"/>
          <w:b/>
          <w:bCs/>
          <w:sz w:val="24"/>
          <w:szCs w:val="24"/>
        </w:rPr>
      </w:pPr>
    </w:p>
    <w:p w14:paraId="2ADC6D46">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2. Mitochondria as a Regulator of Neuronal Excitability</w:t>
      </w:r>
    </w:p>
    <w:p w14:paraId="6558DD4F">
      <w:pPr>
        <w:spacing w:after="0" w:line="360" w:lineRule="auto"/>
        <w:jc w:val="both"/>
        <w:rPr>
          <w:rFonts w:ascii="Times New Roman" w:hAnsi="Times New Roman" w:eastAsia="Times New Roman" w:cs="Times New Roman"/>
          <w:sz w:val="24"/>
          <w:szCs w:val="24"/>
        </w:rPr>
      </w:pPr>
    </w:p>
    <w:p w14:paraId="1D2F197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Neuronal excitability is closely linked to cellular metabolic status [21,22]. Mitochondrion serves as a central nexus connecting electrical activity with energy supply and intracellular ionic regulation, allowing neurons to maintain elevated activity levels without compromising cell viability [23,24].</w:t>
      </w:r>
    </w:p>
    <w:p w14:paraId="32F07DB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relationship between metabolism and neural excitability depends on the mitochondria's ability to modulate energy production according to synaptic requirements [12,25]. Intense neural activity increases adenosine triphosphate (ATP) consumption, which activates oxidative phosphorylation supporting the activity of ion pumps like Na⁺/K⁺-ATPase and calcium-transporting </w:t>
      </w:r>
      <w:r>
        <w:rPr>
          <w:rFonts w:ascii="Times New Roman" w:hAnsi="Times New Roman" w:eastAsia="Times New Roman" w:cs="Times New Roman"/>
          <w:sz w:val="24"/>
          <w:szCs w:val="24"/>
          <w:highlight w:val="yellow"/>
        </w:rPr>
        <w:t>ATPase</w:t>
      </w:r>
      <w:r>
        <w:rPr>
          <w:rFonts w:ascii="Times New Roman" w:hAnsi="Times New Roman" w:eastAsia="Times New Roman" w:cs="Times New Roman"/>
          <w:sz w:val="24"/>
          <w:szCs w:val="24"/>
        </w:rPr>
        <w:t xml:space="preserve"> (Ca²⁺-ATPase), crucial for reestablishing electrochemical gradients following depolarization [26,27]. During epileptiform episodes, energy demand increases sharply [28]. Mitochondria augment ATP synthesis through calcium-dependent activation of the Krebs cycle enzymes [29,30]. Excessive or sustained stimulation, however, overwhelms bioenergetic capacity, leading to metabolic dysfunction and promoting further neuronal discharges [16,31].</w:t>
      </w:r>
    </w:p>
    <w:p w14:paraId="4F1391A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Epileptic seizures markedly increase ROS generation because of respiratory chain overload [32,33]. The excess of free radicals induces oxidative damage to lipids, proteins, and mitochondrial deoxyribonucleic acid (DNA), impairing energy efficiency and establishing a detrimental cycle between oxidative stress and neuronal excitability [34,35]. Mitochondrial Ca²⁺ homeostasis is a fundamental component of this regulatory mechanism [36,37]. Mitochondria buffer synaptically generated calcium to prevent excessive cytosolic accumulation [38,39]. In hyperexcitable neurons, sustained mitochondrial Ca²⁺ accumulation induces metabolic alterations, dissipates membrane potential, and triggers apoptotic pathways [40,41]. The dual role of mitochondria as both supporters of physiological neuronal activity and contributors to seizure-related injury is illustrated in Figure 1, which contrasts the adaptive bioenergetic responses observed under normal conditions with the cascade of mitochondrial dysfunction including ROS overproduction, membrane potential collapse, and apoptotic signaling that characterizes epileptiform activity.</w:t>
      </w:r>
    </w:p>
    <w:p w14:paraId="3CC761AD">
      <w:pPr>
        <w:spacing w:after="0" w:line="360" w:lineRule="auto"/>
        <w:jc w:val="both"/>
        <w:rPr>
          <w:rFonts w:ascii="Times New Roman" w:hAnsi="Times New Roman" w:eastAsia="Times New Roman" w:cs="Times New Roman"/>
          <w:sz w:val="24"/>
          <w:szCs w:val="24"/>
        </w:rPr>
      </w:pPr>
    </w:p>
    <w:p w14:paraId="47FAF18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569585" cy="32245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5569903" cy="3224680"/>
                    </a:xfrm>
                    <a:prstGeom prst="rect">
                      <a:avLst/>
                    </a:prstGeom>
                  </pic:spPr>
                </pic:pic>
              </a:graphicData>
            </a:graphic>
          </wp:inline>
        </w:drawing>
      </w:r>
    </w:p>
    <w:p w14:paraId="0111A7E9">
      <w:pPr>
        <w:spacing w:after="0" w:line="360" w:lineRule="auto"/>
        <w:jc w:val="both"/>
        <w:rPr>
          <w:rFonts w:ascii="Times New Roman" w:hAnsi="Times New Roman" w:eastAsia="Times New Roman" w:cs="Times New Roman"/>
          <w:color w:val="1155CC"/>
          <w:sz w:val="18"/>
          <w:szCs w:val="18"/>
          <w:highlight w:val="yellow"/>
          <w:u w:val="single"/>
        </w:rPr>
      </w:pPr>
      <w:r>
        <w:rPr>
          <w:rFonts w:ascii="Times New Roman" w:hAnsi="Times New Roman" w:eastAsia="Times New Roman" w:cs="Times New Roman"/>
          <w:b/>
          <w:bCs/>
          <w:sz w:val="19"/>
          <w:szCs w:val="19"/>
        </w:rPr>
        <w:t>Figure 1. Mitochondrial regulation of neuronal excitability under physiological and epileptiform conditions.</w:t>
      </w:r>
      <w:r>
        <w:rPr>
          <w:rFonts w:ascii="Times New Roman" w:hAnsi="Times New Roman" w:eastAsia="Times New Roman" w:cs="Times New Roman"/>
          <w:sz w:val="19"/>
          <w:szCs w:val="19"/>
        </w:rPr>
        <w:t xml:space="preserve"> Under physiological conditions (left), activity-dependent Ca²⁺ influx increases metabolic demand and stimulates mitochondrial oxidative phosphorylation, enhancing ATP production to support ion transport mechanisms including Na⁺/K⁺-ATPase and Ca²⁺-ATPase that restore electrochemical gradients and maintain neuronal stability. Under pathological conditions such as epileptiform activity (right), excessive mitochondrial Ca²⁺ accumulation leads to respiratory chain overload and increased generation of reactive oxygen species (ROS). These alterations promote oxidative damage, mitochondrial membrane potential dissipation (loss of ΔΨm), and activation of apoptotic signaling cascades, ultimately resulting in neuronal dysfunction and injury. </w:t>
      </w:r>
      <w:r>
        <w:rPr>
          <w:rFonts w:ascii="Times New Roman" w:hAnsi="Times New Roman" w:eastAsia="Times New Roman" w:cs="Times New Roman"/>
          <w:i/>
          <w:iCs/>
          <w:sz w:val="19"/>
          <w:szCs w:val="19"/>
        </w:rPr>
        <w:t xml:space="preserve">Created in BioRender </w:t>
      </w:r>
      <w:r>
        <w:rPr>
          <w:rFonts w:ascii="Times New Roman" w:hAnsi="Times New Roman" w:eastAsia="Times New Roman" w:cs="Times New Roman"/>
          <w:sz w:val="18"/>
          <w:szCs w:val="18"/>
          <w:highlight w:val="yellow"/>
        </w:rPr>
        <w:t>Perez Rubio, R. (2026)</w:t>
      </w:r>
      <w:r>
        <w:fldChar w:fldCharType="begin"/>
      </w:r>
      <w:r>
        <w:instrText xml:space="preserve"> HYPERLINK "https://biorender.com/x23h795" \h </w:instrText>
      </w:r>
      <w:r>
        <w:fldChar w:fldCharType="separate"/>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fldChar w:fldCharType="end"/>
      </w:r>
      <w:r>
        <w:fldChar w:fldCharType="begin"/>
      </w:r>
      <w:r>
        <w:instrText xml:space="preserve"> HYPERLINK "https://biorender.com/x23h795" \h </w:instrText>
      </w:r>
      <w:r>
        <w:fldChar w:fldCharType="separate"/>
      </w:r>
      <w:r>
        <w:rPr>
          <w:rFonts w:ascii="Times New Roman" w:hAnsi="Times New Roman" w:eastAsia="Times New Roman" w:cs="Times New Roman"/>
          <w:color w:val="1155CC"/>
          <w:sz w:val="18"/>
          <w:szCs w:val="18"/>
          <w:highlight w:val="yellow"/>
          <w:u w:val="single"/>
        </w:rPr>
        <w:t>https://BioRender.com/x23h795</w:t>
      </w:r>
      <w:r>
        <w:rPr>
          <w:rFonts w:ascii="Times New Roman" w:hAnsi="Times New Roman" w:eastAsia="Times New Roman" w:cs="Times New Roman"/>
          <w:color w:val="1155CC"/>
          <w:sz w:val="18"/>
          <w:szCs w:val="18"/>
          <w:highlight w:val="yellow"/>
          <w:u w:val="single"/>
        </w:rPr>
        <w:fldChar w:fldCharType="end"/>
      </w:r>
    </w:p>
    <w:p w14:paraId="1D634886">
      <w:pPr>
        <w:spacing w:after="0" w:line="360" w:lineRule="auto"/>
        <w:jc w:val="both"/>
        <w:rPr>
          <w:rFonts w:ascii="Times New Roman" w:hAnsi="Times New Roman" w:eastAsia="Times New Roman" w:cs="Times New Roman"/>
          <w:i/>
          <w:iCs/>
          <w:sz w:val="19"/>
          <w:szCs w:val="19"/>
        </w:rPr>
      </w:pPr>
    </w:p>
    <w:p w14:paraId="04E1FCF9">
      <w:pPr>
        <w:spacing w:after="0" w:line="360" w:lineRule="auto"/>
        <w:jc w:val="both"/>
        <w:rPr>
          <w:rFonts w:ascii="Times New Roman" w:hAnsi="Times New Roman" w:eastAsia="Times New Roman" w:cs="Times New Roman"/>
          <w:sz w:val="24"/>
          <w:szCs w:val="24"/>
        </w:rPr>
      </w:pPr>
    </w:p>
    <w:p w14:paraId="6CB29596">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 Architecture and Role of Mitochondrial Ion Channels</w:t>
      </w:r>
    </w:p>
    <w:p w14:paraId="1A219BBC">
      <w:pPr>
        <w:spacing w:after="0" w:line="360" w:lineRule="auto"/>
        <w:jc w:val="both"/>
        <w:rPr>
          <w:rFonts w:ascii="Times New Roman" w:hAnsi="Times New Roman" w:eastAsia="Times New Roman" w:cs="Times New Roman"/>
          <w:b/>
          <w:bCs/>
          <w:sz w:val="24"/>
          <w:szCs w:val="24"/>
        </w:rPr>
      </w:pPr>
    </w:p>
    <w:p w14:paraId="16603D5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Mitochondrial ion channels are specialized protein complexes that govern the exchange of metabolites and ions between the mitochondrion and the cytoplasm, thus regulating cellular bioenergetics and neuronal survival. Biochemical, electrophysiological, and structural studies have established that these channels regulate ATP synthesis, calcium homeostasis, and apoptotic signaling, thereby positioning the mitochondrion as a central hub for metabolic integration and the determination of cellular fate [17,36,42,43]. The voltage-dependent anion channel (VDAC), situated in the outer mitochondrial membrane, functions as the principal conduit for metabolic exchange between the cytosol and the intermembrane space [44,45]. Early studies using lipid bilayer reconstitution demonstrated that VDAC facilitates the transport of nucleotides such as ATP and adenosine diphosphate (ADP), as well as essential respiratory metabolites [46,47]. Subsequent studies demonstrated that VDAC serves as a platform for interactions with apoptosis-regulating proteins including Bcl-2 associated X protein (Bax), Bcl-2 homologous antagonist/killer (Bak), and B-cell lymphoma 2 protein (Bcl-2) thereby influencing outer membrane permeabilization and cytochrome c release [48,49]. These interactions directly link mitochondrial metabolic status to the activation of intrinsic apoptotic pathways, particularly in neurons exposed to oxidative stress or excitotoxicity [50,51].</w:t>
      </w:r>
    </w:p>
    <w:p w14:paraId="051CDA8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mitochondrial calcium uniporter (MCU) complex resides in the inner mitochondrial membrane and serves as the principal conduit for Ca²⁺ influx into the mitochondrial matrix. Its molecular identification through genetic and proteomic analyses confirmed its critical role in coupling cytosolic calcium signaling to mitochondrial energy metabolism [52,53,54]. MCU activity is precisely regulated by EF-hand Ca²⁺-sensing proteins, including MICU1 and MICU2, which establish a Ca²⁺-dependent activation threshold that prevents mitochondrial overload under basal conditions while permitting rapid Ca²⁺ uptake during physiological calcium transients [55,56,57]. This regulatory mechanism is especially important in neurons, where calcium-dependent signaling governs synaptic plasticity and ATP synthesis [58,59].</w:t>
      </w:r>
    </w:p>
    <w:p w14:paraId="3EF7B32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mitochondrial sodium-calcium exchanger (NCLX) serves as the primary transporter mediating calcium efflux from mitochondria. Functional studies indicate that NCLX maintains mitochondrial calcium homeostasis by extruding Ca²⁺ accumulated during intense neuronal activity, thereby preventing respiratory chain dysfunction and excessive ROS production [60,61]. Experimental models have shown that NCLX suppression or genetic ablation leads to mitochondrial calcium overload, loss of membrane potential, and neuronal death, underscoring its neuroprotective role [62,63]. The </w:t>
      </w:r>
      <w:r>
        <w:rPr>
          <w:rFonts w:ascii="Times New Roman" w:hAnsi="Times New Roman" w:eastAsia="Times New Roman" w:cs="Times New Roman"/>
          <w:sz w:val="24"/>
          <w:szCs w:val="24"/>
          <w:highlight w:val="yellow"/>
        </w:rPr>
        <w:t>mitochondrial permeability transition pore</w:t>
      </w:r>
      <w:r>
        <w:rPr>
          <w:rFonts w:ascii="Times New Roman" w:hAnsi="Times New Roman" w:eastAsia="Times New Roman" w:cs="Times New Roman"/>
          <w:sz w:val="24"/>
          <w:szCs w:val="24"/>
        </w:rPr>
        <w:t xml:space="preserve"> (mPTP) is a multiprotein complex whose opening is regulated by the cellular redox state, calcium levels, and metabolic conditions [64]. Seminal studies have shown that sustained mPTP opening results in dissipation of the mitochondrial membrane potential, osmotic swelling, and the release of pro-apoptotic factors, including cytochrome c and </w:t>
      </w:r>
      <w:r>
        <w:rPr>
          <w:rFonts w:ascii="Times New Roman" w:hAnsi="Times New Roman" w:eastAsia="Times New Roman" w:cs="Times New Roman"/>
          <w:sz w:val="24"/>
          <w:szCs w:val="24"/>
          <w:highlight w:val="yellow"/>
        </w:rPr>
        <w:t>apoptosis-inducing</w:t>
      </w:r>
      <w:r>
        <w:rPr>
          <w:rFonts w:ascii="Times New Roman" w:hAnsi="Times New Roman" w:eastAsia="Times New Roman" w:cs="Times New Roman"/>
          <w:sz w:val="24"/>
          <w:szCs w:val="24"/>
        </w:rPr>
        <w:t xml:space="preserve"> factors (AIF) [65,66]. Recent studies have identified ATP synthase and cyclophilin D (CypD) as critical regulatory elements of the pore, associating its activation with neurodegenerative mechanisms and excitotoxic injury [67,68,69,70]. Mitochondrial ATP-sensitive potassium channels (mitoK</w:t>
      </w:r>
      <w:r>
        <w:rPr>
          <w:rFonts w:ascii="Times New Roman" w:hAnsi="Times New Roman" w:eastAsia="Times New Roman" w:cs="Times New Roman"/>
          <w:sz w:val="24"/>
          <w:szCs w:val="24"/>
          <w:vertAlign w:val="subscript"/>
        </w:rPr>
        <w:t>ATP</w:t>
      </w:r>
      <w:r>
        <w:rPr>
          <w:rFonts w:ascii="Times New Roman" w:hAnsi="Times New Roman" w:eastAsia="Times New Roman" w:cs="Times New Roman"/>
          <w:sz w:val="24"/>
          <w:szCs w:val="24"/>
        </w:rPr>
        <w:t>) are involved in regulating mitochondrial membrane potential and facilitating metabolic adaptability under cellular stress. Pharmacological studies and ischemia models have demonstrated that mitoK</w:t>
      </w:r>
      <w:r>
        <w:rPr>
          <w:rFonts w:ascii="Times New Roman" w:hAnsi="Times New Roman" w:eastAsia="Times New Roman" w:cs="Times New Roman"/>
          <w:sz w:val="24"/>
          <w:szCs w:val="24"/>
          <w:vertAlign w:val="subscript"/>
        </w:rPr>
        <w:t>ATP</w:t>
      </w:r>
      <w:r>
        <w:rPr>
          <w:rFonts w:ascii="Times New Roman" w:hAnsi="Times New Roman" w:eastAsia="Times New Roman" w:cs="Times New Roman"/>
          <w:sz w:val="24"/>
          <w:szCs w:val="24"/>
        </w:rPr>
        <w:t xml:space="preserve"> activation induces mild mitochondrial depolarization, which limits excessive ROS production and attenuates mPTP opening, thereby promoting cellular preconditioning and enhancing neuronal survival [71,72,73]. This protective effect has been extensively documented in neurodegenerative disease and brain ischemia models, where mitoK</w:t>
      </w:r>
      <w:r>
        <w:rPr>
          <w:rFonts w:ascii="Times New Roman" w:hAnsi="Times New Roman" w:eastAsia="Times New Roman" w:cs="Times New Roman"/>
          <w:sz w:val="24"/>
          <w:szCs w:val="24"/>
          <w:vertAlign w:val="subscript"/>
        </w:rPr>
        <w:t>ATP</w:t>
      </w:r>
      <w:r>
        <w:rPr>
          <w:rFonts w:ascii="Times New Roman" w:hAnsi="Times New Roman" w:eastAsia="Times New Roman" w:cs="Times New Roman"/>
          <w:sz w:val="24"/>
          <w:szCs w:val="24"/>
        </w:rPr>
        <w:t xml:space="preserve"> activation sustains mitochondrial function during energy-stress conditions. Accumulated data </w:t>
      </w:r>
      <w:r>
        <w:rPr>
          <w:rFonts w:ascii="Times New Roman" w:hAnsi="Times New Roman" w:eastAsia="Times New Roman" w:cs="Times New Roman"/>
          <w:sz w:val="24"/>
          <w:szCs w:val="24"/>
          <w:highlight w:val="yellow"/>
        </w:rPr>
        <w:t>indicate</w:t>
      </w:r>
      <w:r>
        <w:rPr>
          <w:rFonts w:ascii="Times New Roman" w:hAnsi="Times New Roman" w:eastAsia="Times New Roman" w:cs="Times New Roman"/>
          <w:sz w:val="24"/>
          <w:szCs w:val="24"/>
        </w:rPr>
        <w:t xml:space="preserve"> that mitochondrial ion channels regulate metabolite and ion flux while also integrating metabolic, redox, and apoptotic signals, serving as crucial components in neuronal homeostasis and the pathogenesis of neurodegenerative disorders. The structural diversity and functional specialization of these channels are summarized in Table 1, which provides a comparative overview of each channel's subcellular localization, transported ions or molecules, physiological roles, and specific relevance to epilepsy-related pathology.</w:t>
      </w:r>
    </w:p>
    <w:p w14:paraId="3F9F9CCE">
      <w:pPr>
        <w:spacing w:after="0" w:line="360" w:lineRule="auto"/>
        <w:jc w:val="both"/>
        <w:rPr>
          <w:rFonts w:ascii="Times New Roman" w:hAnsi="Times New Roman" w:eastAsia="Times New Roman" w:cs="Times New Roman"/>
          <w:sz w:val="24"/>
          <w:szCs w:val="24"/>
        </w:rPr>
      </w:pPr>
    </w:p>
    <w:p w14:paraId="694F5DE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1"/>
          <w:szCs w:val="21"/>
        </w:rPr>
        <w:t>Table 1.</w:t>
      </w:r>
      <w:r>
        <w:rPr>
          <w:rFonts w:ascii="Times New Roman" w:hAnsi="Times New Roman" w:eastAsia="Times New Roman" w:cs="Times New Roman"/>
          <w:sz w:val="24"/>
          <w:szCs w:val="24"/>
        </w:rPr>
        <w:t xml:space="preserve"> </w:t>
      </w:r>
      <w:r>
        <w:rPr>
          <w:rFonts w:ascii="Times New Roman" w:hAnsi="Times New Roman" w:eastAsia="Times New Roman" w:cs="Times New Roman"/>
          <w:sz w:val="21"/>
          <w:szCs w:val="21"/>
        </w:rPr>
        <w:t>Major mitochondrial ion channels involved in neuronal metabolism and excitability</w:t>
      </w:r>
    </w:p>
    <w:tbl>
      <w:tblPr>
        <w:tblStyle w:val="15"/>
        <w:tblW w:w="9634" w:type="dxa"/>
        <w:tblInd w:w="-181" w:type="dxa"/>
        <w:tblLayout w:type="fixed"/>
        <w:tblCellMar>
          <w:top w:w="55" w:type="dxa"/>
          <w:left w:w="55" w:type="dxa"/>
          <w:bottom w:w="55" w:type="dxa"/>
          <w:right w:w="55" w:type="dxa"/>
        </w:tblCellMar>
      </w:tblPr>
      <w:tblGrid>
        <w:gridCol w:w="1635"/>
        <w:gridCol w:w="1535"/>
        <w:gridCol w:w="1652"/>
        <w:gridCol w:w="1535"/>
        <w:gridCol w:w="1638"/>
        <w:gridCol w:w="1639"/>
      </w:tblGrid>
      <w:tr w14:paraId="25820785">
        <w:tblPrEx>
          <w:tblCellMar>
            <w:top w:w="55" w:type="dxa"/>
            <w:left w:w="55" w:type="dxa"/>
            <w:bottom w:w="55" w:type="dxa"/>
            <w:right w:w="55" w:type="dxa"/>
          </w:tblCellMar>
        </w:tblPrEx>
        <w:tc>
          <w:tcPr>
            <w:tcW w:w="1636" w:type="dxa"/>
            <w:tcBorders>
              <w:top w:val="single" w:color="000000" w:sz="4" w:space="0"/>
              <w:bottom w:val="single" w:color="000000" w:sz="4" w:space="0"/>
            </w:tcBorders>
            <w:vAlign w:val="center"/>
          </w:tcPr>
          <w:p w14:paraId="24D35E29">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Channel/pore</w:t>
            </w:r>
          </w:p>
        </w:tc>
        <w:tc>
          <w:tcPr>
            <w:tcW w:w="1535" w:type="dxa"/>
            <w:tcBorders>
              <w:top w:val="single" w:color="000000" w:sz="4" w:space="0"/>
              <w:bottom w:val="single" w:color="000000" w:sz="4" w:space="0"/>
            </w:tcBorders>
            <w:vAlign w:val="center"/>
          </w:tcPr>
          <w:p w14:paraId="5BD0178B">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Mitochondrial location</w:t>
            </w:r>
          </w:p>
        </w:tc>
        <w:tc>
          <w:tcPr>
            <w:tcW w:w="1652" w:type="dxa"/>
            <w:tcBorders>
              <w:top w:val="single" w:color="000000" w:sz="4" w:space="0"/>
              <w:bottom w:val="single" w:color="000000" w:sz="4" w:space="0"/>
            </w:tcBorders>
            <w:vAlign w:val="center"/>
          </w:tcPr>
          <w:p w14:paraId="592428BB">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Transported ions/molecules</w:t>
            </w:r>
          </w:p>
        </w:tc>
        <w:tc>
          <w:tcPr>
            <w:tcW w:w="1535" w:type="dxa"/>
            <w:tcBorders>
              <w:top w:val="single" w:color="000000" w:sz="4" w:space="0"/>
              <w:bottom w:val="single" w:color="000000" w:sz="4" w:space="0"/>
            </w:tcBorders>
            <w:vAlign w:val="center"/>
          </w:tcPr>
          <w:p w14:paraId="5B3B63BA">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Physiological role</w:t>
            </w:r>
          </w:p>
        </w:tc>
        <w:tc>
          <w:tcPr>
            <w:tcW w:w="1638" w:type="dxa"/>
            <w:tcBorders>
              <w:top w:val="single" w:color="000000" w:sz="4" w:space="0"/>
              <w:bottom w:val="single" w:color="000000" w:sz="4" w:space="0"/>
            </w:tcBorders>
            <w:vAlign w:val="center"/>
          </w:tcPr>
          <w:p w14:paraId="106DAF97">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Relevance in epilepsy</w:t>
            </w:r>
          </w:p>
        </w:tc>
        <w:tc>
          <w:tcPr>
            <w:tcW w:w="1639" w:type="dxa"/>
            <w:tcBorders>
              <w:top w:val="single" w:color="000000" w:sz="4" w:space="0"/>
              <w:bottom w:val="single" w:color="000000" w:sz="4" w:space="0"/>
            </w:tcBorders>
            <w:vAlign w:val="center"/>
          </w:tcPr>
          <w:p w14:paraId="5AF5DF3D">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Key references</w:t>
            </w:r>
          </w:p>
        </w:tc>
      </w:tr>
      <w:tr w14:paraId="118F16AA">
        <w:tblPrEx>
          <w:tblCellMar>
            <w:top w:w="55" w:type="dxa"/>
            <w:left w:w="55" w:type="dxa"/>
            <w:bottom w:w="55" w:type="dxa"/>
            <w:right w:w="55" w:type="dxa"/>
          </w:tblCellMar>
        </w:tblPrEx>
        <w:tc>
          <w:tcPr>
            <w:tcW w:w="1636" w:type="dxa"/>
            <w:tcMar>
              <w:top w:w="0" w:type="dxa"/>
              <w:left w:w="0" w:type="dxa"/>
              <w:bottom w:w="0" w:type="dxa"/>
              <w:right w:w="0" w:type="dxa"/>
            </w:tcMar>
            <w:vAlign w:val="center"/>
          </w:tcPr>
          <w:p w14:paraId="0867436D">
            <w:pPr>
              <w:rPr>
                <w:rFonts w:ascii="Times New Roman" w:hAnsi="Times New Roman" w:eastAsia="Times New Roman" w:cs="Times New Roman"/>
                <w:sz w:val="20"/>
                <w:szCs w:val="20"/>
              </w:rPr>
            </w:pPr>
            <w:r>
              <w:rPr>
                <w:rFonts w:ascii="Times New Roman" w:hAnsi="Times New Roman" w:eastAsia="Times New Roman" w:cs="Times New Roman"/>
                <w:sz w:val="20"/>
                <w:szCs w:val="20"/>
              </w:rPr>
              <w:t>VDAC (1/2)</w:t>
            </w:r>
          </w:p>
        </w:tc>
        <w:tc>
          <w:tcPr>
            <w:tcW w:w="1535" w:type="dxa"/>
            <w:tcMar>
              <w:top w:w="0" w:type="dxa"/>
              <w:left w:w="0" w:type="dxa"/>
              <w:bottom w:w="0" w:type="dxa"/>
              <w:right w:w="0" w:type="dxa"/>
            </w:tcMar>
            <w:vAlign w:val="center"/>
          </w:tcPr>
          <w:p w14:paraId="7C92525C">
            <w:pPr>
              <w:rPr>
                <w:rFonts w:ascii="Times New Roman" w:hAnsi="Times New Roman" w:eastAsia="Times New Roman" w:cs="Times New Roman"/>
                <w:sz w:val="20"/>
                <w:szCs w:val="20"/>
              </w:rPr>
            </w:pPr>
            <w:r>
              <w:rPr>
                <w:rFonts w:ascii="Times New Roman" w:hAnsi="Times New Roman" w:eastAsia="Times New Roman" w:cs="Times New Roman"/>
                <w:sz w:val="20"/>
                <w:szCs w:val="20"/>
              </w:rPr>
              <w:t>Outer membrane</w:t>
            </w:r>
          </w:p>
        </w:tc>
        <w:tc>
          <w:tcPr>
            <w:tcW w:w="1652" w:type="dxa"/>
            <w:tcMar>
              <w:top w:w="0" w:type="dxa"/>
              <w:left w:w="0" w:type="dxa"/>
              <w:bottom w:w="0" w:type="dxa"/>
              <w:right w:w="0" w:type="dxa"/>
            </w:tcMar>
            <w:vAlign w:val="center"/>
          </w:tcPr>
          <w:p w14:paraId="146E823E">
            <w:pPr>
              <w:rPr>
                <w:rFonts w:ascii="Times New Roman" w:hAnsi="Times New Roman" w:eastAsia="Times New Roman" w:cs="Times New Roman"/>
                <w:sz w:val="20"/>
                <w:szCs w:val="20"/>
              </w:rPr>
            </w:pPr>
            <w:r>
              <w:rPr>
                <w:rFonts w:ascii="Times New Roman" w:hAnsi="Times New Roman" w:eastAsia="Times New Roman" w:cs="Times New Roman"/>
                <w:sz w:val="20"/>
                <w:szCs w:val="20"/>
              </w:rPr>
              <w:t>Ca²⁺, ATP, ADP, metabolites</w:t>
            </w:r>
          </w:p>
        </w:tc>
        <w:tc>
          <w:tcPr>
            <w:tcW w:w="1535" w:type="dxa"/>
            <w:tcMar>
              <w:top w:w="0" w:type="dxa"/>
              <w:left w:w="0" w:type="dxa"/>
              <w:bottom w:w="0" w:type="dxa"/>
              <w:right w:w="0" w:type="dxa"/>
            </w:tcMar>
            <w:vAlign w:val="center"/>
          </w:tcPr>
          <w:p w14:paraId="6E8750DF">
            <w:pPr>
              <w:rPr>
                <w:rFonts w:ascii="Times New Roman" w:hAnsi="Times New Roman" w:eastAsia="Times New Roman" w:cs="Times New Roman"/>
                <w:sz w:val="20"/>
                <w:szCs w:val="20"/>
              </w:rPr>
            </w:pPr>
            <w:r>
              <w:rPr>
                <w:rFonts w:ascii="Times New Roman" w:hAnsi="Times New Roman" w:eastAsia="Times New Roman" w:cs="Times New Roman"/>
                <w:sz w:val="20"/>
                <w:szCs w:val="20"/>
              </w:rPr>
              <w:t>Metabolite exchange between cytosol and mitochondria and regulation of outer membrane permeability</w:t>
            </w:r>
          </w:p>
        </w:tc>
        <w:tc>
          <w:tcPr>
            <w:tcW w:w="1638" w:type="dxa"/>
            <w:tcMar>
              <w:top w:w="0" w:type="dxa"/>
              <w:left w:w="0" w:type="dxa"/>
              <w:bottom w:w="0" w:type="dxa"/>
              <w:right w:w="0" w:type="dxa"/>
            </w:tcMar>
            <w:vAlign w:val="center"/>
          </w:tcPr>
          <w:p w14:paraId="58367EBC">
            <w:pPr>
              <w:rPr>
                <w:rFonts w:ascii="Times New Roman" w:hAnsi="Times New Roman" w:eastAsia="Times New Roman" w:cs="Times New Roman"/>
                <w:sz w:val="20"/>
                <w:szCs w:val="20"/>
              </w:rPr>
            </w:pPr>
            <w:r>
              <w:rPr>
                <w:rFonts w:ascii="Times New Roman" w:hAnsi="Times New Roman" w:eastAsia="Times New Roman" w:cs="Times New Roman"/>
                <w:sz w:val="20"/>
                <w:szCs w:val="20"/>
              </w:rPr>
              <w:t>Regulation of outer mitochondrial membrane permeability and apoptotic signaling pathways</w:t>
            </w:r>
          </w:p>
        </w:tc>
        <w:tc>
          <w:tcPr>
            <w:tcW w:w="1639" w:type="dxa"/>
            <w:tcMar>
              <w:top w:w="0" w:type="dxa"/>
              <w:left w:w="0" w:type="dxa"/>
              <w:bottom w:w="0" w:type="dxa"/>
              <w:right w:w="0" w:type="dxa"/>
            </w:tcMar>
            <w:vAlign w:val="center"/>
          </w:tcPr>
          <w:p w14:paraId="3DA8D8B9">
            <w:pPr>
              <w:rPr>
                <w:rFonts w:ascii="Times New Roman" w:hAnsi="Times New Roman" w:eastAsia="Times New Roman" w:cs="Times New Roman"/>
                <w:sz w:val="20"/>
                <w:szCs w:val="20"/>
              </w:rPr>
            </w:pPr>
            <w:r>
              <w:rPr>
                <w:rFonts w:ascii="Times New Roman" w:hAnsi="Times New Roman" w:eastAsia="Times New Roman" w:cs="Times New Roman"/>
                <w:sz w:val="20"/>
                <w:szCs w:val="20"/>
              </w:rPr>
              <w:t>[46, 48, 50, 79]</w:t>
            </w:r>
          </w:p>
        </w:tc>
      </w:tr>
      <w:tr w14:paraId="56DECCAC">
        <w:tblPrEx>
          <w:tblCellMar>
            <w:top w:w="55" w:type="dxa"/>
            <w:left w:w="55" w:type="dxa"/>
            <w:bottom w:w="55" w:type="dxa"/>
            <w:right w:w="55" w:type="dxa"/>
          </w:tblCellMar>
        </w:tblPrEx>
        <w:tc>
          <w:tcPr>
            <w:tcW w:w="1636" w:type="dxa"/>
            <w:tcMar>
              <w:top w:w="0" w:type="dxa"/>
              <w:left w:w="0" w:type="dxa"/>
              <w:bottom w:w="0" w:type="dxa"/>
              <w:right w:w="0" w:type="dxa"/>
            </w:tcMar>
            <w:vAlign w:val="center"/>
          </w:tcPr>
          <w:p w14:paraId="396528FD">
            <w:pPr>
              <w:rPr>
                <w:rFonts w:ascii="Times New Roman" w:hAnsi="Times New Roman" w:eastAsia="Times New Roman" w:cs="Times New Roman"/>
                <w:sz w:val="20"/>
                <w:szCs w:val="20"/>
              </w:rPr>
            </w:pPr>
            <w:r>
              <w:rPr>
                <w:rFonts w:ascii="Times New Roman" w:hAnsi="Times New Roman" w:eastAsia="Times New Roman" w:cs="Times New Roman"/>
                <w:sz w:val="20"/>
                <w:szCs w:val="20"/>
              </w:rPr>
              <w:t>MCU complex</w:t>
            </w:r>
          </w:p>
        </w:tc>
        <w:tc>
          <w:tcPr>
            <w:tcW w:w="1535" w:type="dxa"/>
            <w:tcMar>
              <w:top w:w="0" w:type="dxa"/>
              <w:left w:w="0" w:type="dxa"/>
              <w:bottom w:w="0" w:type="dxa"/>
              <w:right w:w="0" w:type="dxa"/>
            </w:tcMar>
            <w:vAlign w:val="center"/>
          </w:tcPr>
          <w:p w14:paraId="78E23258">
            <w:pPr>
              <w:rPr>
                <w:rFonts w:ascii="Times New Roman" w:hAnsi="Times New Roman" w:eastAsia="Times New Roman" w:cs="Times New Roman"/>
                <w:sz w:val="20"/>
                <w:szCs w:val="20"/>
              </w:rPr>
            </w:pPr>
            <w:r>
              <w:rPr>
                <w:rFonts w:ascii="Times New Roman" w:hAnsi="Times New Roman" w:eastAsia="Times New Roman" w:cs="Times New Roman"/>
                <w:sz w:val="20"/>
                <w:szCs w:val="20"/>
              </w:rPr>
              <w:t>Inner membrane</w:t>
            </w:r>
          </w:p>
        </w:tc>
        <w:tc>
          <w:tcPr>
            <w:tcW w:w="1652" w:type="dxa"/>
            <w:tcMar>
              <w:top w:w="0" w:type="dxa"/>
              <w:left w:w="0" w:type="dxa"/>
              <w:bottom w:w="0" w:type="dxa"/>
              <w:right w:w="0" w:type="dxa"/>
            </w:tcMar>
            <w:vAlign w:val="center"/>
          </w:tcPr>
          <w:p w14:paraId="18B26244">
            <w:pPr>
              <w:rPr>
                <w:rFonts w:ascii="Times New Roman" w:hAnsi="Times New Roman" w:eastAsia="Times New Roman" w:cs="Times New Roman"/>
                <w:sz w:val="20"/>
                <w:szCs w:val="20"/>
              </w:rPr>
            </w:pPr>
            <w:r>
              <w:rPr>
                <w:rFonts w:ascii="Times New Roman" w:hAnsi="Times New Roman" w:eastAsia="Times New Roman" w:cs="Times New Roman"/>
                <w:sz w:val="20"/>
                <w:szCs w:val="20"/>
              </w:rPr>
              <w:t>Ca²⁺ (influx)</w:t>
            </w:r>
          </w:p>
        </w:tc>
        <w:tc>
          <w:tcPr>
            <w:tcW w:w="1535" w:type="dxa"/>
            <w:tcMar>
              <w:top w:w="0" w:type="dxa"/>
              <w:left w:w="0" w:type="dxa"/>
              <w:bottom w:w="0" w:type="dxa"/>
              <w:right w:w="0" w:type="dxa"/>
            </w:tcMar>
            <w:vAlign w:val="center"/>
          </w:tcPr>
          <w:p w14:paraId="0E708DC4">
            <w:pPr>
              <w:rPr>
                <w:rFonts w:ascii="Times New Roman" w:hAnsi="Times New Roman" w:eastAsia="Times New Roman" w:cs="Times New Roman"/>
                <w:sz w:val="20"/>
                <w:szCs w:val="20"/>
              </w:rPr>
            </w:pPr>
            <w:r>
              <w:rPr>
                <w:rFonts w:ascii="Times New Roman" w:hAnsi="Times New Roman" w:eastAsia="Times New Roman" w:cs="Times New Roman"/>
                <w:sz w:val="20"/>
                <w:szCs w:val="20"/>
              </w:rPr>
              <w:t>Mediates mitochondrial Ca²⁺ uptake linking cytosolic Ca²⁺ signaling with mitochondrial metabolism</w:t>
            </w:r>
          </w:p>
        </w:tc>
        <w:tc>
          <w:tcPr>
            <w:tcW w:w="1638" w:type="dxa"/>
            <w:tcMar>
              <w:top w:w="0" w:type="dxa"/>
              <w:left w:w="0" w:type="dxa"/>
              <w:bottom w:w="0" w:type="dxa"/>
              <w:right w:w="0" w:type="dxa"/>
            </w:tcMar>
            <w:vAlign w:val="center"/>
          </w:tcPr>
          <w:p w14:paraId="0EFB617C">
            <w:pPr>
              <w:rPr>
                <w:rFonts w:ascii="Times New Roman" w:hAnsi="Times New Roman" w:eastAsia="Times New Roman" w:cs="Times New Roman"/>
                <w:sz w:val="20"/>
                <w:szCs w:val="20"/>
              </w:rPr>
            </w:pPr>
            <w:r>
              <w:rPr>
                <w:rFonts w:ascii="Times New Roman" w:hAnsi="Times New Roman" w:eastAsia="Times New Roman" w:cs="Times New Roman"/>
                <w:sz w:val="20"/>
                <w:szCs w:val="20"/>
              </w:rPr>
              <w:t>Excessive Ca²⁺ uptake contributes to mitochondrial dysfunction during seizures</w:t>
            </w:r>
          </w:p>
        </w:tc>
        <w:tc>
          <w:tcPr>
            <w:tcW w:w="1639" w:type="dxa"/>
            <w:tcMar>
              <w:top w:w="0" w:type="dxa"/>
              <w:left w:w="0" w:type="dxa"/>
              <w:bottom w:w="0" w:type="dxa"/>
              <w:right w:w="0" w:type="dxa"/>
            </w:tcMar>
            <w:vAlign w:val="center"/>
          </w:tcPr>
          <w:p w14:paraId="5CD79E3F">
            <w:pPr>
              <w:rPr>
                <w:rFonts w:ascii="Times New Roman" w:hAnsi="Times New Roman" w:eastAsia="Times New Roman" w:cs="Times New Roman"/>
                <w:sz w:val="20"/>
                <w:szCs w:val="20"/>
              </w:rPr>
            </w:pPr>
            <w:r>
              <w:rPr>
                <w:rFonts w:ascii="Times New Roman" w:hAnsi="Times New Roman" w:eastAsia="Times New Roman" w:cs="Times New Roman"/>
                <w:sz w:val="20"/>
                <w:szCs w:val="20"/>
              </w:rPr>
              <w:t>[52, 53, 56, 58]</w:t>
            </w:r>
          </w:p>
        </w:tc>
      </w:tr>
      <w:tr w14:paraId="379506FB">
        <w:tblPrEx>
          <w:tblCellMar>
            <w:top w:w="55" w:type="dxa"/>
            <w:left w:w="55" w:type="dxa"/>
            <w:bottom w:w="55" w:type="dxa"/>
            <w:right w:w="55" w:type="dxa"/>
          </w:tblCellMar>
        </w:tblPrEx>
        <w:tc>
          <w:tcPr>
            <w:tcW w:w="1636" w:type="dxa"/>
            <w:tcMar>
              <w:top w:w="0" w:type="dxa"/>
              <w:left w:w="0" w:type="dxa"/>
              <w:bottom w:w="0" w:type="dxa"/>
              <w:right w:w="0" w:type="dxa"/>
            </w:tcMar>
            <w:vAlign w:val="center"/>
          </w:tcPr>
          <w:p w14:paraId="3C5ED101">
            <w:pPr>
              <w:rPr>
                <w:rFonts w:ascii="Times New Roman" w:hAnsi="Times New Roman" w:eastAsia="Times New Roman" w:cs="Times New Roman"/>
                <w:sz w:val="20"/>
                <w:szCs w:val="20"/>
              </w:rPr>
            </w:pPr>
            <w:r>
              <w:rPr>
                <w:rFonts w:ascii="Times New Roman" w:hAnsi="Times New Roman" w:eastAsia="Times New Roman" w:cs="Times New Roman"/>
                <w:sz w:val="20"/>
                <w:szCs w:val="20"/>
              </w:rPr>
              <w:t>NCLX</w:t>
            </w:r>
          </w:p>
        </w:tc>
        <w:tc>
          <w:tcPr>
            <w:tcW w:w="1535" w:type="dxa"/>
            <w:tcMar>
              <w:top w:w="0" w:type="dxa"/>
              <w:left w:w="0" w:type="dxa"/>
              <w:bottom w:w="0" w:type="dxa"/>
              <w:right w:w="0" w:type="dxa"/>
            </w:tcMar>
            <w:vAlign w:val="center"/>
          </w:tcPr>
          <w:p w14:paraId="1C84EA22">
            <w:pPr>
              <w:rPr>
                <w:rFonts w:ascii="Times New Roman" w:hAnsi="Times New Roman" w:eastAsia="Times New Roman" w:cs="Times New Roman"/>
                <w:sz w:val="20"/>
                <w:szCs w:val="20"/>
              </w:rPr>
            </w:pPr>
            <w:r>
              <w:rPr>
                <w:rFonts w:ascii="Times New Roman" w:hAnsi="Times New Roman" w:eastAsia="Times New Roman" w:cs="Times New Roman"/>
                <w:sz w:val="20"/>
                <w:szCs w:val="20"/>
              </w:rPr>
              <w:t>Inner membrane</w:t>
            </w:r>
          </w:p>
        </w:tc>
        <w:tc>
          <w:tcPr>
            <w:tcW w:w="1652" w:type="dxa"/>
            <w:tcMar>
              <w:top w:w="0" w:type="dxa"/>
              <w:left w:w="0" w:type="dxa"/>
              <w:bottom w:w="0" w:type="dxa"/>
              <w:right w:w="0" w:type="dxa"/>
            </w:tcMar>
            <w:vAlign w:val="center"/>
          </w:tcPr>
          <w:p w14:paraId="3216DADE">
            <w:pPr>
              <w:rPr>
                <w:rFonts w:ascii="Times New Roman" w:hAnsi="Times New Roman" w:eastAsia="Times New Roman" w:cs="Times New Roman"/>
                <w:sz w:val="20"/>
                <w:szCs w:val="20"/>
              </w:rPr>
            </w:pPr>
            <w:r>
              <w:rPr>
                <w:rFonts w:ascii="Times New Roman" w:hAnsi="Times New Roman" w:eastAsia="Times New Roman" w:cs="Times New Roman"/>
                <w:sz w:val="20"/>
                <w:szCs w:val="20"/>
                <w:highlight w:val="yellow"/>
              </w:rPr>
              <w:t>Na⁺</w:t>
            </w:r>
            <w:r>
              <w:rPr>
                <w:rFonts w:ascii="Times New Roman" w:hAnsi="Times New Roman" w:eastAsia="Times New Roman" w:cs="Times New Roman"/>
                <w:sz w:val="20"/>
                <w:szCs w:val="20"/>
              </w:rPr>
              <w:t xml:space="preserve"> (influx)                   Ca²⁺ (efflux)</w:t>
            </w:r>
          </w:p>
        </w:tc>
        <w:tc>
          <w:tcPr>
            <w:tcW w:w="1535" w:type="dxa"/>
            <w:tcMar>
              <w:top w:w="0" w:type="dxa"/>
              <w:left w:w="0" w:type="dxa"/>
              <w:bottom w:w="0" w:type="dxa"/>
              <w:right w:w="0" w:type="dxa"/>
            </w:tcMar>
            <w:vAlign w:val="center"/>
          </w:tcPr>
          <w:p w14:paraId="31D73930">
            <w:pPr>
              <w:rPr>
                <w:rFonts w:ascii="Times New Roman" w:hAnsi="Times New Roman" w:eastAsia="Times New Roman" w:cs="Times New Roman"/>
                <w:sz w:val="20"/>
                <w:szCs w:val="20"/>
              </w:rPr>
            </w:pPr>
            <w:r>
              <w:rPr>
                <w:rFonts w:ascii="Times New Roman" w:hAnsi="Times New Roman" w:eastAsia="Times New Roman" w:cs="Times New Roman"/>
                <w:sz w:val="20"/>
                <w:szCs w:val="20"/>
              </w:rPr>
              <w:t>Maintains mitochondrial Ca²⁺ homeostasis through Ca²⁺ extrusion</w:t>
            </w:r>
          </w:p>
        </w:tc>
        <w:tc>
          <w:tcPr>
            <w:tcW w:w="1638" w:type="dxa"/>
            <w:tcMar>
              <w:top w:w="0" w:type="dxa"/>
              <w:left w:w="0" w:type="dxa"/>
              <w:bottom w:w="0" w:type="dxa"/>
              <w:right w:w="0" w:type="dxa"/>
            </w:tcMar>
            <w:vAlign w:val="center"/>
          </w:tcPr>
          <w:p w14:paraId="28B9A54E">
            <w:pPr>
              <w:rPr>
                <w:rFonts w:ascii="Times New Roman" w:hAnsi="Times New Roman" w:eastAsia="Times New Roman" w:cs="Times New Roman"/>
                <w:sz w:val="20"/>
                <w:szCs w:val="20"/>
              </w:rPr>
            </w:pPr>
            <w:r>
              <w:rPr>
                <w:rFonts w:ascii="Times New Roman" w:hAnsi="Times New Roman" w:eastAsia="Times New Roman" w:cs="Times New Roman"/>
                <w:sz w:val="20"/>
                <w:szCs w:val="20"/>
              </w:rPr>
              <w:t>Prevents Ca²⁺ overload and subsequent neuronal degeneration</w:t>
            </w:r>
          </w:p>
        </w:tc>
        <w:tc>
          <w:tcPr>
            <w:tcW w:w="1639" w:type="dxa"/>
            <w:tcMar>
              <w:top w:w="0" w:type="dxa"/>
              <w:left w:w="0" w:type="dxa"/>
              <w:bottom w:w="0" w:type="dxa"/>
              <w:right w:w="0" w:type="dxa"/>
            </w:tcMar>
            <w:vAlign w:val="center"/>
          </w:tcPr>
          <w:p w14:paraId="75076405">
            <w:pPr>
              <w:rPr>
                <w:rFonts w:ascii="Times New Roman" w:hAnsi="Times New Roman" w:eastAsia="Times New Roman" w:cs="Times New Roman"/>
                <w:sz w:val="20"/>
                <w:szCs w:val="20"/>
              </w:rPr>
            </w:pPr>
            <w:r>
              <w:rPr>
                <w:rFonts w:ascii="Times New Roman" w:hAnsi="Times New Roman" w:eastAsia="Times New Roman" w:cs="Times New Roman"/>
                <w:sz w:val="20"/>
                <w:szCs w:val="20"/>
              </w:rPr>
              <w:t>[60, 61, 62]</w:t>
            </w:r>
          </w:p>
        </w:tc>
      </w:tr>
      <w:tr w14:paraId="3048744C">
        <w:tblPrEx>
          <w:tblCellMar>
            <w:top w:w="55" w:type="dxa"/>
            <w:left w:w="55" w:type="dxa"/>
            <w:bottom w:w="55" w:type="dxa"/>
            <w:right w:w="55" w:type="dxa"/>
          </w:tblCellMar>
        </w:tblPrEx>
        <w:tc>
          <w:tcPr>
            <w:tcW w:w="1636" w:type="dxa"/>
            <w:tcMar>
              <w:top w:w="0" w:type="dxa"/>
              <w:left w:w="0" w:type="dxa"/>
              <w:bottom w:w="0" w:type="dxa"/>
              <w:right w:w="0" w:type="dxa"/>
            </w:tcMar>
            <w:vAlign w:val="center"/>
          </w:tcPr>
          <w:p w14:paraId="6B39AC10">
            <w:pPr>
              <w:rPr>
                <w:rFonts w:ascii="Times New Roman" w:hAnsi="Times New Roman" w:eastAsia="Times New Roman" w:cs="Times New Roman"/>
                <w:sz w:val="20"/>
                <w:szCs w:val="20"/>
              </w:rPr>
            </w:pPr>
            <w:r>
              <w:rPr>
                <w:rFonts w:ascii="Times New Roman" w:hAnsi="Times New Roman" w:eastAsia="Times New Roman" w:cs="Times New Roman"/>
                <w:sz w:val="20"/>
                <w:szCs w:val="20"/>
              </w:rPr>
              <w:t>mPTP</w:t>
            </w:r>
          </w:p>
        </w:tc>
        <w:tc>
          <w:tcPr>
            <w:tcW w:w="1535" w:type="dxa"/>
            <w:tcMar>
              <w:top w:w="0" w:type="dxa"/>
              <w:left w:w="0" w:type="dxa"/>
              <w:bottom w:w="0" w:type="dxa"/>
              <w:right w:w="0" w:type="dxa"/>
            </w:tcMar>
            <w:vAlign w:val="center"/>
          </w:tcPr>
          <w:p w14:paraId="1E8ADCB2">
            <w:pPr>
              <w:rPr>
                <w:rFonts w:ascii="Times New Roman" w:hAnsi="Times New Roman" w:eastAsia="Times New Roman" w:cs="Times New Roman"/>
                <w:sz w:val="20"/>
                <w:szCs w:val="20"/>
              </w:rPr>
            </w:pPr>
            <w:r>
              <w:rPr>
                <w:rFonts w:ascii="Times New Roman" w:hAnsi="Times New Roman" w:eastAsia="Times New Roman" w:cs="Times New Roman"/>
                <w:sz w:val="20"/>
                <w:szCs w:val="20"/>
              </w:rPr>
              <w:t>Inner membrane complex</w:t>
            </w:r>
          </w:p>
        </w:tc>
        <w:tc>
          <w:tcPr>
            <w:tcW w:w="1652" w:type="dxa"/>
            <w:tcMar>
              <w:top w:w="0" w:type="dxa"/>
              <w:left w:w="0" w:type="dxa"/>
              <w:bottom w:w="0" w:type="dxa"/>
              <w:right w:w="0" w:type="dxa"/>
            </w:tcMar>
            <w:vAlign w:val="center"/>
          </w:tcPr>
          <w:p w14:paraId="50416E4E">
            <w:pPr>
              <w:rPr>
                <w:rFonts w:ascii="Times New Roman" w:hAnsi="Times New Roman" w:eastAsia="Times New Roman" w:cs="Times New Roman"/>
                <w:sz w:val="20"/>
                <w:szCs w:val="20"/>
              </w:rPr>
            </w:pPr>
            <w:r>
              <w:rPr>
                <w:rFonts w:ascii="Times New Roman" w:hAnsi="Times New Roman" w:eastAsia="Times New Roman" w:cs="Times New Roman"/>
                <w:sz w:val="20"/>
                <w:szCs w:val="20"/>
              </w:rPr>
              <w:t>Non-selective solutes</w:t>
            </w:r>
          </w:p>
        </w:tc>
        <w:tc>
          <w:tcPr>
            <w:tcW w:w="1535" w:type="dxa"/>
            <w:tcMar>
              <w:top w:w="0" w:type="dxa"/>
              <w:left w:w="0" w:type="dxa"/>
              <w:bottom w:w="0" w:type="dxa"/>
              <w:right w:w="0" w:type="dxa"/>
            </w:tcMar>
            <w:vAlign w:val="center"/>
          </w:tcPr>
          <w:p w14:paraId="793197C6">
            <w:pPr>
              <w:rPr>
                <w:rFonts w:ascii="Times New Roman" w:hAnsi="Times New Roman" w:eastAsia="Times New Roman" w:cs="Times New Roman"/>
                <w:sz w:val="20"/>
                <w:szCs w:val="20"/>
              </w:rPr>
            </w:pPr>
            <w:r>
              <w:rPr>
                <w:rFonts w:ascii="Times New Roman" w:hAnsi="Times New Roman" w:eastAsia="Times New Roman" w:cs="Times New Roman"/>
                <w:sz w:val="20"/>
                <w:szCs w:val="20"/>
              </w:rPr>
              <w:t>Regulates mitochondrial membrane permeability under metabolic stress</w:t>
            </w:r>
          </w:p>
        </w:tc>
        <w:tc>
          <w:tcPr>
            <w:tcW w:w="1638" w:type="dxa"/>
            <w:tcMar>
              <w:top w:w="0" w:type="dxa"/>
              <w:left w:w="0" w:type="dxa"/>
              <w:bottom w:w="0" w:type="dxa"/>
              <w:right w:w="0" w:type="dxa"/>
            </w:tcMar>
            <w:vAlign w:val="center"/>
          </w:tcPr>
          <w:p w14:paraId="7E988747">
            <w:pPr>
              <w:rPr>
                <w:rFonts w:ascii="Times New Roman" w:hAnsi="Times New Roman" w:eastAsia="Times New Roman" w:cs="Times New Roman"/>
                <w:sz w:val="20"/>
                <w:szCs w:val="20"/>
              </w:rPr>
            </w:pPr>
            <w:r>
              <w:rPr>
                <w:rFonts w:ascii="Times New Roman" w:hAnsi="Times New Roman" w:eastAsia="Times New Roman" w:cs="Times New Roman"/>
                <w:sz w:val="20"/>
                <w:szCs w:val="20"/>
              </w:rPr>
              <w:t>Persistent opening induces mitochondrial depolarization and apoptotic pathways</w:t>
            </w:r>
          </w:p>
        </w:tc>
        <w:tc>
          <w:tcPr>
            <w:tcW w:w="1639" w:type="dxa"/>
            <w:tcMar>
              <w:top w:w="0" w:type="dxa"/>
              <w:left w:w="0" w:type="dxa"/>
              <w:bottom w:w="0" w:type="dxa"/>
              <w:right w:w="0" w:type="dxa"/>
            </w:tcMar>
            <w:vAlign w:val="center"/>
          </w:tcPr>
          <w:p w14:paraId="3C8AB4D7">
            <w:pPr>
              <w:rPr>
                <w:rFonts w:ascii="Times New Roman" w:hAnsi="Times New Roman" w:eastAsia="Times New Roman" w:cs="Times New Roman"/>
                <w:sz w:val="20"/>
                <w:szCs w:val="20"/>
              </w:rPr>
            </w:pPr>
            <w:r>
              <w:rPr>
                <w:rFonts w:ascii="Times New Roman" w:hAnsi="Times New Roman" w:eastAsia="Times New Roman" w:cs="Times New Roman"/>
                <w:sz w:val="20"/>
                <w:szCs w:val="20"/>
              </w:rPr>
              <w:t>[64, 65, 67, 69]</w:t>
            </w:r>
          </w:p>
        </w:tc>
      </w:tr>
      <w:tr w14:paraId="7A874C5A">
        <w:tblPrEx>
          <w:tblCellMar>
            <w:top w:w="55" w:type="dxa"/>
            <w:left w:w="55" w:type="dxa"/>
            <w:bottom w:w="55" w:type="dxa"/>
            <w:right w:w="55" w:type="dxa"/>
          </w:tblCellMar>
        </w:tblPrEx>
        <w:tc>
          <w:tcPr>
            <w:tcW w:w="1636" w:type="dxa"/>
            <w:tcBorders>
              <w:bottom w:val="single" w:color="000000" w:sz="4" w:space="0"/>
            </w:tcBorders>
            <w:vAlign w:val="center"/>
          </w:tcPr>
          <w:p w14:paraId="66A2596E">
            <w:pPr>
              <w:rPr>
                <w:rFonts w:ascii="Times New Roman" w:hAnsi="Times New Roman" w:eastAsia="Times New Roman" w:cs="Times New Roman"/>
                <w:sz w:val="20"/>
                <w:szCs w:val="20"/>
              </w:rPr>
            </w:pPr>
            <w:r>
              <w:rPr>
                <w:rFonts w:ascii="Times New Roman" w:hAnsi="Times New Roman" w:eastAsia="Times New Roman" w:cs="Times New Roman"/>
                <w:sz w:val="20"/>
                <w:szCs w:val="20"/>
              </w:rPr>
              <w:t>mitoKATP</w:t>
            </w:r>
          </w:p>
        </w:tc>
        <w:tc>
          <w:tcPr>
            <w:tcW w:w="1535" w:type="dxa"/>
            <w:tcBorders>
              <w:bottom w:val="single" w:color="000000" w:sz="4" w:space="0"/>
            </w:tcBorders>
            <w:vAlign w:val="center"/>
          </w:tcPr>
          <w:p w14:paraId="7D4DB849">
            <w:pPr>
              <w:rPr>
                <w:rFonts w:ascii="Times New Roman" w:hAnsi="Times New Roman" w:eastAsia="Times New Roman" w:cs="Times New Roman"/>
                <w:sz w:val="20"/>
                <w:szCs w:val="20"/>
              </w:rPr>
            </w:pPr>
            <w:r>
              <w:rPr>
                <w:rFonts w:ascii="Times New Roman" w:hAnsi="Times New Roman" w:eastAsia="Times New Roman" w:cs="Times New Roman"/>
                <w:sz w:val="20"/>
                <w:szCs w:val="20"/>
              </w:rPr>
              <w:t>Inner membrane</w:t>
            </w:r>
          </w:p>
        </w:tc>
        <w:tc>
          <w:tcPr>
            <w:tcW w:w="1652" w:type="dxa"/>
            <w:tcBorders>
              <w:bottom w:val="single" w:color="000000" w:sz="4" w:space="0"/>
            </w:tcBorders>
            <w:vAlign w:val="center"/>
          </w:tcPr>
          <w:p w14:paraId="29A3B4DE">
            <w:pPr>
              <w:rPr>
                <w:rFonts w:ascii="Times New Roman" w:hAnsi="Times New Roman" w:eastAsia="Times New Roman" w:cs="Times New Roman"/>
                <w:sz w:val="20"/>
                <w:szCs w:val="20"/>
              </w:rPr>
            </w:pPr>
            <w:r>
              <w:rPr>
                <w:rFonts w:ascii="Times New Roman" w:hAnsi="Times New Roman" w:eastAsia="Times New Roman" w:cs="Times New Roman"/>
                <w:sz w:val="20"/>
                <w:szCs w:val="20"/>
              </w:rPr>
              <w:t>K⁺ (influx)</w:t>
            </w:r>
          </w:p>
        </w:tc>
        <w:tc>
          <w:tcPr>
            <w:tcW w:w="1535" w:type="dxa"/>
            <w:tcBorders>
              <w:bottom w:val="single" w:color="000000" w:sz="4" w:space="0"/>
            </w:tcBorders>
            <w:vAlign w:val="center"/>
          </w:tcPr>
          <w:p w14:paraId="085E754E">
            <w:pPr>
              <w:rPr>
                <w:rFonts w:ascii="Times New Roman" w:hAnsi="Times New Roman" w:eastAsia="Times New Roman" w:cs="Times New Roman"/>
                <w:sz w:val="20"/>
                <w:szCs w:val="20"/>
              </w:rPr>
            </w:pPr>
            <w:r>
              <w:rPr>
                <w:rFonts w:ascii="Times New Roman" w:hAnsi="Times New Roman" w:eastAsia="Times New Roman" w:cs="Times New Roman"/>
                <w:sz w:val="20"/>
                <w:szCs w:val="20"/>
              </w:rPr>
              <w:t>Modulates mitochondrial membrane potential and limits excessive ROS generation</w:t>
            </w:r>
          </w:p>
        </w:tc>
        <w:tc>
          <w:tcPr>
            <w:tcW w:w="1638" w:type="dxa"/>
            <w:tcBorders>
              <w:bottom w:val="single" w:color="000000" w:sz="4" w:space="0"/>
            </w:tcBorders>
            <w:vAlign w:val="center"/>
          </w:tcPr>
          <w:p w14:paraId="2AC6DDD8">
            <w:pPr>
              <w:rPr>
                <w:rFonts w:ascii="Times New Roman" w:hAnsi="Times New Roman" w:eastAsia="Times New Roman" w:cs="Times New Roman"/>
                <w:sz w:val="20"/>
                <w:szCs w:val="20"/>
              </w:rPr>
            </w:pPr>
            <w:r>
              <w:rPr>
                <w:rFonts w:ascii="Times New Roman" w:hAnsi="Times New Roman" w:eastAsia="Times New Roman" w:cs="Times New Roman"/>
                <w:sz w:val="20"/>
                <w:szCs w:val="20"/>
              </w:rPr>
              <w:t>Activation reduces ROS generation and enhances neuronal survival</w:t>
            </w:r>
          </w:p>
        </w:tc>
        <w:tc>
          <w:tcPr>
            <w:tcW w:w="1639" w:type="dxa"/>
            <w:tcBorders>
              <w:bottom w:val="single" w:color="000000" w:sz="4" w:space="0"/>
            </w:tcBorders>
            <w:vAlign w:val="center"/>
          </w:tcPr>
          <w:p w14:paraId="2A397D43">
            <w:pPr>
              <w:rPr>
                <w:rFonts w:ascii="Times New Roman" w:hAnsi="Times New Roman" w:eastAsia="Times New Roman" w:cs="Times New Roman"/>
                <w:sz w:val="20"/>
                <w:szCs w:val="20"/>
              </w:rPr>
            </w:pPr>
            <w:r>
              <w:rPr>
                <w:rFonts w:ascii="Times New Roman" w:hAnsi="Times New Roman" w:eastAsia="Times New Roman" w:cs="Times New Roman"/>
                <w:sz w:val="20"/>
                <w:szCs w:val="20"/>
              </w:rPr>
              <w:t>[71, 72, 73, 95]</w:t>
            </w:r>
          </w:p>
        </w:tc>
      </w:tr>
    </w:tbl>
    <w:p w14:paraId="338910CE">
      <w:pPr>
        <w:spacing w:after="0" w:line="360" w:lineRule="auto"/>
        <w:jc w:val="both"/>
        <w:rPr>
          <w:rFonts w:ascii="Times New Roman" w:hAnsi="Times New Roman" w:eastAsia="Times New Roman" w:cs="Times New Roman"/>
          <w:b/>
          <w:bCs/>
          <w:sz w:val="24"/>
          <w:szCs w:val="24"/>
        </w:rPr>
      </w:pPr>
    </w:p>
    <w:p w14:paraId="2C568F45">
      <w:pPr>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19"/>
          <w:szCs w:val="19"/>
        </w:rPr>
        <w:t>Summary of the principal mitochondrial ion channels, including their subcellular localization, transported ions or molecules, physiological roles in mitochondrial bioenergetics and calcium homeostasis, and their relevance in neuronal excitability and epilepsy. Abbreviations: VDAC, voltage-dependent anion channel; MCU, mitochondrial calcium uniporter; NCLX, mitochondrial Na⁺/Ca²⁺ exchanger; mPTP, mitochondrial permeability transition pore; mitoKATP, mitochondrial ATP-sensitive potassium channel.</w:t>
      </w:r>
      <w:r>
        <w:rPr>
          <w:rFonts w:ascii="Times New Roman" w:hAnsi="Times New Roman" w:eastAsia="Times New Roman" w:cs="Times New Roman"/>
          <w:sz w:val="19"/>
          <w:szCs w:val="19"/>
        </w:rPr>
        <w:tab/>
      </w:r>
      <w:r>
        <w:rPr>
          <w:rFonts w:ascii="Times New Roman" w:hAnsi="Times New Roman" w:eastAsia="Times New Roman" w:cs="Times New Roman"/>
          <w:b/>
          <w:bCs/>
          <w:sz w:val="24"/>
          <w:szCs w:val="24"/>
        </w:rPr>
        <w:tab/>
      </w:r>
    </w:p>
    <w:p w14:paraId="0FC31B24">
      <w:pPr>
        <w:spacing w:after="0" w:line="360" w:lineRule="auto"/>
        <w:jc w:val="both"/>
        <w:rPr>
          <w:rFonts w:ascii="Times New Roman" w:hAnsi="Times New Roman" w:eastAsia="Times New Roman" w:cs="Times New Roman"/>
          <w:sz w:val="24"/>
          <w:szCs w:val="24"/>
        </w:rPr>
      </w:pPr>
    </w:p>
    <w:p w14:paraId="4AF4FC15">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4. Evidence of Mitochondrial Channel Impairment in Epilepsy</w:t>
      </w:r>
    </w:p>
    <w:p w14:paraId="3377A0D3">
      <w:pPr>
        <w:spacing w:after="0" w:line="360" w:lineRule="auto"/>
        <w:jc w:val="both"/>
        <w:rPr>
          <w:rFonts w:ascii="Times New Roman" w:hAnsi="Times New Roman" w:eastAsia="Times New Roman" w:cs="Times New Roman"/>
          <w:b/>
          <w:bCs/>
          <w:sz w:val="24"/>
          <w:szCs w:val="24"/>
        </w:rPr>
      </w:pPr>
    </w:p>
    <w:p w14:paraId="0F618769">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Numerous experimental studies have demonstrated that epileptic seizures are associated with profound changes in mitochondrial channel activity. A prominent finding is mitochondrial Ca²⁺ overload driven by excessive calcium influx during prolonged neural activity. This condition impairs oxidative metabolism and facilitates the activation of cell death pathways. Moreover, the dissipation of mitochondrial membrane potential is recognized as an early indicator of bioenergetic compromise. This change reduces ATP production and impairs the ability of neurons to restore ionic equilibrium following seizures [74].</w:t>
      </w:r>
    </w:p>
    <w:p w14:paraId="2B9488E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Apoptotic activation mediated by VDAC and mPTP represents another critical pathway. Mitochondrial outer membrane permeabilization promotes cytochrome c release and caspase activation, thereby contributing to neurodegeneration, particularly in hippocampal regions. Simultaneously, persistently elevated ROS levels induce cumulative oxidative damage that exacerbates bioenergetic failure and promotes seizure recurrence, creating a pathogenic cycle between metabolic stress and neuronal excitability [75].</w:t>
      </w:r>
    </w:p>
    <w:p w14:paraId="7C55FEBB">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Beyond these acute alterations, growing preclinical evidence implicates mitochondrial channels in epileptogenesis. This term refers to the latent process by which an initial brain insult, such as status epilepticus, traumatic brain injury, or prolonged febrile seizures, gradually transforms a normal neuronal network into a chronically hyperexcitable circuit [16,28]. Longitudinal studies in chemoconvulsant models have shown that mitochondrial oxidative damage and Complex I inactivation persist beyond the acute phase. These alterations emerge during the seizure-free latent period and continue into chronic epilepsy [99,141]. Within this window, sustained Ca²⁺ overload, mPTP sensitization, and VDAC1-mediated apoptotic signaling contribute to selective hippocampal neuronal loss and to the synaptic reorganization that underlies hippocampal sclerosis [101,122]. Direct human evidence remains limited, and most currently available ASMs lack demonstrated antiepileptogenic activity. This unmet need positions mitochondrial channels as candidate targets for disease-modifying intervention rather than purely symptomatic treatment [34,125].</w:t>
      </w:r>
    </w:p>
    <w:p w14:paraId="0A1A37D5">
      <w:pPr>
        <w:spacing w:after="0" w:line="360" w:lineRule="auto"/>
        <w:jc w:val="both"/>
        <w:rPr>
          <w:rFonts w:ascii="Times New Roman" w:hAnsi="Times New Roman" w:eastAsia="Times New Roman" w:cs="Times New Roman"/>
          <w:sz w:val="24"/>
          <w:szCs w:val="24"/>
        </w:rPr>
      </w:pPr>
    </w:p>
    <w:p w14:paraId="2ADCAF70">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A genetic dimension underlies many of these mechanisms. Most mitochondrial channels discussed in this review, including VDAC, MCU, NCLX, mitoKATP, and the principal regulators of the mPTP, are encoded by nuclear DNA. By contrast, mtDNA encodes only thirteen respiratory chain subunits, two rRNAs, and twenty-two tRNAs. Pathogenic mtDNA variants therefore rarely mutate these channels directly. Instead, they impair channel function indirectly by compromising oxidative phosphorylation, depolarizing the inner mitochondrial membrane, and increasing matrix Ca²⁺ and ROS levels. These changes sensitize the mPTP, alter VDAC gating, and disturb Ca²⁺ handling through mitoKATP, MCU, and NCLX [16,28]. This convergent mechanism underlies the epileptic phenotypes of the major mitochondrial encephalopathies, including MELAS (m.3243A&gt;G in MT-TL1), MERRF (m.8344A&gt;G in MT-TK), and Leigh syndrome. In these disorders, myoclonic, focal, or generalized seizures reflect cumulative bioenergetic failure and secondary channel dysfunction in cortical and hippocampal circuits [142,143]. A more direct mtDNA–channel link is observed in MT-ATP6 mutations responsible for NARP and maternally inherited Leigh syndrome, which disrupt F1Fo-ATP synthase, a complex structurally involved in mPTP formation. This represents a plausible monogenic basis for mPTP dysregulation in epilepsy [65]. Finally, nuclear POLG variants associated with Alpers-Huttenlocher syndrome extend this paradigm through secondary mtDNA depletion. These variants contribute both to refractory epilepsy and to the well-documented susceptibility to valproate-induced hepatotoxicity [139,140].</w:t>
      </w:r>
    </w:p>
    <w:p w14:paraId="6F4312FB">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Direct human evidence linking common polymorphisms in nuclear-encoded mitochondrial channel genes such as VDAC1/2/3, MCU, MICU1/2, SLC8B1/NCLX, and KCNJ8/11 to epilepsy susceptibility remains scarce. Large-scale exome and whole-genome sequencing efforts in epilepsy cohorts have prioritized synaptic ion channel genes such as SCN1A, KCNQ2, and GABRA1, whereas mitochondrial channel loci have been comparatively overlooked. Most existing reports consist of small case series or candidate-gene studies without adequate replication. Subtle variation in these genes may still modulate seizure susceptibility, ASM response, or disease progression, although this possibility remains untested. Targeted resequencing and functional validation of mitochondrial channel genes in well-phenotyped epilepsy cohorts therefore represents a logical next step toward integrating mitochondrial bioenergetics into the genetic architecture of epilepsy and refining stratification for personalized therapy.</w:t>
      </w:r>
    </w:p>
    <w:p w14:paraId="7B3C2955">
      <w:pPr>
        <w:spacing w:after="0" w:line="360" w:lineRule="auto"/>
        <w:jc w:val="both"/>
        <w:rPr>
          <w:rFonts w:ascii="Times New Roman" w:hAnsi="Times New Roman" w:eastAsia="Times New Roman" w:cs="Times New Roman"/>
          <w:sz w:val="24"/>
          <w:szCs w:val="24"/>
        </w:rPr>
      </w:pPr>
    </w:p>
    <w:p w14:paraId="4E0A8F59">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5. </w:t>
      </w:r>
      <w:r>
        <w:rPr>
          <w:rFonts w:ascii="Times New Roman" w:hAnsi="Times New Roman" w:eastAsia="Times New Roman" w:cs="Times New Roman"/>
          <w:b/>
          <w:bCs/>
          <w:sz w:val="26"/>
          <w:szCs w:val="26"/>
          <w:highlight w:val="yellow"/>
        </w:rPr>
        <w:t>Antiseizure</w:t>
      </w:r>
      <w:r>
        <w:rPr>
          <w:rFonts w:ascii="Times New Roman" w:hAnsi="Times New Roman" w:eastAsia="Times New Roman" w:cs="Times New Roman"/>
          <w:b/>
          <w:bCs/>
          <w:sz w:val="26"/>
          <w:szCs w:val="26"/>
        </w:rPr>
        <w:t xml:space="preserve"> Medications and Their Interaction with Mitochondrial Ion Channels</w:t>
      </w:r>
    </w:p>
    <w:p w14:paraId="062A31B6">
      <w:pPr>
        <w:spacing w:after="0" w:line="360" w:lineRule="auto"/>
        <w:jc w:val="both"/>
        <w:rPr>
          <w:rFonts w:ascii="Times New Roman" w:hAnsi="Times New Roman" w:eastAsia="Times New Roman" w:cs="Times New Roman"/>
          <w:b/>
          <w:bCs/>
          <w:sz w:val="24"/>
          <w:szCs w:val="24"/>
        </w:rPr>
      </w:pPr>
    </w:p>
    <w:p w14:paraId="1BC1C792">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Accumulating evidence suggests that various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directly or indirectly modulate mitochondrial function and ion channels, thereby enhancing their anticonvulsant and neuroprotective properties through the regulation of energy metabolism, calcium homeostasis, and apoptotic signaling [</w:t>
      </w:r>
      <w:r>
        <w:rPr>
          <w:rFonts w:ascii="Times New Roman" w:hAnsi="Times New Roman" w:eastAsia="Times New Roman" w:cs="Times New Roman"/>
          <w:sz w:val="24"/>
          <w:szCs w:val="24"/>
          <w:highlight w:val="yellow"/>
        </w:rPr>
        <w:t>76</w:t>
      </w:r>
      <w:r>
        <w:rPr>
          <w:rFonts w:ascii="Times New Roman" w:hAnsi="Times New Roman" w:eastAsia="Times New Roman" w:cs="Times New Roman"/>
          <w:sz w:val="24"/>
          <w:szCs w:val="24"/>
        </w:rPr>
        <w:t xml:space="preserve">]. Several studies have demonstrated that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can interact with mitochondrial transport proteins, modulate membrane potential, and affect antioxidant systems, thereby influencing mechanisms essential for neuronal survival during hyperexcitable states [76,77]. Before examining each drug individually, Figure 2 provides a schematic reference of the spatial organization of these channels within the outer and inner mitochondrial membranes, depicting how VDAC, MCU, NCLX, mitoK</w:t>
      </w:r>
      <w:r>
        <w:rPr>
          <w:rFonts w:ascii="Times New Roman" w:hAnsi="Times New Roman" w:eastAsia="Times New Roman" w:cs="Times New Roman"/>
          <w:sz w:val="24"/>
          <w:szCs w:val="24"/>
          <w:vertAlign w:val="subscript"/>
        </w:rPr>
        <w:t>ATP</w:t>
      </w:r>
      <w:r>
        <w:rPr>
          <w:rFonts w:ascii="Times New Roman" w:hAnsi="Times New Roman" w:eastAsia="Times New Roman" w:cs="Times New Roman"/>
          <w:sz w:val="24"/>
          <w:szCs w:val="24"/>
        </w:rPr>
        <w:t>, and the mPTP are anatomically and functionally positioned to serve as pharmacological targets during epileptiform activity.</w:t>
      </w:r>
    </w:p>
    <w:p w14:paraId="7411E535">
      <w:pPr>
        <w:spacing w:after="0" w:line="360" w:lineRule="auto"/>
        <w:jc w:val="both"/>
        <w:rPr>
          <w:rFonts w:ascii="Times New Roman" w:hAnsi="Times New Roman" w:eastAsia="Times New Roman" w:cs="Times New Roman"/>
          <w:sz w:val="24"/>
          <w:szCs w:val="24"/>
        </w:rPr>
      </w:pPr>
    </w:p>
    <w:p w14:paraId="6D9312CB">
      <w:pPr>
        <w:spacing w:after="0" w:line="360" w:lineRule="auto"/>
        <w:jc w:val="both"/>
        <w:rPr>
          <w:rFonts w:ascii="Times New Roman" w:hAnsi="Times New Roman" w:eastAsia="Times New Roman" w:cs="Times New Roman"/>
          <w:sz w:val="24"/>
          <w:szCs w:val="24"/>
        </w:rPr>
      </w:pPr>
    </w:p>
    <w:p w14:paraId="3E44EF5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612130" cy="35337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8"/>
                    <a:srcRect/>
                    <a:stretch>
                      <a:fillRect/>
                    </a:stretch>
                  </pic:blipFill>
                  <pic:spPr>
                    <a:xfrm>
                      <a:off x="0" y="0"/>
                      <a:ext cx="5612130" cy="3533775"/>
                    </a:xfrm>
                    <a:prstGeom prst="rect">
                      <a:avLst/>
                    </a:prstGeom>
                  </pic:spPr>
                </pic:pic>
              </a:graphicData>
            </a:graphic>
          </wp:inline>
        </w:drawing>
      </w:r>
    </w:p>
    <w:p w14:paraId="759F4867">
      <w:pPr>
        <w:spacing w:after="0" w:line="360" w:lineRule="auto"/>
        <w:jc w:val="both"/>
        <w:rPr>
          <w:rFonts w:ascii="Times New Roman" w:hAnsi="Times New Roman" w:eastAsia="Times New Roman" w:cs="Times New Roman"/>
          <w:i/>
          <w:iCs/>
          <w:sz w:val="18"/>
          <w:szCs w:val="18"/>
          <w:highlight w:val="yellow"/>
        </w:rPr>
      </w:pPr>
      <w:r>
        <w:rPr>
          <w:rFonts w:ascii="Times New Roman" w:hAnsi="Times New Roman" w:eastAsia="Times New Roman" w:cs="Times New Roman"/>
          <w:b/>
          <w:bCs/>
          <w:sz w:val="19"/>
          <w:szCs w:val="19"/>
        </w:rPr>
        <w:t>Figure 2. Architecture and functional roles of mitochondrial ion channels in neuronal metabolism</w:t>
      </w:r>
      <w:r>
        <w:rPr>
          <w:rFonts w:ascii="Times New Roman" w:hAnsi="Times New Roman" w:eastAsia="Times New Roman" w:cs="Times New Roman"/>
          <w:sz w:val="19"/>
          <w:szCs w:val="19"/>
        </w:rPr>
        <w:t>. Mitochondrial ion channels regulate the exchange of ions and metabolites across the outer mitochondrial membrane (OMM) and inner mitochondrial membrane (IMM), integrating bioenergetics, calcium homeostasis, redox balance, and apoptotic signaling. VDAC, located in the OMM, mediates the exchange of ATP and ADP between the cytosol and intermembrane space, linking cytosolic metabolism to mitochondrial function. Within the IMM, the mitochondrial calcium uniporter (MCU) facilitates Ca²⁺ uptake into the matrix, stimulating the Krebs cycle and oxidative phosphorylation, while the mitochondrial Na⁺/Ca²⁺ exchanger (NCLX) mediates Ca²⁺ efflux to prevent mitochondrial Ca²⁺ overload and maintain calcium homeostasis. Mitochondrial ATP-sensitive potassium channels (mitoK</w:t>
      </w:r>
      <w:r>
        <w:rPr>
          <w:rFonts w:ascii="Times New Roman" w:hAnsi="Times New Roman" w:eastAsia="Times New Roman" w:cs="Times New Roman"/>
          <w:sz w:val="19"/>
          <w:szCs w:val="19"/>
          <w:vertAlign w:val="subscript"/>
        </w:rPr>
        <w:t>ATP</w:t>
      </w:r>
      <w:r>
        <w:rPr>
          <w:rFonts w:ascii="Times New Roman" w:hAnsi="Times New Roman" w:eastAsia="Times New Roman" w:cs="Times New Roman"/>
          <w:sz w:val="19"/>
          <w:szCs w:val="19"/>
        </w:rPr>
        <w:t xml:space="preserve">) regulate K⁺ influx, contributing to stabilization of mitochondrial membrane potential (ΔΨm). The electron transport chain (ETC) produces reactive oxygen species (ROS), linking oxidative metabolism to redox signaling. Under pathological conditions, opening of the mitochondrial permeability transition pore (mPTP) induces loss of ΔΨm, disruption of oxidative phosphorylation, and release of pro-apoptotic factors such as cytochrome c into the cytosol, promoting apoptotic signaling. </w:t>
      </w:r>
      <w:r>
        <w:rPr>
          <w:rFonts w:ascii="Times New Roman" w:hAnsi="Times New Roman" w:eastAsia="Times New Roman" w:cs="Times New Roman"/>
          <w:i/>
          <w:iCs/>
          <w:sz w:val="19"/>
          <w:szCs w:val="19"/>
        </w:rPr>
        <w:t>Created in BioRender.</w:t>
      </w:r>
      <w:r>
        <w:rPr>
          <w:rFonts w:ascii="Times New Roman" w:hAnsi="Times New Roman" w:eastAsia="Times New Roman" w:cs="Times New Roman"/>
          <w:i/>
          <w:iCs/>
          <w:sz w:val="19"/>
          <w:szCs w:val="19"/>
          <w:highlight w:val="yellow"/>
        </w:rPr>
        <w:t xml:space="preserve"> </w:t>
      </w:r>
      <w:r>
        <w:rPr>
          <w:rFonts w:ascii="Times New Roman" w:hAnsi="Times New Roman" w:eastAsia="Times New Roman" w:cs="Times New Roman"/>
          <w:sz w:val="18"/>
          <w:szCs w:val="18"/>
          <w:highlight w:val="yellow"/>
        </w:rPr>
        <w:t>Perez Rubio, R. (2026)</w:t>
      </w:r>
      <w:r>
        <w:fldChar w:fldCharType="begin"/>
      </w:r>
      <w:r>
        <w:instrText xml:space="preserve"> HYPERLINK "https://biorender.com/w0qfcep" \h </w:instrText>
      </w:r>
      <w:r>
        <w:fldChar w:fldCharType="separate"/>
      </w:r>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fldChar w:fldCharType="end"/>
      </w:r>
      <w:r>
        <w:fldChar w:fldCharType="begin"/>
      </w:r>
      <w:r>
        <w:instrText xml:space="preserve"> HYPERLINK "https://biorender.com/w0qfcep" \h </w:instrText>
      </w:r>
      <w:r>
        <w:fldChar w:fldCharType="separate"/>
      </w:r>
      <w:r>
        <w:rPr>
          <w:rFonts w:ascii="Times New Roman" w:hAnsi="Times New Roman" w:eastAsia="Times New Roman" w:cs="Times New Roman"/>
          <w:color w:val="1155CC"/>
          <w:sz w:val="18"/>
          <w:szCs w:val="18"/>
          <w:highlight w:val="yellow"/>
          <w:u w:val="single"/>
        </w:rPr>
        <w:t>https://BioRender.com/w0qfcep</w:t>
      </w:r>
      <w:r>
        <w:rPr>
          <w:rFonts w:ascii="Times New Roman" w:hAnsi="Times New Roman" w:eastAsia="Times New Roman" w:cs="Times New Roman"/>
          <w:color w:val="1155CC"/>
          <w:sz w:val="18"/>
          <w:szCs w:val="18"/>
          <w:highlight w:val="yellow"/>
          <w:u w:val="single"/>
        </w:rPr>
        <w:fldChar w:fldCharType="end"/>
      </w:r>
    </w:p>
    <w:p w14:paraId="7AA98928">
      <w:pPr>
        <w:spacing w:after="0" w:line="360" w:lineRule="auto"/>
        <w:jc w:val="both"/>
        <w:rPr>
          <w:rFonts w:ascii="Times New Roman" w:hAnsi="Times New Roman" w:eastAsia="Times New Roman" w:cs="Times New Roman"/>
          <w:i/>
          <w:iCs/>
          <w:sz w:val="18"/>
          <w:szCs w:val="18"/>
          <w:highlight w:val="yellow"/>
        </w:rPr>
      </w:pPr>
    </w:p>
    <w:p w14:paraId="54FFB98B">
      <w:pPr>
        <w:spacing w:after="0" w:line="360" w:lineRule="auto"/>
        <w:jc w:val="both"/>
        <w:rPr>
          <w:rFonts w:ascii="Times New Roman" w:hAnsi="Times New Roman" w:eastAsia="Times New Roman" w:cs="Times New Roman"/>
          <w:sz w:val="24"/>
          <w:szCs w:val="24"/>
        </w:rPr>
      </w:pPr>
    </w:p>
    <w:p w14:paraId="717DE6A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Beyond their well-established blockade of voltage-gated sodium channels, phenytoin and carbamazepine indirectly modulate mitochondrial permeability by shifting the balance between pro-apoptotic and anti-apoptotic proteins that regulate VDAC1 function [</w:t>
      </w:r>
      <w:r>
        <w:rPr>
          <w:rFonts w:ascii="Times New Roman" w:hAnsi="Times New Roman" w:eastAsia="Times New Roman" w:cs="Times New Roman"/>
          <w:sz w:val="24"/>
          <w:szCs w:val="24"/>
          <w:highlight w:val="yellow"/>
        </w:rPr>
        <w:t>76</w:t>
      </w:r>
      <w:r>
        <w:rPr>
          <w:rFonts w:ascii="Times New Roman" w:hAnsi="Times New Roman" w:eastAsia="Times New Roman" w:cs="Times New Roman"/>
          <w:sz w:val="24"/>
          <w:szCs w:val="24"/>
        </w:rPr>
        <w:t>]. Modulation of these systems reduces cytochrome c release and attenuates the activation of apoptotic pathways associated with neuronal excitotoxicity induced by prolonged seizures [76,78].</w:t>
      </w:r>
    </w:p>
    <w:p w14:paraId="0605A63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VDAC1 is a critical regulatory node for metabolic exchange between the cytosol and mitochondria, and its pharmacological modulation contributes to stabilizing neuronal bioenergetics during epileptic episodes [76,79].</w:t>
      </w:r>
    </w:p>
    <w:p w14:paraId="21C6BCB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Ethosuximide, widely used in the treatment of absence epilepsy, has been functionally linked to the attenuation of mitochondrial Ca²⁺ overload through indirect modulation of the MCU complex, a key mediator of neuronal excitotoxicity [80,81]. Excessive Ca²⁺ uptake into the mitochondrial matrix via the MCU induces mitochondrial depolarization and excitotoxic neuronal death, whereas its modulation mitigates ROS generation and neuronal hyperexcitability [80,82]. Accordingly, pharmacological modulation of mitochondrial calcium handling represents an important mechanism underlying anticonvulsant efficacy and neuronal metabolic regulation [82,83].</w:t>
      </w:r>
    </w:p>
    <w:p w14:paraId="604364F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Valproic acid affects multiple mitochondrial functions, including regulation of the cellular redox state, stabilization of mitochondrial calcium homeostasis, and modulation of mPTP opening [76]. Sustained mPTP opening induces dissipation of the mitochondrial membrane potential and release of pro-apoptotic proteins processes that can be modulated by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with antioxidant properties [84,85,86].</w:t>
      </w:r>
    </w:p>
    <w:p w14:paraId="148459E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Furthermore, the antioxidant properties of valproate help reduce ROS generation and preserve mitochondrial structural integrity during seizure-induced oxidative stress [85,87]. Levetiracetam, known for its binding to the synaptic vesicle glycoprotein 2A (SV2A), also modulates intracellular calcium homeostasis by reducing presynaptic Ca²⁺-dependent neurotransmitter release and thereby enhancing neuronal functional stability [88,89]. This sustained reduction in calcium influx indirectly helps prevent mitochondrial Ca²⁺ overload and the metabolic dysfunction associated with neuronal hyperexcitability [76]. This mechanism improves the coupling between synaptic activity and mitochondrial metabolism, thereby attenuating chronic neuronal excitability [76,90]. By contrast, activators of mitochondrial ATP-sensitive potassium channels (mitoK</w:t>
      </w:r>
      <w:r>
        <w:rPr>
          <w:rFonts w:ascii="Times New Roman" w:hAnsi="Times New Roman" w:eastAsia="Times New Roman" w:cs="Times New Roman"/>
          <w:sz w:val="24"/>
          <w:szCs w:val="24"/>
          <w:vertAlign w:val="subscript"/>
        </w:rPr>
        <w:t>ATP</w:t>
      </w:r>
      <w:r>
        <w:rPr>
          <w:rFonts w:ascii="Times New Roman" w:hAnsi="Times New Roman" w:eastAsia="Times New Roman" w:cs="Times New Roman"/>
          <w:sz w:val="24"/>
          <w:szCs w:val="24"/>
        </w:rPr>
        <w:t>), such as diazoxide, and potassium channel-opening drugs such as retigabine, induce a mild, protective mitochondrial depolarization that stabilizes membrane potential and enhances cellular respiration [91].</w:t>
      </w:r>
    </w:p>
    <w:p w14:paraId="347AB3E9">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Pharmacological activation of mitoK</w:t>
      </w:r>
      <w:r>
        <w:rPr>
          <w:rFonts w:ascii="Times New Roman" w:hAnsi="Times New Roman" w:eastAsia="Times New Roman" w:cs="Times New Roman"/>
          <w:sz w:val="24"/>
          <w:szCs w:val="24"/>
          <w:vertAlign w:val="subscript"/>
        </w:rPr>
        <w:t>ATP</w:t>
      </w:r>
      <w:r>
        <w:rPr>
          <w:rFonts w:ascii="Times New Roman" w:hAnsi="Times New Roman" w:eastAsia="Times New Roman" w:cs="Times New Roman"/>
          <w:sz w:val="24"/>
          <w:szCs w:val="24"/>
        </w:rPr>
        <w:t xml:space="preserve"> reduces mitochondrial ROS generation and improves neuronal survival following excitotoxic insults or experimentally induced seizures [92,93,94]. In epilepsy models, diazoxide preconditioning has been shown to reduce neuronal cytotoxicity and preserve mitochondrial function through modulation of the inward-rectifier potassium channel (Kir) subunits associated with the mitoK</w:t>
      </w:r>
      <w:r>
        <w:rPr>
          <w:rFonts w:ascii="Times New Roman" w:hAnsi="Times New Roman" w:eastAsia="Times New Roman" w:cs="Times New Roman"/>
          <w:sz w:val="24"/>
          <w:szCs w:val="24"/>
          <w:vertAlign w:val="subscript"/>
        </w:rPr>
        <w:t>ATP</w:t>
      </w:r>
      <w:r>
        <w:rPr>
          <w:rFonts w:ascii="Times New Roman" w:hAnsi="Times New Roman" w:eastAsia="Times New Roman" w:cs="Times New Roman"/>
          <w:sz w:val="24"/>
          <w:szCs w:val="24"/>
        </w:rPr>
        <w:t xml:space="preserve"> channel [93]. These findings indicate that pharmacological targeting of mitochondrial potassium channels represents a complementary neuroprotective mechanism that augments traditional anticonvulsant activity mediated through membrane excitability [95,96]. Current evidence indicates that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modulate not only plasma membrane ion channels but also mitochondrial ion channels, thereby integrating electrical, metabolic, and redox regulation within their anticonvulsant mechanisms [76].</w:t>
      </w:r>
    </w:p>
    <w:p w14:paraId="6254D12D">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An important translational consideration is whether the concentrations used in the cited preclinical studies match the therapeutic plasma levels reached in clinical practice. For valproate, direct inhibition of mitochondrial cytochrome c oxidase and reductions in oxygen consumption occur in vitro at 0.5–1 mM, which overlaps the upper end of the human therapeutic range (50–100 µg/mL, approximately 0.35–0.70 mM). This supports the translational relevance of its bioenergetic effects [76,138]. However, in vitro studies addressing apoptotic and steatogenic mechanisms in hepatic and neuronal cell lines have often employed 1–10 mM, which clearly exceeds clinical exposure and must be interpreted with caution. Phenytoin and carbamazepine inhibit the mitochondrial respiratory chain at concentrations within or moderately above their therapeutic ranges (40–80 µM for phenytoin; 17–50 µM for carbamazepine), again consistent with clinically achievable levels. Studies on diazoxide and retigabine generally use micromolar concentrations that exceed conventional oral plasma levels, reflecting their use as pharmacological tools to probe mitoKATP and Kv7 channel biology rather than as direct surrogates of clinical pharmacology. Overall, the mitochondrial effects of classical ASMs reported here are largely supported by translationally relevant exposures, particularly for valproate, phenytoin, and carbamazepine. The use of supratherapeutic concentrations in part of the preclinical literature remains a limitation when extrapolating these findings to clinical practice</w:t>
      </w:r>
    </w:p>
    <w:p w14:paraId="6AE99BE3">
      <w:pPr>
        <w:spacing w:after="0" w:line="360" w:lineRule="auto"/>
        <w:jc w:val="both"/>
        <w:rPr>
          <w:rFonts w:ascii="Times New Roman" w:hAnsi="Times New Roman" w:eastAsia="Times New Roman" w:cs="Times New Roman"/>
          <w:sz w:val="24"/>
          <w:szCs w:val="24"/>
          <w:highlight w:val="yellow"/>
        </w:rPr>
      </w:pPr>
    </w:p>
    <w:p w14:paraId="1F0E4CED">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Most newer-generation ASMs, including lacosamide, eslicarbazepine acetate, brivaracetam, perampanel, and cenobamate, have not been systematically characterized with respect to direct interactions with mitochondrial ion channels. The available preclinical literature on these agents focuses mainly on their canonical synaptic targets such as voltage-gated sodium channels, SV2A, and AMPA receptors. Dedicated electrophysiological or biochemical studies of VDAC, MCU, NCLX, mPTP, or mitoKATP modulation remain scarce. A relevant exception is cannabidiol, whose anticonvulsant activity in Dravet and Lennox-Gastaut syndromes coexists with documented direct modulation of VDAC1 and regulation of intracellular Ca²⁺ through mitochondrial targeting [144,145]. Indirect mitochondrial effects, such as reduced glutamate-driven Ca²⁺ overload secondary to AMPA receptor blockade by perampanel or attenuated excitotoxicity through SV2A modulation by brivaracetam, are biologically plausible but remain inferred rather than directly demonstrated. Systematic characterization of mitochondrial channel pharmacology for newer-generation ASMs represents an unmet need and a priority area for future research, particularly because it may identify agents with both seizure-suppressing and bioenergetically protective properties.</w:t>
      </w:r>
    </w:p>
    <w:p w14:paraId="02A9E483">
      <w:pPr>
        <w:spacing w:after="0" w:line="360" w:lineRule="auto"/>
        <w:jc w:val="both"/>
        <w:rPr>
          <w:rFonts w:ascii="Times New Roman" w:hAnsi="Times New Roman" w:eastAsia="Times New Roman" w:cs="Times New Roman"/>
          <w:sz w:val="24"/>
          <w:szCs w:val="24"/>
          <w:highlight w:val="yellow"/>
        </w:rPr>
      </w:pPr>
    </w:p>
    <w:p w14:paraId="4AB022D9">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6. Differential Implications of Mitochondrial Function in the Mechanism of </w:t>
      </w:r>
      <w:r>
        <w:rPr>
          <w:rFonts w:ascii="Times New Roman" w:hAnsi="Times New Roman" w:eastAsia="Times New Roman" w:cs="Times New Roman"/>
          <w:b/>
          <w:bCs/>
          <w:sz w:val="26"/>
          <w:szCs w:val="26"/>
          <w:highlight w:val="yellow"/>
        </w:rPr>
        <w:t>Antiseizure Medications</w:t>
      </w:r>
      <w:r>
        <w:rPr>
          <w:rFonts w:ascii="Times New Roman" w:hAnsi="Times New Roman" w:eastAsia="Times New Roman" w:cs="Times New Roman"/>
          <w:b/>
          <w:bCs/>
          <w:sz w:val="26"/>
          <w:szCs w:val="26"/>
        </w:rPr>
        <w:t xml:space="preserve"> Based on Epileptic Phenotype</w:t>
      </w:r>
    </w:p>
    <w:p w14:paraId="6235AD95">
      <w:pPr>
        <w:spacing w:after="0" w:line="360" w:lineRule="auto"/>
        <w:jc w:val="both"/>
        <w:rPr>
          <w:rFonts w:ascii="Times New Roman" w:hAnsi="Times New Roman" w:eastAsia="Times New Roman" w:cs="Times New Roman"/>
          <w:sz w:val="26"/>
          <w:szCs w:val="26"/>
        </w:rPr>
      </w:pPr>
    </w:p>
    <w:p w14:paraId="40511A4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mitochondrial effects of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differ markedly depending on epilepsy type, the organization of the implicated neural networks, and the regional metabolic demands of the brain [19,97,98]. The pathophysiological differences between focal and generalized epilepsies give rise to significant variations in neuronal bioenergetic dynamics, mitochondrial calcium regulation, and susceptibility to oxidative damage, which in turn produce distinct pharmacological responses [34,99,100]. Mitochondrial dysfunction is a pivotal mechanism of progressive neurodegeneration in temporal lobe epilepsy, contributing to the activation of cytochrome c- and caspase-dependent apoptotic pathways in susceptible hippocampal neurons [19,101,102]. Neuropathological and experimental studies indicate that the cornu ammonis area 1 and 3 (CA1 and CA3) hippocampal subfields are particularly susceptible to oxidative stress, energy deficits, and alterations in mitochondrial membrane potential during recurrent seizures [103,104,105]. Ca²⁺ overload induced by epileptiform activity triggers mPTP opening, leading to dissipation of the mitochondrial membrane potential, release of pro-apoptotic factors, and selective neuronal death [19,23,65].</w:t>
      </w:r>
    </w:p>
    <w:p w14:paraId="026AC86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Pharmacological modulation of VDAC and the mPTP by specific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can improve mitochondrial function, reduce ROS production, and limit the activation of apoptotic pathways associated with progressive epileptogenesis [50,99,106,107]. Such mitochondrial modulation helps maintain neuronal energy homeostasis and mitigate synaptic loss following recurrent seizures in temporal lobe epilepsy models [19,34,108]. In primary generalized epilepsies, by contrast, the pathophysiology predominantly involves thalamocortical circuits that generate synchronized rhythmic oscillations dependent on low-voltage-activated (T-type) Ca²⁺ currents and neuron-glial metabolic coupling [3,97,109,110]. Mitochondria serve as essential dynamic regulators of intracellular Ca²⁺ in these circuits, buffering calcium transients associated with rhythmic discharges and influencing overall neuronal excitability [12,36,111]. The capacity of mitochondria to take up and release calcium directly influences the stability of thalamocortical rhythms and the suppression of generalized hypersynchronous discharges characteristic of absence seizures and other idiopathic generalized epilepsies [19,97,112]. Mitochondrial calcium regulation shapes ATP production which is essential for the operation of ion pumps and voltage-gated channels thereby contributing to the maintenance of the excitation-inhibition balance during physiological oscillatory activity [103,111,113]. Disruption of these bioenergetic systems promotes the pathological synchronization of large-scale neural networks and facilitates the bilateral propagation of epileptiform activity [19,99]. These pathophysiological distinctions have significant pharmacological implications, suggesting that the therapeutic efficacy of specific </w:t>
      </w:r>
      <w:r>
        <w:rPr>
          <w:rFonts w:ascii="Times New Roman" w:hAnsi="Times New Roman" w:eastAsia="Times New Roman" w:cs="Times New Roman"/>
          <w:sz w:val="24"/>
          <w:szCs w:val="24"/>
          <w:highlight w:val="yellow"/>
        </w:rPr>
        <w:t xml:space="preserve">ASMs </w:t>
      </w:r>
      <w:r>
        <w:rPr>
          <w:rFonts w:ascii="Times New Roman" w:hAnsi="Times New Roman" w:eastAsia="Times New Roman" w:cs="Times New Roman"/>
          <w:sz w:val="24"/>
          <w:szCs w:val="24"/>
        </w:rPr>
        <w:t xml:space="preserve">may partly depend on their capacity to modulate mitochondrial mechanisms relevant to each epileptic phenotype [16,34,97].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with antioxidant, mitochondrial calcium-stabilizing, or mPTP-modulating properties may offer greater benefit in neurodegenerative focal epilepsies, whereas those that enhance metabolic coupling and Ca²⁺ regulation may prove more efficacious in oscillatory network-dependent generalized epilepsies [19,99,114</w:t>
      </w:r>
      <w:r>
        <w:rPr>
          <w:rFonts w:ascii="Times New Roman" w:hAnsi="Times New Roman" w:eastAsia="Times New Roman" w:cs="Times New Roman"/>
          <w:sz w:val="24"/>
          <w:szCs w:val="24"/>
          <w:highlight w:val="yellow"/>
        </w:rPr>
        <w:t>]</w:t>
      </w:r>
      <w:r>
        <w:rPr>
          <w:rFonts w:ascii="Times New Roman" w:hAnsi="Times New Roman" w:eastAsia="Times New Roman" w:cs="Times New Roman"/>
          <w:sz w:val="24"/>
          <w:szCs w:val="24"/>
        </w:rPr>
        <w:t xml:space="preserve">. Collectively, the available evidence indicates that contemporary </w:t>
      </w:r>
      <w:r>
        <w:rPr>
          <w:rFonts w:ascii="Times New Roman" w:hAnsi="Times New Roman" w:eastAsia="Times New Roman" w:cs="Times New Roman"/>
          <w:sz w:val="24"/>
          <w:szCs w:val="24"/>
          <w:highlight w:val="yellow"/>
        </w:rPr>
        <w:t xml:space="preserve">antiseizure </w:t>
      </w:r>
      <w:r>
        <w:rPr>
          <w:rFonts w:ascii="Times New Roman" w:hAnsi="Times New Roman" w:eastAsia="Times New Roman" w:cs="Times New Roman"/>
          <w:sz w:val="24"/>
          <w:szCs w:val="24"/>
        </w:rPr>
        <w:t xml:space="preserve">pharmacotherapy should incorporate mitochondrial bioenergetics as a critical consideration in individualized therapeutic strategies for epilepsy [16,19,97]. The pathophysiological and pharmacological contrasts between temporal lobe epilepsy and primary generalized epilepsy discussed throughout this section are </w:t>
      </w:r>
      <w:r>
        <w:rPr>
          <w:rFonts w:ascii="Times New Roman" w:hAnsi="Times New Roman" w:eastAsia="Times New Roman" w:cs="Times New Roman"/>
          <w:sz w:val="24"/>
          <w:szCs w:val="24"/>
          <w:highlight w:val="yellow"/>
        </w:rPr>
        <w:t>summarized and compared</w:t>
      </w:r>
      <w:r>
        <w:rPr>
          <w:rFonts w:ascii="Times New Roman" w:hAnsi="Times New Roman" w:eastAsia="Times New Roman" w:cs="Times New Roman"/>
          <w:sz w:val="24"/>
          <w:szCs w:val="24"/>
        </w:rPr>
        <w:t xml:space="preserve"> in Table 2, which highlights how differences in affected neural circuits, mitochondrial channel involvement, regional oxidative vulnerability, and apoptotic consequences translate into distinct therapeutic priorities for mitochondria-targeted </w:t>
      </w:r>
      <w:r>
        <w:rPr>
          <w:rFonts w:ascii="Times New Roman" w:hAnsi="Times New Roman" w:eastAsia="Times New Roman" w:cs="Times New Roman"/>
          <w:sz w:val="24"/>
          <w:szCs w:val="24"/>
          <w:highlight w:val="yellow"/>
        </w:rPr>
        <w:t xml:space="preserve">antiseizure </w:t>
      </w:r>
      <w:r>
        <w:rPr>
          <w:rFonts w:ascii="Times New Roman" w:hAnsi="Times New Roman" w:eastAsia="Times New Roman" w:cs="Times New Roman"/>
          <w:sz w:val="24"/>
          <w:szCs w:val="24"/>
        </w:rPr>
        <w:t>intervention.</w:t>
      </w:r>
    </w:p>
    <w:p w14:paraId="5596D562">
      <w:pPr>
        <w:spacing w:after="0" w:line="360" w:lineRule="auto"/>
        <w:jc w:val="both"/>
        <w:rPr>
          <w:rFonts w:ascii="Times New Roman" w:hAnsi="Times New Roman" w:eastAsia="Times New Roman" w:cs="Times New Roman"/>
          <w:b/>
          <w:bCs/>
          <w:sz w:val="24"/>
          <w:szCs w:val="24"/>
        </w:rPr>
      </w:pPr>
    </w:p>
    <w:p w14:paraId="1684F2C3">
      <w:pPr>
        <w:spacing w:after="0" w:line="360" w:lineRule="auto"/>
        <w:jc w:val="both"/>
        <w:rPr>
          <w:rFonts w:ascii="Times New Roman" w:hAnsi="Times New Roman" w:eastAsia="Times New Roman" w:cs="Times New Roman"/>
          <w:b/>
          <w:bCs/>
          <w:sz w:val="21"/>
          <w:szCs w:val="21"/>
        </w:rPr>
      </w:pPr>
      <w:r>
        <w:rPr>
          <w:rFonts w:ascii="Times New Roman" w:hAnsi="Times New Roman" w:eastAsia="Times New Roman" w:cs="Times New Roman"/>
          <w:b/>
          <w:bCs/>
          <w:sz w:val="21"/>
          <w:szCs w:val="21"/>
        </w:rPr>
        <w:t xml:space="preserve">Table 2. </w:t>
      </w:r>
      <w:r>
        <w:rPr>
          <w:rFonts w:ascii="Times New Roman" w:hAnsi="Times New Roman" w:eastAsia="Times New Roman" w:cs="Times New Roman"/>
          <w:sz w:val="21"/>
          <w:szCs w:val="21"/>
        </w:rPr>
        <w:t xml:space="preserve">Differential mitochondrial mechanisms and pharmacological implications of </w:t>
      </w:r>
      <w:r>
        <w:rPr>
          <w:rFonts w:ascii="Times New Roman" w:hAnsi="Times New Roman" w:eastAsia="Times New Roman" w:cs="Times New Roman"/>
          <w:sz w:val="21"/>
          <w:szCs w:val="21"/>
          <w:highlight w:val="yellow"/>
        </w:rPr>
        <w:t>antiseizure medications</w:t>
      </w:r>
      <w:r>
        <w:rPr>
          <w:rFonts w:ascii="Times New Roman" w:hAnsi="Times New Roman" w:eastAsia="Times New Roman" w:cs="Times New Roman"/>
          <w:sz w:val="21"/>
          <w:szCs w:val="21"/>
        </w:rPr>
        <w:t xml:space="preserve"> according to epileptic phenotype</w:t>
      </w:r>
    </w:p>
    <w:tbl>
      <w:tblPr>
        <w:tblStyle w:val="16"/>
        <w:tblW w:w="9255" w:type="dxa"/>
        <w:tblInd w:w="55" w:type="dxa"/>
        <w:tblLayout w:type="fixed"/>
        <w:tblCellMar>
          <w:top w:w="55" w:type="dxa"/>
          <w:left w:w="55" w:type="dxa"/>
          <w:bottom w:w="55" w:type="dxa"/>
          <w:right w:w="55" w:type="dxa"/>
        </w:tblCellMar>
      </w:tblPr>
      <w:tblGrid>
        <w:gridCol w:w="1755"/>
        <w:gridCol w:w="2670"/>
        <w:gridCol w:w="3120"/>
        <w:gridCol w:w="1710"/>
      </w:tblGrid>
      <w:tr w14:paraId="339B4484">
        <w:tblPrEx>
          <w:tblCellMar>
            <w:top w:w="55" w:type="dxa"/>
            <w:left w:w="55" w:type="dxa"/>
            <w:bottom w:w="55" w:type="dxa"/>
            <w:right w:w="55" w:type="dxa"/>
          </w:tblCellMar>
        </w:tblPrEx>
        <w:tc>
          <w:tcPr>
            <w:tcW w:w="1755" w:type="dxa"/>
            <w:tcBorders>
              <w:top w:val="single" w:color="000000" w:sz="4" w:space="0"/>
              <w:bottom w:val="single" w:color="000000" w:sz="4" w:space="0"/>
            </w:tcBorders>
            <w:vAlign w:val="center"/>
          </w:tcPr>
          <w:p w14:paraId="0561EB6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Feature</w:t>
            </w:r>
          </w:p>
        </w:tc>
        <w:tc>
          <w:tcPr>
            <w:tcW w:w="2670" w:type="dxa"/>
            <w:tcBorders>
              <w:top w:val="single" w:color="000000" w:sz="4" w:space="0"/>
              <w:bottom w:val="single" w:color="000000" w:sz="4" w:space="0"/>
            </w:tcBorders>
            <w:vAlign w:val="center"/>
          </w:tcPr>
          <w:p w14:paraId="188F6EC3">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Temporal Lobe Epilepsy</w:t>
            </w:r>
          </w:p>
        </w:tc>
        <w:tc>
          <w:tcPr>
            <w:tcW w:w="3120" w:type="dxa"/>
            <w:tcBorders>
              <w:top w:val="single" w:color="000000" w:sz="4" w:space="0"/>
              <w:bottom w:val="single" w:color="000000" w:sz="4" w:space="0"/>
            </w:tcBorders>
            <w:vAlign w:val="center"/>
          </w:tcPr>
          <w:p w14:paraId="5198DAB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Primary Generalized Epilepsy</w:t>
            </w:r>
          </w:p>
        </w:tc>
        <w:tc>
          <w:tcPr>
            <w:tcW w:w="1710" w:type="dxa"/>
            <w:tcBorders>
              <w:top w:val="single" w:color="000000" w:sz="4" w:space="0"/>
              <w:bottom w:val="single" w:color="000000" w:sz="4" w:space="0"/>
            </w:tcBorders>
            <w:vAlign w:val="center"/>
          </w:tcPr>
          <w:p w14:paraId="700CBC28">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Key References</w:t>
            </w:r>
          </w:p>
        </w:tc>
      </w:tr>
      <w:tr w14:paraId="3DA283D2">
        <w:tblPrEx>
          <w:tblCellMar>
            <w:top w:w="55" w:type="dxa"/>
            <w:left w:w="55" w:type="dxa"/>
            <w:bottom w:w="55" w:type="dxa"/>
            <w:right w:w="55" w:type="dxa"/>
          </w:tblCellMar>
        </w:tblPrEx>
        <w:tc>
          <w:tcPr>
            <w:tcW w:w="1755" w:type="dxa"/>
            <w:tcMar>
              <w:top w:w="0" w:type="dxa"/>
              <w:left w:w="0" w:type="dxa"/>
              <w:bottom w:w="0" w:type="dxa"/>
              <w:right w:w="0" w:type="dxa"/>
            </w:tcMar>
            <w:vAlign w:val="center"/>
          </w:tcPr>
          <w:p w14:paraId="66A04AB3">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Predominantly affected neural networks</w:t>
            </w:r>
          </w:p>
        </w:tc>
        <w:tc>
          <w:tcPr>
            <w:tcW w:w="2670" w:type="dxa"/>
            <w:tcMar>
              <w:top w:w="0" w:type="dxa"/>
              <w:left w:w="0" w:type="dxa"/>
              <w:bottom w:w="0" w:type="dxa"/>
              <w:right w:w="0" w:type="dxa"/>
            </w:tcMar>
            <w:vAlign w:val="center"/>
          </w:tcPr>
          <w:p w14:paraId="2E5EB18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Hippocampal circuits, particularly CA1 and CA3 subfields</w:t>
            </w:r>
          </w:p>
        </w:tc>
        <w:tc>
          <w:tcPr>
            <w:tcW w:w="3120" w:type="dxa"/>
            <w:tcMar>
              <w:top w:w="0" w:type="dxa"/>
              <w:left w:w="0" w:type="dxa"/>
              <w:bottom w:w="0" w:type="dxa"/>
              <w:right w:w="0" w:type="dxa"/>
            </w:tcMar>
            <w:vAlign w:val="center"/>
          </w:tcPr>
          <w:p w14:paraId="01CE9072">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Thalamocortical circuits generating synchronized rhythmic oscillations</w:t>
            </w:r>
          </w:p>
        </w:tc>
        <w:tc>
          <w:tcPr>
            <w:tcW w:w="1710" w:type="dxa"/>
            <w:tcMar>
              <w:top w:w="0" w:type="dxa"/>
              <w:left w:w="0" w:type="dxa"/>
              <w:bottom w:w="0" w:type="dxa"/>
              <w:right w:w="0" w:type="dxa"/>
            </w:tcMar>
            <w:vAlign w:val="center"/>
          </w:tcPr>
          <w:p w14:paraId="6C88228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 97, 103, 109]</w:t>
            </w:r>
          </w:p>
        </w:tc>
      </w:tr>
      <w:tr w14:paraId="7021D0B7">
        <w:tblPrEx>
          <w:tblCellMar>
            <w:top w:w="55" w:type="dxa"/>
            <w:left w:w="55" w:type="dxa"/>
            <w:bottom w:w="55" w:type="dxa"/>
            <w:right w:w="55" w:type="dxa"/>
          </w:tblCellMar>
        </w:tblPrEx>
        <w:tc>
          <w:tcPr>
            <w:tcW w:w="1755" w:type="dxa"/>
            <w:tcMar>
              <w:top w:w="0" w:type="dxa"/>
              <w:left w:w="0" w:type="dxa"/>
              <w:bottom w:w="0" w:type="dxa"/>
              <w:right w:w="0" w:type="dxa"/>
            </w:tcMar>
            <w:vAlign w:val="center"/>
          </w:tcPr>
          <w:p w14:paraId="1EA7DEC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Primary mitochondrial mechanism</w:t>
            </w:r>
          </w:p>
        </w:tc>
        <w:tc>
          <w:tcPr>
            <w:tcW w:w="2670" w:type="dxa"/>
            <w:tcMar>
              <w:top w:w="0" w:type="dxa"/>
              <w:left w:w="0" w:type="dxa"/>
              <w:bottom w:w="0" w:type="dxa"/>
              <w:right w:w="0" w:type="dxa"/>
            </w:tcMar>
            <w:vAlign w:val="center"/>
          </w:tcPr>
          <w:p w14:paraId="291ABA82">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Mitochondrial outer membrane permeabilization, mPTP opening, and cytochrome c release driving apoptotic neurodegeneration</w:t>
            </w:r>
          </w:p>
        </w:tc>
        <w:tc>
          <w:tcPr>
            <w:tcW w:w="3120" w:type="dxa"/>
            <w:tcMar>
              <w:top w:w="0" w:type="dxa"/>
              <w:left w:w="0" w:type="dxa"/>
              <w:bottom w:w="0" w:type="dxa"/>
              <w:right w:w="0" w:type="dxa"/>
            </w:tcMar>
            <w:vAlign w:val="center"/>
          </w:tcPr>
          <w:p w14:paraId="0171DFE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Impaired mitochondrial Ca²⁺ buffering of rhythmic calcium transients disrupting thalamocortical oscillatory stability</w:t>
            </w:r>
          </w:p>
        </w:tc>
        <w:tc>
          <w:tcPr>
            <w:tcW w:w="1710" w:type="dxa"/>
            <w:tcMar>
              <w:top w:w="0" w:type="dxa"/>
              <w:left w:w="0" w:type="dxa"/>
              <w:bottom w:w="0" w:type="dxa"/>
              <w:right w:w="0" w:type="dxa"/>
            </w:tcMar>
            <w:vAlign w:val="center"/>
          </w:tcPr>
          <w:p w14:paraId="08A65544">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[19, 65, 97, 111]</w:t>
            </w:r>
          </w:p>
        </w:tc>
      </w:tr>
      <w:tr w14:paraId="754CD36C">
        <w:tblPrEx>
          <w:tblCellMar>
            <w:top w:w="55" w:type="dxa"/>
            <w:left w:w="55" w:type="dxa"/>
            <w:bottom w:w="55" w:type="dxa"/>
            <w:right w:w="55" w:type="dxa"/>
          </w:tblCellMar>
        </w:tblPrEx>
        <w:tc>
          <w:tcPr>
            <w:tcW w:w="1755" w:type="dxa"/>
            <w:tcMar>
              <w:top w:w="0" w:type="dxa"/>
              <w:left w:w="0" w:type="dxa"/>
              <w:bottom w:w="0" w:type="dxa"/>
              <w:right w:w="0" w:type="dxa"/>
            </w:tcMar>
            <w:vAlign w:val="center"/>
          </w:tcPr>
          <w:p w14:paraId="5C50FEF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Most relevant mitochondrial channels</w:t>
            </w:r>
          </w:p>
        </w:tc>
        <w:tc>
          <w:tcPr>
            <w:tcW w:w="2670" w:type="dxa"/>
            <w:tcMar>
              <w:top w:w="0" w:type="dxa"/>
              <w:left w:w="0" w:type="dxa"/>
              <w:bottom w:w="0" w:type="dxa"/>
              <w:right w:w="0" w:type="dxa"/>
            </w:tcMar>
            <w:vAlign w:val="center"/>
          </w:tcPr>
          <w:p w14:paraId="2A52435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VDAC1, mPTP</w:t>
            </w:r>
          </w:p>
        </w:tc>
        <w:tc>
          <w:tcPr>
            <w:tcW w:w="3120" w:type="dxa"/>
            <w:tcMar>
              <w:top w:w="0" w:type="dxa"/>
              <w:left w:w="0" w:type="dxa"/>
              <w:bottom w:w="0" w:type="dxa"/>
              <w:right w:w="0" w:type="dxa"/>
            </w:tcMar>
            <w:vAlign w:val="center"/>
          </w:tcPr>
          <w:p w14:paraId="30EE32E1">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MCU, NCLX, mitoKATP</w:t>
            </w:r>
          </w:p>
        </w:tc>
        <w:tc>
          <w:tcPr>
            <w:tcW w:w="1710" w:type="dxa"/>
            <w:tcMar>
              <w:top w:w="0" w:type="dxa"/>
              <w:left w:w="0" w:type="dxa"/>
              <w:bottom w:w="0" w:type="dxa"/>
              <w:right w:w="0" w:type="dxa"/>
            </w:tcMar>
            <w:vAlign w:val="center"/>
          </w:tcPr>
          <w:p w14:paraId="3D22A626">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[19, 50, 60, 97, 105]</w:t>
            </w:r>
          </w:p>
        </w:tc>
      </w:tr>
      <w:tr w14:paraId="42A13DBA">
        <w:tblPrEx>
          <w:tblCellMar>
            <w:top w:w="55" w:type="dxa"/>
            <w:left w:w="55" w:type="dxa"/>
            <w:bottom w:w="55" w:type="dxa"/>
            <w:right w:w="55" w:type="dxa"/>
          </w:tblCellMar>
        </w:tblPrEx>
        <w:tc>
          <w:tcPr>
            <w:tcW w:w="1755" w:type="dxa"/>
            <w:tcMar>
              <w:top w:w="0" w:type="dxa"/>
              <w:left w:w="0" w:type="dxa"/>
              <w:bottom w:w="0" w:type="dxa"/>
              <w:right w:w="0" w:type="dxa"/>
            </w:tcMar>
            <w:vAlign w:val="center"/>
          </w:tcPr>
          <w:p w14:paraId="1F57CB5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Regional oxidative vulnerability</w:t>
            </w:r>
          </w:p>
        </w:tc>
        <w:tc>
          <w:tcPr>
            <w:tcW w:w="2670" w:type="dxa"/>
            <w:tcMar>
              <w:top w:w="0" w:type="dxa"/>
              <w:left w:w="0" w:type="dxa"/>
              <w:bottom w:w="0" w:type="dxa"/>
              <w:right w:w="0" w:type="dxa"/>
            </w:tcMar>
            <w:vAlign w:val="center"/>
          </w:tcPr>
          <w:p w14:paraId="0620EB94">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High susceptibility of hippocampal CA1 and CA3 neurons to oxidative stress, energy deficits, and mitochondrial membrane potential alterations</w:t>
            </w:r>
          </w:p>
        </w:tc>
        <w:tc>
          <w:tcPr>
            <w:tcW w:w="3120" w:type="dxa"/>
            <w:tcMar>
              <w:top w:w="0" w:type="dxa"/>
              <w:left w:w="0" w:type="dxa"/>
              <w:bottom w:w="0" w:type="dxa"/>
              <w:right w:w="0" w:type="dxa"/>
            </w:tcMar>
            <w:vAlign w:val="center"/>
          </w:tcPr>
          <w:p w14:paraId="37FA42D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Disruption of neuron–glial metabolic coupling and ATP-dependent ion pump function in thalamocortical networks</w:t>
            </w:r>
          </w:p>
        </w:tc>
        <w:tc>
          <w:tcPr>
            <w:tcW w:w="1710" w:type="dxa"/>
            <w:tcMar>
              <w:top w:w="0" w:type="dxa"/>
              <w:left w:w="0" w:type="dxa"/>
              <w:bottom w:w="0" w:type="dxa"/>
              <w:right w:w="0" w:type="dxa"/>
            </w:tcMar>
            <w:vAlign w:val="center"/>
          </w:tcPr>
          <w:p w14:paraId="16E3F7A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[99, 103, 104, 111]</w:t>
            </w:r>
          </w:p>
        </w:tc>
      </w:tr>
      <w:tr w14:paraId="7B6F38CC">
        <w:tblPrEx>
          <w:tblCellMar>
            <w:top w:w="55" w:type="dxa"/>
            <w:left w:w="55" w:type="dxa"/>
            <w:bottom w:w="55" w:type="dxa"/>
            <w:right w:w="55" w:type="dxa"/>
          </w:tblCellMar>
        </w:tblPrEx>
        <w:tc>
          <w:tcPr>
            <w:tcW w:w="1755" w:type="dxa"/>
            <w:tcMar>
              <w:top w:w="0" w:type="dxa"/>
              <w:left w:w="0" w:type="dxa"/>
              <w:bottom w:w="0" w:type="dxa"/>
              <w:right w:w="0" w:type="dxa"/>
            </w:tcMar>
            <w:vAlign w:val="center"/>
          </w:tcPr>
          <w:p w14:paraId="3EC9E3E9">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Predominant apoptotic consequence </w:t>
            </w:r>
          </w:p>
        </w:tc>
        <w:tc>
          <w:tcPr>
            <w:tcW w:w="2670" w:type="dxa"/>
            <w:tcMar>
              <w:top w:w="0" w:type="dxa"/>
              <w:left w:w="0" w:type="dxa"/>
              <w:bottom w:w="0" w:type="dxa"/>
              <w:right w:w="0" w:type="dxa"/>
            </w:tcMar>
            <w:vAlign w:val="center"/>
          </w:tcPr>
          <w:p w14:paraId="6239253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Selective neuronal death via cytochrome c- and caspase-dependent pathways in hippocampal subfields</w:t>
            </w:r>
          </w:p>
        </w:tc>
        <w:tc>
          <w:tcPr>
            <w:tcW w:w="3120" w:type="dxa"/>
            <w:tcMar>
              <w:top w:w="0" w:type="dxa"/>
              <w:left w:w="0" w:type="dxa"/>
              <w:bottom w:w="0" w:type="dxa"/>
              <w:right w:w="0" w:type="dxa"/>
            </w:tcMar>
            <w:vAlign w:val="center"/>
          </w:tcPr>
          <w:p w14:paraId="45561C21">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Pathological synchronization of large-scale networks; neuronal loss less regionally circumscribed</w:t>
            </w:r>
          </w:p>
        </w:tc>
        <w:tc>
          <w:tcPr>
            <w:tcW w:w="1710" w:type="dxa"/>
            <w:tcMar>
              <w:top w:w="0" w:type="dxa"/>
              <w:left w:w="0" w:type="dxa"/>
              <w:bottom w:w="0" w:type="dxa"/>
              <w:right w:w="0" w:type="dxa"/>
            </w:tcMar>
            <w:vAlign w:val="center"/>
          </w:tcPr>
          <w:p w14:paraId="1381F3B6">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[19, 65, 101, 102]</w:t>
            </w:r>
          </w:p>
        </w:tc>
      </w:tr>
      <w:tr w14:paraId="616E3DBF">
        <w:tblPrEx>
          <w:tblCellMar>
            <w:top w:w="55" w:type="dxa"/>
            <w:left w:w="55" w:type="dxa"/>
            <w:bottom w:w="55" w:type="dxa"/>
            <w:right w:w="55" w:type="dxa"/>
          </w:tblCellMar>
        </w:tblPrEx>
        <w:tc>
          <w:tcPr>
            <w:tcW w:w="1755" w:type="dxa"/>
            <w:tcMar>
              <w:top w:w="0" w:type="dxa"/>
              <w:left w:w="0" w:type="dxa"/>
              <w:bottom w:w="0" w:type="dxa"/>
              <w:right w:w="0" w:type="dxa"/>
            </w:tcMar>
            <w:vAlign w:val="center"/>
          </w:tcPr>
          <w:p w14:paraId="74E2E656">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Mitochondrial Ca</w:t>
            </w:r>
            <w:r>
              <w:rPr>
                <w:rFonts w:ascii="Times New Roman" w:hAnsi="Times New Roman" w:eastAsia="Times New Roman" w:cs="Times New Roman"/>
                <w:color w:val="000000"/>
                <w:sz w:val="20"/>
                <w:szCs w:val="20"/>
                <w:vertAlign w:val="superscript"/>
              </w:rPr>
              <w:t>2+</w:t>
            </w:r>
            <w:r>
              <w:rPr>
                <w:rFonts w:ascii="Times New Roman" w:hAnsi="Times New Roman" w:eastAsia="Times New Roman" w:cs="Times New Roman"/>
                <w:color w:val="000000"/>
                <w:sz w:val="20"/>
                <w:szCs w:val="20"/>
              </w:rPr>
              <w:t xml:space="preserve"> dysregulation</w:t>
            </w:r>
          </w:p>
        </w:tc>
        <w:tc>
          <w:tcPr>
            <w:tcW w:w="2670" w:type="dxa"/>
            <w:tcMar>
              <w:top w:w="0" w:type="dxa"/>
              <w:left w:w="0" w:type="dxa"/>
              <w:bottom w:w="0" w:type="dxa"/>
              <w:right w:w="0" w:type="dxa"/>
            </w:tcMar>
            <w:vAlign w:val="center"/>
          </w:tcPr>
          <w:p w14:paraId="3FAB77B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Sustained Ca²⁺ overload inducing mPTP opening and mitochondrial depolarization following prolonged seizures</w:t>
            </w:r>
          </w:p>
        </w:tc>
        <w:tc>
          <w:tcPr>
            <w:tcW w:w="3120" w:type="dxa"/>
            <w:tcMar>
              <w:top w:w="0" w:type="dxa"/>
              <w:left w:w="0" w:type="dxa"/>
              <w:bottom w:w="0" w:type="dxa"/>
              <w:right w:w="0" w:type="dxa"/>
            </w:tcMar>
            <w:vAlign w:val="center"/>
          </w:tcPr>
          <w:p w14:paraId="301D694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Impaired Ca²⁺ buffering of physiological transients linked to T-type channel-dependent rhythmic discharges</w:t>
            </w:r>
          </w:p>
        </w:tc>
        <w:tc>
          <w:tcPr>
            <w:tcW w:w="1710" w:type="dxa"/>
            <w:tcMar>
              <w:top w:w="0" w:type="dxa"/>
              <w:left w:w="0" w:type="dxa"/>
              <w:bottom w:w="0" w:type="dxa"/>
              <w:right w:w="0" w:type="dxa"/>
            </w:tcMar>
            <w:vAlign w:val="center"/>
          </w:tcPr>
          <w:p w14:paraId="735D6811">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[36, 39, 57, 112]</w:t>
            </w:r>
          </w:p>
        </w:tc>
      </w:tr>
      <w:tr w14:paraId="2F63386E">
        <w:tblPrEx>
          <w:tblCellMar>
            <w:top w:w="55" w:type="dxa"/>
            <w:left w:w="55" w:type="dxa"/>
            <w:bottom w:w="55" w:type="dxa"/>
            <w:right w:w="55" w:type="dxa"/>
          </w:tblCellMar>
        </w:tblPrEx>
        <w:tc>
          <w:tcPr>
            <w:tcW w:w="1755" w:type="dxa"/>
            <w:tcMar>
              <w:top w:w="0" w:type="dxa"/>
              <w:left w:w="0" w:type="dxa"/>
              <w:bottom w:w="0" w:type="dxa"/>
              <w:right w:w="0" w:type="dxa"/>
            </w:tcMar>
            <w:vAlign w:val="center"/>
          </w:tcPr>
          <w:p w14:paraId="5D43C60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sz w:val="20"/>
                <w:szCs w:val="20"/>
                <w:highlight w:val="yellow"/>
              </w:rPr>
              <w:t>ASMs</w:t>
            </w:r>
            <w:r>
              <w:rPr>
                <w:rFonts w:ascii="Times New Roman" w:hAnsi="Times New Roman" w:eastAsia="Times New Roman" w:cs="Times New Roman"/>
                <w:color w:val="000000"/>
                <w:sz w:val="20"/>
                <w:szCs w:val="20"/>
              </w:rPr>
              <w:t xml:space="preserve"> with greatest mitochondrial relevance </w:t>
            </w:r>
          </w:p>
        </w:tc>
        <w:tc>
          <w:tcPr>
            <w:tcW w:w="2670" w:type="dxa"/>
            <w:tcMar>
              <w:top w:w="0" w:type="dxa"/>
              <w:left w:w="0" w:type="dxa"/>
              <w:bottom w:w="0" w:type="dxa"/>
              <w:right w:w="0" w:type="dxa"/>
            </w:tcMar>
            <w:vAlign w:val="center"/>
          </w:tcPr>
          <w:p w14:paraId="0C115EE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Phenytoin, carbamazepine (VDAC1 modulation); valproic acid (mPTP/NCLX stabilization)</w:t>
            </w:r>
          </w:p>
        </w:tc>
        <w:tc>
          <w:tcPr>
            <w:tcW w:w="3120" w:type="dxa"/>
            <w:tcMar>
              <w:top w:w="0" w:type="dxa"/>
              <w:left w:w="0" w:type="dxa"/>
              <w:bottom w:w="0" w:type="dxa"/>
              <w:right w:w="0" w:type="dxa"/>
            </w:tcMar>
            <w:vAlign w:val="center"/>
          </w:tcPr>
          <w:p w14:paraId="1173762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Ethosuximide (MCU-mediated Ca²⁺ overload attenuation); levetiracetam (presynaptic Ca²⁺ reduction); diazoxide (mitoKATP activation)</w:t>
            </w:r>
          </w:p>
        </w:tc>
        <w:tc>
          <w:tcPr>
            <w:tcW w:w="1710" w:type="dxa"/>
            <w:tcMar>
              <w:top w:w="0" w:type="dxa"/>
              <w:left w:w="0" w:type="dxa"/>
              <w:bottom w:w="0" w:type="dxa"/>
              <w:right w:w="0" w:type="dxa"/>
            </w:tcMar>
            <w:vAlign w:val="center"/>
          </w:tcPr>
          <w:p w14:paraId="158877A9">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highlight w:val="yellow"/>
              </w:rPr>
            </w:pPr>
            <w:r>
              <w:rPr>
                <w:rFonts w:ascii="Times New Roman" w:hAnsi="Times New Roman" w:eastAsia="Times New Roman" w:cs="Times New Roman"/>
                <w:color w:val="000000"/>
                <w:sz w:val="20"/>
                <w:szCs w:val="20"/>
                <w:highlight w:val="yellow"/>
              </w:rPr>
              <w:t>[19, 80, 91, 97]</w:t>
            </w:r>
          </w:p>
        </w:tc>
      </w:tr>
      <w:tr w14:paraId="62DCC651">
        <w:tblPrEx>
          <w:tblCellMar>
            <w:top w:w="55" w:type="dxa"/>
            <w:left w:w="55" w:type="dxa"/>
            <w:bottom w:w="55" w:type="dxa"/>
            <w:right w:w="55" w:type="dxa"/>
          </w:tblCellMar>
        </w:tblPrEx>
        <w:tc>
          <w:tcPr>
            <w:tcW w:w="1755" w:type="dxa"/>
            <w:tcMar>
              <w:top w:w="0" w:type="dxa"/>
              <w:left w:w="0" w:type="dxa"/>
              <w:bottom w:w="0" w:type="dxa"/>
              <w:right w:w="0" w:type="dxa"/>
            </w:tcMar>
            <w:vAlign w:val="center"/>
          </w:tcPr>
          <w:p w14:paraId="0C78A9FB">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Bioenergetic failure pattern </w:t>
            </w:r>
          </w:p>
        </w:tc>
        <w:tc>
          <w:tcPr>
            <w:tcW w:w="2670" w:type="dxa"/>
            <w:tcMar>
              <w:top w:w="0" w:type="dxa"/>
              <w:left w:w="0" w:type="dxa"/>
              <w:bottom w:w="0" w:type="dxa"/>
              <w:right w:w="0" w:type="dxa"/>
            </w:tcMar>
            <w:vAlign w:val="center"/>
          </w:tcPr>
          <w:p w14:paraId="0C1DC9B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Progressive energy deficit secondary to recurrent seizure-induced mitochondrial dysfunction and oxidative damage</w:t>
            </w:r>
          </w:p>
        </w:tc>
        <w:tc>
          <w:tcPr>
            <w:tcW w:w="3120" w:type="dxa"/>
            <w:tcMar>
              <w:top w:w="0" w:type="dxa"/>
              <w:left w:w="0" w:type="dxa"/>
              <w:bottom w:w="0" w:type="dxa"/>
              <w:right w:w="0" w:type="dxa"/>
            </w:tcMar>
            <w:vAlign w:val="center"/>
          </w:tcPr>
          <w:p w14:paraId="6DD14368">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Metabolic uncoupling between neuronal activity and mitochondrial ATP production during hypersynchronous discharges</w:t>
            </w:r>
          </w:p>
        </w:tc>
        <w:tc>
          <w:tcPr>
            <w:tcW w:w="1710" w:type="dxa"/>
            <w:tcMar>
              <w:top w:w="0" w:type="dxa"/>
              <w:left w:w="0" w:type="dxa"/>
              <w:bottom w:w="0" w:type="dxa"/>
              <w:right w:w="0" w:type="dxa"/>
            </w:tcMar>
            <w:vAlign w:val="center"/>
          </w:tcPr>
          <w:p w14:paraId="1013CE44">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[16, 97, 99, 108]</w:t>
            </w:r>
          </w:p>
        </w:tc>
      </w:tr>
      <w:tr w14:paraId="06687BE7">
        <w:tblPrEx>
          <w:tblCellMar>
            <w:top w:w="55" w:type="dxa"/>
            <w:left w:w="55" w:type="dxa"/>
            <w:bottom w:w="55" w:type="dxa"/>
            <w:right w:w="55" w:type="dxa"/>
          </w:tblCellMar>
        </w:tblPrEx>
        <w:tc>
          <w:tcPr>
            <w:tcW w:w="1755" w:type="dxa"/>
            <w:tcBorders>
              <w:bottom w:val="single" w:color="000000" w:sz="4" w:space="0"/>
            </w:tcBorders>
            <w:vAlign w:val="center"/>
          </w:tcPr>
          <w:p w14:paraId="4AB0F36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Therapeutic mitochondrial strategy</w:t>
            </w:r>
          </w:p>
        </w:tc>
        <w:tc>
          <w:tcPr>
            <w:tcW w:w="2670" w:type="dxa"/>
            <w:tcBorders>
              <w:bottom w:val="single" w:color="000000" w:sz="4" w:space="0"/>
            </w:tcBorders>
            <w:vAlign w:val="center"/>
          </w:tcPr>
          <w:p w14:paraId="0177B348">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Antioxidant protection, mPTP inhibition, and VDAC1 modulation to limit apoptotic cascades and preserve neuronal energy homeostasis</w:t>
            </w:r>
          </w:p>
        </w:tc>
        <w:tc>
          <w:tcPr>
            <w:tcW w:w="3120" w:type="dxa"/>
            <w:tcBorders>
              <w:bottom w:val="single" w:color="000000" w:sz="4" w:space="0"/>
            </w:tcBorders>
            <w:vAlign w:val="center"/>
          </w:tcPr>
          <w:p w14:paraId="68258F58">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Enhancement of mitochondrial Ca²⁺ regulation and metabolic coupling to stabilize thalamocortical network excitability</w:t>
            </w:r>
          </w:p>
        </w:tc>
        <w:tc>
          <w:tcPr>
            <w:tcW w:w="1710" w:type="dxa"/>
            <w:tcBorders>
              <w:bottom w:val="single" w:color="000000" w:sz="4" w:space="0"/>
            </w:tcBorders>
            <w:vAlign w:val="center"/>
          </w:tcPr>
          <w:p w14:paraId="03F91A09">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0"/>
                <w:szCs w:val="20"/>
                <w:highlight w:val="yellow"/>
              </w:rPr>
            </w:pPr>
            <w:r>
              <w:rPr>
                <w:rFonts w:ascii="Times New Roman" w:hAnsi="Times New Roman" w:eastAsia="Times New Roman" w:cs="Times New Roman"/>
                <w:color w:val="000000"/>
                <w:sz w:val="20"/>
                <w:szCs w:val="20"/>
                <w:highlight w:val="yellow"/>
              </w:rPr>
              <w:t>[19, 97, 114]</w:t>
            </w:r>
          </w:p>
        </w:tc>
      </w:tr>
    </w:tbl>
    <w:p w14:paraId="7165FBF8">
      <w:pPr>
        <w:spacing w:after="0" w:line="360" w:lineRule="auto"/>
        <w:jc w:val="both"/>
        <w:rPr>
          <w:rFonts w:ascii="Times New Roman" w:hAnsi="Times New Roman" w:eastAsia="Times New Roman" w:cs="Times New Roman"/>
          <w:b/>
          <w:bCs/>
          <w:sz w:val="26"/>
          <w:szCs w:val="26"/>
        </w:rPr>
      </w:pPr>
    </w:p>
    <w:p w14:paraId="70805BFE">
      <w:pPr>
        <w:spacing w:after="0" w:line="360"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 xml:space="preserve">Principal mitochondrial mechanisms underlying seizure generation and neuronal injury across two major epileptic phenotypes, highlighting differences in affected neural networks, mitochondrial channel involvement, oxidative vulnerability, apoptotic consequences, and the </w:t>
      </w:r>
      <w:r>
        <w:rPr>
          <w:rFonts w:ascii="Times New Roman" w:hAnsi="Times New Roman" w:eastAsia="Times New Roman" w:cs="Times New Roman"/>
          <w:sz w:val="18"/>
          <w:szCs w:val="18"/>
          <w:highlight w:val="yellow"/>
        </w:rPr>
        <w:t>antiseizure medications</w:t>
      </w:r>
      <w:r>
        <w:rPr>
          <w:rFonts w:ascii="Times New Roman" w:hAnsi="Times New Roman" w:eastAsia="Times New Roman" w:cs="Times New Roman"/>
          <w:sz w:val="19"/>
          <w:szCs w:val="19"/>
        </w:rPr>
        <w:t xml:space="preserve"> most relevant to each context. These distinctions have direct implications for the selection of mitochondria-targeted therapeutic strategies tailored to specific epileptic phenotypes. Abbreviations: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highlight w:val="yellow"/>
        </w:rPr>
        <w:t>ASMs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highlight w:val="yellow"/>
        </w:rPr>
        <w:t>antiseizure medications</w:t>
      </w:r>
      <w:r>
        <w:rPr>
          <w:rFonts w:ascii="Times New Roman" w:hAnsi="Times New Roman" w:eastAsia="Times New Roman" w:cs="Times New Roman"/>
          <w:sz w:val="19"/>
          <w:szCs w:val="19"/>
        </w:rPr>
        <w:t>; CA1/CA3, cornu ammonis subfields 1 and 3; MCU, mitochondrial calcium uniporter; mitoKATP, mitochondrial ATP-sensitive potassium channel; mPTP, mitochondrial permeability transition pore; NCLX, mitochondrial Na⁺/Ca²⁺ exchanger; ROS, reactive oxygen species; VDAC1, voltage-dependent anion channel isoform 1; ΔΨm, mitochondrial membrane potential.</w:t>
      </w:r>
    </w:p>
    <w:p w14:paraId="075605B4">
      <w:pPr>
        <w:spacing w:after="0" w:line="360" w:lineRule="auto"/>
        <w:jc w:val="both"/>
        <w:rPr>
          <w:rFonts w:ascii="Times New Roman" w:hAnsi="Times New Roman" w:eastAsia="Times New Roman" w:cs="Times New Roman"/>
          <w:sz w:val="19"/>
          <w:szCs w:val="19"/>
        </w:rPr>
      </w:pPr>
    </w:p>
    <w:p w14:paraId="0A25898F">
      <w:pPr>
        <w:spacing w:after="0" w:line="360" w:lineRule="auto"/>
        <w:jc w:val="both"/>
        <w:rPr>
          <w:rFonts w:ascii="Times New Roman" w:hAnsi="Times New Roman" w:eastAsia="Times New Roman" w:cs="Times New Roman"/>
          <w:sz w:val="19"/>
          <w:szCs w:val="19"/>
        </w:rPr>
      </w:pPr>
    </w:p>
    <w:p w14:paraId="5D1AEB25">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7. Mechanistic Integration</w:t>
      </w:r>
    </w:p>
    <w:p w14:paraId="6CBBCD1F">
      <w:pPr>
        <w:spacing w:after="0" w:line="360" w:lineRule="auto"/>
        <w:jc w:val="both"/>
        <w:rPr>
          <w:rFonts w:ascii="Times New Roman" w:hAnsi="Times New Roman" w:eastAsia="Times New Roman" w:cs="Times New Roman"/>
          <w:b/>
          <w:bCs/>
          <w:sz w:val="24"/>
          <w:szCs w:val="24"/>
        </w:rPr>
      </w:pPr>
    </w:p>
    <w:p w14:paraId="7BB9009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anticonvulsant effect emerges from the interplay between traditional neuronal mechanisms and mitochondrial functions that concurrently regulate electrical excitability and brain energy metabolism [8,16,101]. Voltage-gated neuronal ion </w:t>
      </w:r>
      <w:r>
        <w:rPr>
          <w:rFonts w:ascii="Times New Roman" w:hAnsi="Times New Roman" w:eastAsia="Times New Roman" w:cs="Times New Roman"/>
          <w:sz w:val="24"/>
          <w:szCs w:val="24"/>
          <w:highlight w:val="yellow"/>
        </w:rPr>
        <w:t>channels including</w:t>
      </w:r>
      <w:r>
        <w:rPr>
          <w:rFonts w:ascii="Times New Roman" w:hAnsi="Times New Roman" w:eastAsia="Times New Roman" w:cs="Times New Roman"/>
          <w:sz w:val="24"/>
          <w:szCs w:val="24"/>
        </w:rPr>
        <w:t xml:space="preserve"> sodium, potassium, and calcium channels regulate membrane excitability and the generation of hypersynchronous discharges characteristic of epileptic seizures [115,116,117]. Mitochondrial channels, including the MCU and VDAC, simultaneously regulate the energy supply and metabolic homeostasis essential for sustaining high-intensity synaptic activity [53,118].</w:t>
      </w:r>
    </w:p>
    <w:p w14:paraId="0357A082">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Mitochondria serve as a critical integrator of anticonvulsant drug efficacy by processing intracellular signals related to calcium dynamics, ATP synthesis, and cellular redox state [119,120]. Several </w:t>
      </w:r>
      <w:r>
        <w:rPr>
          <w:rFonts w:ascii="Times New Roman" w:hAnsi="Times New Roman" w:eastAsia="Times New Roman" w:cs="Times New Roman"/>
          <w:sz w:val="24"/>
          <w:szCs w:val="24"/>
          <w:highlight w:val="yellow"/>
        </w:rPr>
        <w:t>antiseizure medications</w:t>
      </w:r>
      <w:r>
        <w:rPr>
          <w:rFonts w:ascii="Times New Roman" w:hAnsi="Times New Roman" w:eastAsia="Times New Roman" w:cs="Times New Roman"/>
          <w:sz w:val="24"/>
          <w:szCs w:val="24"/>
        </w:rPr>
        <w:t xml:space="preserve"> have been shown to indirectly support mitochondrial function by reducing oxidative stress, preserving the mitochondrial membrane potential, and enhancing oxidative phosphorylation [99,108]. The interplay among Ca²⁺, ROS, and ATP constitutes a critical bioenergetic axis underlying anticonvulsant efficacy: calcium drives mitochondrial metabolic activation, while the resulting ATP attenuates neuronal hyperexcitability by sustaining ion gradients [121,122]. Excessive calcium influx during epileptic episodes elevates mitochondrial ROS generation, potentially inducing energy failure and promoting seizure spread in the absence of sufficient antioxidant defense [16,19]. Conversely, effective maintenance of redox balance preserves synaptic integrity and modulates energy-dependent neurotransmitter release, thereby contributing to the stabilization of hyperexcitable neural networks [59,123]. The functional integration of calcium signaling, mitochondrial metabolism, and oxidative regulation collectively modulates neuronal excitability, cell survival, and synaptic plasticity processes essential for both short-and long-term anticonvulsant responses [124,125]. The convergence of classical and mitochondrial mechanisms described throughout this section is captured in Table 3, which consolidates, for each drug discussed, the relationship between its primary neuronal target, its proposed mitochondrial site of action, and the functional outcome of that interaction in terms of neuronal survival and seizure control.</w:t>
      </w:r>
    </w:p>
    <w:p w14:paraId="53B54902">
      <w:pPr>
        <w:spacing w:after="0" w:line="360" w:lineRule="auto"/>
        <w:jc w:val="both"/>
        <w:rPr>
          <w:rFonts w:ascii="Times New Roman" w:hAnsi="Times New Roman" w:eastAsia="Times New Roman" w:cs="Times New Roman"/>
          <w:sz w:val="24"/>
          <w:szCs w:val="24"/>
        </w:rPr>
      </w:pPr>
    </w:p>
    <w:p w14:paraId="6CBEAAE4">
      <w:pPr>
        <w:spacing w:after="0" w:line="360" w:lineRule="auto"/>
        <w:jc w:val="both"/>
        <w:rPr>
          <w:rFonts w:ascii="Times New Roman" w:hAnsi="Times New Roman" w:eastAsia="Times New Roman" w:cs="Times New Roman"/>
          <w:sz w:val="21"/>
          <w:szCs w:val="21"/>
        </w:rPr>
      </w:pPr>
      <w:r>
        <w:rPr>
          <w:rFonts w:ascii="Times New Roman" w:hAnsi="Times New Roman" w:eastAsia="Times New Roman" w:cs="Times New Roman"/>
          <w:b/>
          <w:bCs/>
          <w:sz w:val="21"/>
          <w:szCs w:val="21"/>
        </w:rPr>
        <w:t>Table 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highlight w:val="yellow"/>
        </w:rPr>
        <w:t>Antiseizure medications</w:t>
      </w:r>
      <w:r>
        <w:rPr>
          <w:rFonts w:ascii="Times New Roman" w:hAnsi="Times New Roman" w:eastAsia="Times New Roman" w:cs="Times New Roman"/>
          <w:sz w:val="21"/>
          <w:szCs w:val="21"/>
        </w:rPr>
        <w:t xml:space="preserve"> and their proposed interactions with mitochondrial ion channels. </w:t>
      </w:r>
    </w:p>
    <w:tbl>
      <w:tblPr>
        <w:tblStyle w:val="17"/>
        <w:tblW w:w="9646" w:type="dxa"/>
        <w:tblInd w:w="-192" w:type="dxa"/>
        <w:tblLayout w:type="fixed"/>
        <w:tblCellMar>
          <w:top w:w="55" w:type="dxa"/>
          <w:left w:w="55" w:type="dxa"/>
          <w:bottom w:w="55" w:type="dxa"/>
          <w:right w:w="55" w:type="dxa"/>
        </w:tblCellMar>
      </w:tblPr>
      <w:tblGrid>
        <w:gridCol w:w="1650"/>
        <w:gridCol w:w="1535"/>
        <w:gridCol w:w="1649"/>
        <w:gridCol w:w="1535"/>
        <w:gridCol w:w="1639"/>
        <w:gridCol w:w="1638"/>
      </w:tblGrid>
      <w:tr w14:paraId="4651A632">
        <w:tblPrEx>
          <w:tblCellMar>
            <w:top w:w="55" w:type="dxa"/>
            <w:left w:w="55" w:type="dxa"/>
            <w:bottom w:w="55" w:type="dxa"/>
            <w:right w:w="55" w:type="dxa"/>
          </w:tblCellMar>
        </w:tblPrEx>
        <w:tc>
          <w:tcPr>
            <w:tcW w:w="1650" w:type="dxa"/>
            <w:tcBorders>
              <w:top w:val="single" w:color="000000" w:sz="4" w:space="0"/>
              <w:bottom w:val="single" w:color="000000" w:sz="4" w:space="0"/>
            </w:tcBorders>
            <w:vAlign w:val="center"/>
          </w:tcPr>
          <w:p w14:paraId="69AECC82">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Drug</w:t>
            </w:r>
          </w:p>
        </w:tc>
        <w:tc>
          <w:tcPr>
            <w:tcW w:w="1535" w:type="dxa"/>
            <w:tcBorders>
              <w:top w:val="single" w:color="000000" w:sz="4" w:space="0"/>
              <w:bottom w:val="single" w:color="000000" w:sz="4" w:space="0"/>
            </w:tcBorders>
            <w:vAlign w:val="center"/>
          </w:tcPr>
          <w:p w14:paraId="71E895C7">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Classical mechanism of action</w:t>
            </w:r>
          </w:p>
        </w:tc>
        <w:tc>
          <w:tcPr>
            <w:tcW w:w="1649" w:type="dxa"/>
            <w:tcBorders>
              <w:top w:val="single" w:color="000000" w:sz="4" w:space="0"/>
              <w:bottom w:val="single" w:color="000000" w:sz="4" w:space="0"/>
            </w:tcBorders>
            <w:vAlign w:val="center"/>
          </w:tcPr>
          <w:p w14:paraId="02C6EB7B">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Mitochondrial target</w:t>
            </w:r>
          </w:p>
        </w:tc>
        <w:tc>
          <w:tcPr>
            <w:tcW w:w="1535" w:type="dxa"/>
            <w:tcBorders>
              <w:top w:val="single" w:color="000000" w:sz="4" w:space="0"/>
              <w:bottom w:val="single" w:color="000000" w:sz="4" w:space="0"/>
            </w:tcBorders>
            <w:vAlign w:val="center"/>
          </w:tcPr>
          <w:p w14:paraId="24448EA6">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Proposed mitochondrial mechanism</w:t>
            </w:r>
          </w:p>
        </w:tc>
        <w:tc>
          <w:tcPr>
            <w:tcW w:w="1639" w:type="dxa"/>
            <w:tcBorders>
              <w:top w:val="single" w:color="000000" w:sz="4" w:space="0"/>
              <w:bottom w:val="single" w:color="000000" w:sz="4" w:space="0"/>
            </w:tcBorders>
            <w:vAlign w:val="center"/>
          </w:tcPr>
          <w:p w14:paraId="75213C4A">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Functional outcome</w:t>
            </w:r>
          </w:p>
        </w:tc>
        <w:tc>
          <w:tcPr>
            <w:tcW w:w="1638" w:type="dxa"/>
            <w:tcBorders>
              <w:top w:val="single" w:color="000000" w:sz="4" w:space="0"/>
              <w:bottom w:val="single" w:color="000000" w:sz="4" w:space="0"/>
            </w:tcBorders>
            <w:vAlign w:val="center"/>
          </w:tcPr>
          <w:p w14:paraId="1712C664">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Key references</w:t>
            </w:r>
          </w:p>
        </w:tc>
      </w:tr>
      <w:tr w14:paraId="0A3058B2">
        <w:tblPrEx>
          <w:tblCellMar>
            <w:top w:w="55" w:type="dxa"/>
            <w:left w:w="55" w:type="dxa"/>
            <w:bottom w:w="55" w:type="dxa"/>
            <w:right w:w="55" w:type="dxa"/>
          </w:tblCellMar>
        </w:tblPrEx>
        <w:tc>
          <w:tcPr>
            <w:tcW w:w="1650" w:type="dxa"/>
            <w:tcMar>
              <w:top w:w="0" w:type="dxa"/>
              <w:left w:w="0" w:type="dxa"/>
              <w:bottom w:w="0" w:type="dxa"/>
              <w:right w:w="0" w:type="dxa"/>
            </w:tcMar>
            <w:vAlign w:val="center"/>
          </w:tcPr>
          <w:p w14:paraId="4561AB06">
            <w:pPr>
              <w:rPr>
                <w:rFonts w:ascii="Times New Roman" w:hAnsi="Times New Roman" w:eastAsia="Times New Roman" w:cs="Times New Roman"/>
                <w:sz w:val="20"/>
                <w:szCs w:val="20"/>
              </w:rPr>
            </w:pPr>
            <w:r>
              <w:rPr>
                <w:rFonts w:ascii="Times New Roman" w:hAnsi="Times New Roman" w:eastAsia="Times New Roman" w:cs="Times New Roman"/>
                <w:sz w:val="20"/>
                <w:szCs w:val="20"/>
              </w:rPr>
              <w:t>Phenytoin</w:t>
            </w:r>
          </w:p>
        </w:tc>
        <w:tc>
          <w:tcPr>
            <w:tcW w:w="1535" w:type="dxa"/>
            <w:tcMar>
              <w:top w:w="0" w:type="dxa"/>
              <w:left w:w="0" w:type="dxa"/>
              <w:bottom w:w="0" w:type="dxa"/>
              <w:right w:w="0" w:type="dxa"/>
            </w:tcMar>
            <w:vAlign w:val="center"/>
          </w:tcPr>
          <w:p w14:paraId="4EEADD5F">
            <w:pPr>
              <w:rPr>
                <w:rFonts w:ascii="Times New Roman" w:hAnsi="Times New Roman" w:eastAsia="Times New Roman" w:cs="Times New Roman"/>
                <w:sz w:val="20"/>
                <w:szCs w:val="20"/>
              </w:rPr>
            </w:pPr>
            <w:r>
              <w:rPr>
                <w:rFonts w:ascii="Times New Roman" w:hAnsi="Times New Roman" w:eastAsia="Times New Roman" w:cs="Times New Roman"/>
                <w:sz w:val="20"/>
                <w:szCs w:val="20"/>
              </w:rPr>
              <w:t>Voltage-gated Na⁺ channel blockade reducing repetitive neuronal firing</w:t>
            </w:r>
          </w:p>
        </w:tc>
        <w:tc>
          <w:tcPr>
            <w:tcW w:w="1649" w:type="dxa"/>
            <w:tcMar>
              <w:top w:w="0" w:type="dxa"/>
              <w:left w:w="0" w:type="dxa"/>
              <w:bottom w:w="0" w:type="dxa"/>
              <w:right w:w="0" w:type="dxa"/>
            </w:tcMar>
            <w:vAlign w:val="center"/>
          </w:tcPr>
          <w:p w14:paraId="233B5756">
            <w:pPr>
              <w:rPr>
                <w:rFonts w:ascii="Times New Roman" w:hAnsi="Times New Roman" w:eastAsia="Times New Roman" w:cs="Times New Roman"/>
                <w:sz w:val="20"/>
                <w:szCs w:val="20"/>
              </w:rPr>
            </w:pPr>
            <w:r>
              <w:rPr>
                <w:rFonts w:ascii="Times New Roman" w:hAnsi="Times New Roman" w:eastAsia="Times New Roman" w:cs="Times New Roman"/>
                <w:sz w:val="20"/>
                <w:szCs w:val="20"/>
              </w:rPr>
              <w:t>VDAC1</w:t>
            </w:r>
          </w:p>
        </w:tc>
        <w:tc>
          <w:tcPr>
            <w:tcW w:w="1535" w:type="dxa"/>
            <w:tcMar>
              <w:top w:w="0" w:type="dxa"/>
              <w:left w:w="0" w:type="dxa"/>
              <w:bottom w:w="0" w:type="dxa"/>
              <w:right w:w="0" w:type="dxa"/>
            </w:tcMar>
            <w:vAlign w:val="center"/>
          </w:tcPr>
          <w:p w14:paraId="36923F35">
            <w:pPr>
              <w:rPr>
                <w:rFonts w:ascii="Times New Roman" w:hAnsi="Times New Roman" w:eastAsia="Times New Roman" w:cs="Times New Roman"/>
                <w:sz w:val="20"/>
                <w:szCs w:val="20"/>
              </w:rPr>
            </w:pPr>
            <w:r>
              <w:rPr>
                <w:rFonts w:ascii="Times New Roman" w:hAnsi="Times New Roman" w:eastAsia="Times New Roman" w:cs="Times New Roman"/>
                <w:sz w:val="20"/>
                <w:szCs w:val="20"/>
              </w:rPr>
              <w:t>Modulation of Bax/Bcl-2 balance regulating mitochondrial outer membrane permeability</w:t>
            </w:r>
          </w:p>
        </w:tc>
        <w:tc>
          <w:tcPr>
            <w:tcW w:w="1639" w:type="dxa"/>
            <w:tcMar>
              <w:top w:w="0" w:type="dxa"/>
              <w:left w:w="0" w:type="dxa"/>
              <w:bottom w:w="0" w:type="dxa"/>
              <w:right w:w="0" w:type="dxa"/>
            </w:tcMar>
            <w:vAlign w:val="center"/>
          </w:tcPr>
          <w:p w14:paraId="238F9A3D">
            <w:pPr>
              <w:rPr>
                <w:rFonts w:ascii="Times New Roman" w:hAnsi="Times New Roman" w:eastAsia="Times New Roman" w:cs="Times New Roman"/>
                <w:sz w:val="20"/>
                <w:szCs w:val="20"/>
              </w:rPr>
            </w:pPr>
            <w:r>
              <w:rPr>
                <w:rFonts w:ascii="Times New Roman" w:hAnsi="Times New Roman" w:eastAsia="Times New Roman" w:cs="Times New Roman"/>
                <w:sz w:val="20"/>
                <w:szCs w:val="20"/>
              </w:rPr>
              <w:t>Reduced cytochrome c release and attenuation of apoptotic signaling</w:t>
            </w:r>
          </w:p>
        </w:tc>
        <w:tc>
          <w:tcPr>
            <w:tcW w:w="1638" w:type="dxa"/>
            <w:tcMar>
              <w:top w:w="0" w:type="dxa"/>
              <w:left w:w="0" w:type="dxa"/>
              <w:bottom w:w="0" w:type="dxa"/>
              <w:right w:w="0" w:type="dxa"/>
            </w:tcMar>
            <w:vAlign w:val="center"/>
          </w:tcPr>
          <w:p w14:paraId="571CE2A9">
            <w:pPr>
              <w:rPr>
                <w:rFonts w:ascii="Times New Roman" w:hAnsi="Times New Roman" w:eastAsia="Times New Roman" w:cs="Times New Roman"/>
                <w:sz w:val="20"/>
                <w:szCs w:val="20"/>
              </w:rPr>
            </w:pPr>
            <w:r>
              <w:rPr>
                <w:rFonts w:ascii="Times New Roman" w:hAnsi="Times New Roman" w:eastAsia="Times New Roman" w:cs="Times New Roman"/>
                <w:sz w:val="20"/>
                <w:szCs w:val="20"/>
              </w:rPr>
              <w:t>[48, 76, 79]</w:t>
            </w:r>
          </w:p>
        </w:tc>
      </w:tr>
      <w:tr w14:paraId="2E679B26">
        <w:tblPrEx>
          <w:tblCellMar>
            <w:top w:w="55" w:type="dxa"/>
            <w:left w:w="55" w:type="dxa"/>
            <w:bottom w:w="55" w:type="dxa"/>
            <w:right w:w="55" w:type="dxa"/>
          </w:tblCellMar>
        </w:tblPrEx>
        <w:tc>
          <w:tcPr>
            <w:tcW w:w="1650" w:type="dxa"/>
            <w:tcMar>
              <w:top w:w="0" w:type="dxa"/>
              <w:left w:w="0" w:type="dxa"/>
              <w:bottom w:w="0" w:type="dxa"/>
              <w:right w:w="0" w:type="dxa"/>
            </w:tcMar>
            <w:vAlign w:val="center"/>
          </w:tcPr>
          <w:p w14:paraId="7BC75C55">
            <w:pPr>
              <w:rPr>
                <w:rFonts w:ascii="Times New Roman" w:hAnsi="Times New Roman" w:eastAsia="Times New Roman" w:cs="Times New Roman"/>
                <w:sz w:val="20"/>
                <w:szCs w:val="20"/>
              </w:rPr>
            </w:pPr>
            <w:r>
              <w:rPr>
                <w:rFonts w:ascii="Times New Roman" w:hAnsi="Times New Roman" w:eastAsia="Times New Roman" w:cs="Times New Roman"/>
                <w:sz w:val="20"/>
                <w:szCs w:val="20"/>
              </w:rPr>
              <w:t>Carbamazepine</w:t>
            </w:r>
          </w:p>
        </w:tc>
        <w:tc>
          <w:tcPr>
            <w:tcW w:w="1535" w:type="dxa"/>
            <w:tcMar>
              <w:top w:w="0" w:type="dxa"/>
              <w:left w:w="0" w:type="dxa"/>
              <w:bottom w:w="0" w:type="dxa"/>
              <w:right w:w="0" w:type="dxa"/>
            </w:tcMar>
            <w:vAlign w:val="center"/>
          </w:tcPr>
          <w:p w14:paraId="2A2E2782">
            <w:pPr>
              <w:rPr>
                <w:rFonts w:ascii="Times New Roman" w:hAnsi="Times New Roman" w:eastAsia="Times New Roman" w:cs="Times New Roman"/>
                <w:sz w:val="20"/>
                <w:szCs w:val="20"/>
              </w:rPr>
            </w:pPr>
            <w:r>
              <w:rPr>
                <w:rFonts w:ascii="Times New Roman" w:hAnsi="Times New Roman" w:eastAsia="Times New Roman" w:cs="Times New Roman"/>
                <w:sz w:val="20"/>
                <w:szCs w:val="20"/>
              </w:rPr>
              <w:t>Voltage-gated Na⁺ channel blockade stabilizing neuronal membrane excitability</w:t>
            </w:r>
          </w:p>
        </w:tc>
        <w:tc>
          <w:tcPr>
            <w:tcW w:w="1649" w:type="dxa"/>
            <w:tcMar>
              <w:top w:w="0" w:type="dxa"/>
              <w:left w:w="0" w:type="dxa"/>
              <w:bottom w:w="0" w:type="dxa"/>
              <w:right w:w="0" w:type="dxa"/>
            </w:tcMar>
            <w:vAlign w:val="center"/>
          </w:tcPr>
          <w:p w14:paraId="47AE7F2B">
            <w:pPr>
              <w:rPr>
                <w:rFonts w:ascii="Times New Roman" w:hAnsi="Times New Roman" w:eastAsia="Times New Roman" w:cs="Times New Roman"/>
                <w:sz w:val="20"/>
                <w:szCs w:val="20"/>
              </w:rPr>
            </w:pPr>
            <w:r>
              <w:rPr>
                <w:rFonts w:ascii="Times New Roman" w:hAnsi="Times New Roman" w:eastAsia="Times New Roman" w:cs="Times New Roman"/>
                <w:sz w:val="20"/>
                <w:szCs w:val="20"/>
              </w:rPr>
              <w:t>VDAC1</w:t>
            </w:r>
          </w:p>
        </w:tc>
        <w:tc>
          <w:tcPr>
            <w:tcW w:w="1535" w:type="dxa"/>
            <w:tcMar>
              <w:top w:w="0" w:type="dxa"/>
              <w:left w:w="0" w:type="dxa"/>
              <w:bottom w:w="0" w:type="dxa"/>
              <w:right w:w="0" w:type="dxa"/>
            </w:tcMar>
            <w:vAlign w:val="center"/>
          </w:tcPr>
          <w:p w14:paraId="0C515F67">
            <w:pPr>
              <w:rPr>
                <w:rFonts w:ascii="Times New Roman" w:hAnsi="Times New Roman" w:eastAsia="Times New Roman" w:cs="Times New Roman"/>
                <w:sz w:val="20"/>
                <w:szCs w:val="20"/>
              </w:rPr>
            </w:pPr>
            <w:r>
              <w:rPr>
                <w:rFonts w:ascii="Times New Roman" w:hAnsi="Times New Roman" w:eastAsia="Times New Roman" w:cs="Times New Roman"/>
                <w:sz w:val="20"/>
                <w:szCs w:val="20"/>
              </w:rPr>
              <w:t>Modulation of mitochondrial outer membrane permeability associated with VDAC1 regulation</w:t>
            </w:r>
          </w:p>
        </w:tc>
        <w:tc>
          <w:tcPr>
            <w:tcW w:w="1639" w:type="dxa"/>
            <w:tcMar>
              <w:top w:w="0" w:type="dxa"/>
              <w:left w:w="0" w:type="dxa"/>
              <w:bottom w:w="0" w:type="dxa"/>
              <w:right w:w="0" w:type="dxa"/>
            </w:tcMar>
            <w:vAlign w:val="center"/>
          </w:tcPr>
          <w:p w14:paraId="28C5B089">
            <w:pPr>
              <w:rPr>
                <w:rFonts w:ascii="Times New Roman" w:hAnsi="Times New Roman" w:eastAsia="Times New Roman" w:cs="Times New Roman"/>
                <w:sz w:val="20"/>
                <w:szCs w:val="20"/>
              </w:rPr>
            </w:pPr>
            <w:r>
              <w:rPr>
                <w:rFonts w:ascii="Times New Roman" w:hAnsi="Times New Roman" w:eastAsia="Times New Roman" w:cs="Times New Roman"/>
                <w:sz w:val="20"/>
                <w:szCs w:val="20"/>
              </w:rPr>
              <w:t>Stabilization of mitochondrial integrity during excitotoxic stress</w:t>
            </w:r>
          </w:p>
        </w:tc>
        <w:tc>
          <w:tcPr>
            <w:tcW w:w="1638" w:type="dxa"/>
            <w:tcMar>
              <w:top w:w="0" w:type="dxa"/>
              <w:left w:w="0" w:type="dxa"/>
              <w:bottom w:w="0" w:type="dxa"/>
              <w:right w:w="0" w:type="dxa"/>
            </w:tcMar>
            <w:vAlign w:val="center"/>
          </w:tcPr>
          <w:p w14:paraId="43124180">
            <w:pPr>
              <w:rPr>
                <w:rFonts w:ascii="Times New Roman" w:hAnsi="Times New Roman" w:eastAsia="Times New Roman" w:cs="Times New Roman"/>
                <w:sz w:val="20"/>
                <w:szCs w:val="20"/>
              </w:rPr>
            </w:pPr>
            <w:r>
              <w:rPr>
                <w:rFonts w:ascii="Times New Roman" w:hAnsi="Times New Roman" w:eastAsia="Times New Roman" w:cs="Times New Roman"/>
                <w:sz w:val="20"/>
                <w:szCs w:val="20"/>
              </w:rPr>
              <w:t>[76, 78, 79]</w:t>
            </w:r>
          </w:p>
        </w:tc>
      </w:tr>
      <w:tr w14:paraId="5EA2B913">
        <w:tblPrEx>
          <w:tblCellMar>
            <w:top w:w="55" w:type="dxa"/>
            <w:left w:w="55" w:type="dxa"/>
            <w:bottom w:w="55" w:type="dxa"/>
            <w:right w:w="55" w:type="dxa"/>
          </w:tblCellMar>
        </w:tblPrEx>
        <w:tc>
          <w:tcPr>
            <w:tcW w:w="1650" w:type="dxa"/>
            <w:tcMar>
              <w:top w:w="0" w:type="dxa"/>
              <w:left w:w="0" w:type="dxa"/>
              <w:bottom w:w="0" w:type="dxa"/>
              <w:right w:w="0" w:type="dxa"/>
            </w:tcMar>
            <w:vAlign w:val="center"/>
          </w:tcPr>
          <w:p w14:paraId="57B7DDDD">
            <w:pPr>
              <w:rPr>
                <w:rFonts w:ascii="Times New Roman" w:hAnsi="Times New Roman" w:eastAsia="Times New Roman" w:cs="Times New Roman"/>
                <w:sz w:val="20"/>
                <w:szCs w:val="20"/>
              </w:rPr>
            </w:pPr>
            <w:r>
              <w:rPr>
                <w:rFonts w:ascii="Times New Roman" w:hAnsi="Times New Roman" w:eastAsia="Times New Roman" w:cs="Times New Roman"/>
                <w:sz w:val="20"/>
                <w:szCs w:val="20"/>
              </w:rPr>
              <w:t>Ethosuximide</w:t>
            </w:r>
          </w:p>
        </w:tc>
        <w:tc>
          <w:tcPr>
            <w:tcW w:w="1535" w:type="dxa"/>
            <w:tcMar>
              <w:top w:w="0" w:type="dxa"/>
              <w:left w:w="0" w:type="dxa"/>
              <w:bottom w:w="0" w:type="dxa"/>
              <w:right w:w="0" w:type="dxa"/>
            </w:tcMar>
            <w:vAlign w:val="center"/>
          </w:tcPr>
          <w:p w14:paraId="43C7580D">
            <w:pPr>
              <w:rPr>
                <w:rFonts w:ascii="Times New Roman" w:hAnsi="Times New Roman" w:eastAsia="Times New Roman" w:cs="Times New Roman"/>
                <w:sz w:val="20"/>
                <w:szCs w:val="20"/>
              </w:rPr>
            </w:pPr>
            <w:r>
              <w:rPr>
                <w:rFonts w:ascii="Times New Roman" w:hAnsi="Times New Roman" w:eastAsia="Times New Roman" w:cs="Times New Roman"/>
                <w:sz w:val="20"/>
                <w:szCs w:val="20"/>
              </w:rPr>
              <w:t>Inhibition of T-type Ca²⁺ channels</w:t>
            </w:r>
          </w:p>
        </w:tc>
        <w:tc>
          <w:tcPr>
            <w:tcW w:w="1649" w:type="dxa"/>
            <w:tcMar>
              <w:top w:w="0" w:type="dxa"/>
              <w:left w:w="0" w:type="dxa"/>
              <w:bottom w:w="0" w:type="dxa"/>
              <w:right w:w="0" w:type="dxa"/>
            </w:tcMar>
            <w:vAlign w:val="center"/>
          </w:tcPr>
          <w:p w14:paraId="5189D2B9">
            <w:pPr>
              <w:rPr>
                <w:rFonts w:ascii="Times New Roman" w:hAnsi="Times New Roman" w:eastAsia="Times New Roman" w:cs="Times New Roman"/>
                <w:sz w:val="20"/>
                <w:szCs w:val="20"/>
              </w:rPr>
            </w:pPr>
            <w:r>
              <w:rPr>
                <w:rFonts w:ascii="Times New Roman" w:hAnsi="Times New Roman" w:eastAsia="Times New Roman" w:cs="Times New Roman"/>
                <w:sz w:val="20"/>
                <w:szCs w:val="20"/>
              </w:rPr>
              <w:t>MCU</w:t>
            </w:r>
          </w:p>
        </w:tc>
        <w:tc>
          <w:tcPr>
            <w:tcW w:w="1535" w:type="dxa"/>
            <w:tcMar>
              <w:top w:w="0" w:type="dxa"/>
              <w:left w:w="0" w:type="dxa"/>
              <w:bottom w:w="0" w:type="dxa"/>
              <w:right w:w="0" w:type="dxa"/>
            </w:tcMar>
            <w:vAlign w:val="center"/>
          </w:tcPr>
          <w:p w14:paraId="2F65E18B">
            <w:pPr>
              <w:rPr>
                <w:rFonts w:ascii="Times New Roman" w:hAnsi="Times New Roman" w:eastAsia="Times New Roman" w:cs="Times New Roman"/>
                <w:sz w:val="20"/>
                <w:szCs w:val="20"/>
              </w:rPr>
            </w:pPr>
            <w:r>
              <w:rPr>
                <w:rFonts w:ascii="Times New Roman" w:hAnsi="Times New Roman" w:eastAsia="Times New Roman" w:cs="Times New Roman"/>
                <w:sz w:val="20"/>
                <w:szCs w:val="20"/>
              </w:rPr>
              <w:t>Indirect modulation of mitochondrial Ca²⁺ uptake limiting mitochondrial Ca²⁺ overload mitochondrial Ca²⁺ homeostasis through Ca²⁺ extrusion</w:t>
            </w:r>
          </w:p>
        </w:tc>
        <w:tc>
          <w:tcPr>
            <w:tcW w:w="1639" w:type="dxa"/>
            <w:tcMar>
              <w:top w:w="0" w:type="dxa"/>
              <w:left w:w="0" w:type="dxa"/>
              <w:bottom w:w="0" w:type="dxa"/>
              <w:right w:w="0" w:type="dxa"/>
            </w:tcMar>
            <w:vAlign w:val="center"/>
          </w:tcPr>
          <w:p w14:paraId="728A5F45">
            <w:pPr>
              <w:rPr>
                <w:rFonts w:ascii="Times New Roman" w:hAnsi="Times New Roman" w:eastAsia="Times New Roman" w:cs="Times New Roman"/>
                <w:sz w:val="20"/>
                <w:szCs w:val="20"/>
              </w:rPr>
            </w:pPr>
            <w:r>
              <w:rPr>
                <w:rFonts w:ascii="Times New Roman" w:hAnsi="Times New Roman" w:eastAsia="Times New Roman" w:cs="Times New Roman"/>
                <w:sz w:val="20"/>
                <w:szCs w:val="20"/>
              </w:rPr>
              <w:t>Prevention of mitochondrial depolarization and ROS generation</w:t>
            </w:r>
          </w:p>
        </w:tc>
        <w:tc>
          <w:tcPr>
            <w:tcW w:w="1638" w:type="dxa"/>
            <w:tcMar>
              <w:top w:w="0" w:type="dxa"/>
              <w:left w:w="0" w:type="dxa"/>
              <w:bottom w:w="0" w:type="dxa"/>
              <w:right w:w="0" w:type="dxa"/>
            </w:tcMar>
            <w:vAlign w:val="center"/>
          </w:tcPr>
          <w:p w14:paraId="4175C8BC">
            <w:pPr>
              <w:rPr>
                <w:rFonts w:ascii="Times New Roman" w:hAnsi="Times New Roman" w:eastAsia="Times New Roman" w:cs="Times New Roman"/>
                <w:sz w:val="20"/>
                <w:szCs w:val="20"/>
              </w:rPr>
            </w:pPr>
            <w:r>
              <w:rPr>
                <w:rFonts w:ascii="Times New Roman" w:hAnsi="Times New Roman" w:eastAsia="Times New Roman" w:cs="Times New Roman"/>
                <w:sz w:val="20"/>
                <w:szCs w:val="20"/>
              </w:rPr>
              <w:t>[80, 81, 82]</w:t>
            </w:r>
          </w:p>
        </w:tc>
      </w:tr>
      <w:tr w14:paraId="4C75E220">
        <w:tblPrEx>
          <w:tblCellMar>
            <w:top w:w="55" w:type="dxa"/>
            <w:left w:w="55" w:type="dxa"/>
            <w:bottom w:w="55" w:type="dxa"/>
            <w:right w:w="55" w:type="dxa"/>
          </w:tblCellMar>
        </w:tblPrEx>
        <w:tc>
          <w:tcPr>
            <w:tcW w:w="1650" w:type="dxa"/>
            <w:tcMar>
              <w:top w:w="0" w:type="dxa"/>
              <w:left w:w="0" w:type="dxa"/>
              <w:bottom w:w="0" w:type="dxa"/>
              <w:right w:w="0" w:type="dxa"/>
            </w:tcMar>
            <w:vAlign w:val="center"/>
          </w:tcPr>
          <w:p w14:paraId="23A2F382">
            <w:pPr>
              <w:rPr>
                <w:rFonts w:ascii="Times New Roman" w:hAnsi="Times New Roman" w:eastAsia="Times New Roman" w:cs="Times New Roman"/>
                <w:sz w:val="20"/>
                <w:szCs w:val="20"/>
              </w:rPr>
            </w:pPr>
            <w:r>
              <w:rPr>
                <w:rFonts w:ascii="Times New Roman" w:hAnsi="Times New Roman" w:eastAsia="Times New Roman" w:cs="Times New Roman"/>
                <w:sz w:val="20"/>
                <w:szCs w:val="20"/>
              </w:rPr>
              <w:t>Valproic acid</w:t>
            </w:r>
          </w:p>
        </w:tc>
        <w:tc>
          <w:tcPr>
            <w:tcW w:w="1535" w:type="dxa"/>
            <w:tcMar>
              <w:top w:w="0" w:type="dxa"/>
              <w:left w:w="0" w:type="dxa"/>
              <w:bottom w:w="0" w:type="dxa"/>
              <w:right w:w="0" w:type="dxa"/>
            </w:tcMar>
            <w:vAlign w:val="center"/>
          </w:tcPr>
          <w:p w14:paraId="3D648164">
            <w:pPr>
              <w:rPr>
                <w:rFonts w:ascii="Times New Roman" w:hAnsi="Times New Roman" w:eastAsia="Times New Roman" w:cs="Times New Roman"/>
                <w:sz w:val="20"/>
                <w:szCs w:val="20"/>
              </w:rPr>
            </w:pPr>
            <w:r>
              <w:rPr>
                <w:rFonts w:ascii="Times New Roman" w:hAnsi="Times New Roman" w:eastAsia="Times New Roman" w:cs="Times New Roman"/>
                <w:sz w:val="20"/>
                <w:szCs w:val="20"/>
              </w:rPr>
              <w:t>Enhancement of GABAergic transmission and modulation of Na⁺ and Ca²⁺ channels</w:t>
            </w:r>
          </w:p>
        </w:tc>
        <w:tc>
          <w:tcPr>
            <w:tcW w:w="1649" w:type="dxa"/>
            <w:tcMar>
              <w:top w:w="0" w:type="dxa"/>
              <w:left w:w="0" w:type="dxa"/>
              <w:bottom w:w="0" w:type="dxa"/>
              <w:right w:w="0" w:type="dxa"/>
            </w:tcMar>
            <w:vAlign w:val="center"/>
          </w:tcPr>
          <w:p w14:paraId="53C4B7E3">
            <w:pPr>
              <w:rPr>
                <w:rFonts w:ascii="Times New Roman" w:hAnsi="Times New Roman" w:eastAsia="Times New Roman" w:cs="Times New Roman"/>
                <w:sz w:val="20"/>
                <w:szCs w:val="20"/>
              </w:rPr>
            </w:pPr>
            <w:r>
              <w:rPr>
                <w:rFonts w:ascii="Times New Roman" w:hAnsi="Times New Roman" w:eastAsia="Times New Roman" w:cs="Times New Roman"/>
                <w:sz w:val="20"/>
                <w:szCs w:val="20"/>
              </w:rPr>
              <w:t>mPTP / NCLX</w:t>
            </w:r>
          </w:p>
        </w:tc>
        <w:tc>
          <w:tcPr>
            <w:tcW w:w="1535" w:type="dxa"/>
            <w:tcMar>
              <w:top w:w="0" w:type="dxa"/>
              <w:left w:w="0" w:type="dxa"/>
              <w:bottom w:w="0" w:type="dxa"/>
              <w:right w:w="0" w:type="dxa"/>
            </w:tcMar>
            <w:vAlign w:val="center"/>
          </w:tcPr>
          <w:p w14:paraId="3CCF6225">
            <w:pPr>
              <w:rPr>
                <w:rFonts w:ascii="Times New Roman" w:hAnsi="Times New Roman" w:eastAsia="Times New Roman" w:cs="Times New Roman"/>
                <w:sz w:val="20"/>
                <w:szCs w:val="20"/>
              </w:rPr>
            </w:pPr>
            <w:r>
              <w:rPr>
                <w:rFonts w:ascii="Times New Roman" w:hAnsi="Times New Roman" w:eastAsia="Times New Roman" w:cs="Times New Roman"/>
                <w:sz w:val="20"/>
                <w:szCs w:val="20"/>
              </w:rPr>
              <w:t>Antioxidant effects and stabilization of mitochondrial Ca²⁺ homeostasis preventing mPTP opening</w:t>
            </w:r>
          </w:p>
        </w:tc>
        <w:tc>
          <w:tcPr>
            <w:tcW w:w="1639" w:type="dxa"/>
            <w:tcMar>
              <w:top w:w="0" w:type="dxa"/>
              <w:left w:w="0" w:type="dxa"/>
              <w:bottom w:w="0" w:type="dxa"/>
              <w:right w:w="0" w:type="dxa"/>
            </w:tcMar>
            <w:vAlign w:val="center"/>
          </w:tcPr>
          <w:p w14:paraId="7AF507BE">
            <w:pPr>
              <w:rPr>
                <w:rFonts w:ascii="Times New Roman" w:hAnsi="Times New Roman" w:eastAsia="Times New Roman" w:cs="Times New Roman"/>
                <w:sz w:val="20"/>
                <w:szCs w:val="20"/>
              </w:rPr>
            </w:pPr>
            <w:r>
              <w:rPr>
                <w:rFonts w:ascii="Times New Roman" w:hAnsi="Times New Roman" w:eastAsia="Times New Roman" w:cs="Times New Roman"/>
                <w:sz w:val="20"/>
                <w:szCs w:val="20"/>
              </w:rPr>
              <w:t>Preservation of mitochondrial membrane potential and reduced oxidative stress</w:t>
            </w:r>
          </w:p>
        </w:tc>
        <w:tc>
          <w:tcPr>
            <w:tcW w:w="1638" w:type="dxa"/>
            <w:tcMar>
              <w:top w:w="0" w:type="dxa"/>
              <w:left w:w="0" w:type="dxa"/>
              <w:bottom w:w="0" w:type="dxa"/>
              <w:right w:w="0" w:type="dxa"/>
            </w:tcMar>
            <w:vAlign w:val="center"/>
          </w:tcPr>
          <w:p w14:paraId="25371037">
            <w:pPr>
              <w:rPr>
                <w:rFonts w:ascii="Times New Roman" w:hAnsi="Times New Roman" w:eastAsia="Times New Roman" w:cs="Times New Roman"/>
                <w:sz w:val="20"/>
                <w:szCs w:val="20"/>
              </w:rPr>
            </w:pPr>
            <w:r>
              <w:rPr>
                <w:rFonts w:ascii="Times New Roman" w:hAnsi="Times New Roman" w:eastAsia="Times New Roman" w:cs="Times New Roman"/>
                <w:sz w:val="20"/>
                <w:szCs w:val="20"/>
              </w:rPr>
              <w:t>[76, 84, 85]</w:t>
            </w:r>
          </w:p>
        </w:tc>
      </w:tr>
      <w:tr w14:paraId="447EA97A">
        <w:tblPrEx>
          <w:tblCellMar>
            <w:top w:w="55" w:type="dxa"/>
            <w:left w:w="55" w:type="dxa"/>
            <w:bottom w:w="55" w:type="dxa"/>
            <w:right w:w="55" w:type="dxa"/>
          </w:tblCellMar>
        </w:tblPrEx>
        <w:tc>
          <w:tcPr>
            <w:tcW w:w="1650" w:type="dxa"/>
            <w:tcMar>
              <w:top w:w="0" w:type="dxa"/>
              <w:left w:w="0" w:type="dxa"/>
              <w:bottom w:w="0" w:type="dxa"/>
              <w:right w:w="0" w:type="dxa"/>
            </w:tcMar>
            <w:vAlign w:val="center"/>
          </w:tcPr>
          <w:p w14:paraId="6170BECA">
            <w:pPr>
              <w:rPr>
                <w:rFonts w:ascii="Times New Roman" w:hAnsi="Times New Roman" w:eastAsia="Times New Roman" w:cs="Times New Roman"/>
                <w:sz w:val="20"/>
                <w:szCs w:val="20"/>
              </w:rPr>
            </w:pPr>
            <w:r>
              <w:rPr>
                <w:rFonts w:ascii="Times New Roman" w:hAnsi="Times New Roman" w:eastAsia="Times New Roman" w:cs="Times New Roman"/>
                <w:sz w:val="20"/>
                <w:szCs w:val="20"/>
              </w:rPr>
              <w:t>Levetiracetam</w:t>
            </w:r>
          </w:p>
        </w:tc>
        <w:tc>
          <w:tcPr>
            <w:tcW w:w="1535" w:type="dxa"/>
            <w:tcMar>
              <w:top w:w="0" w:type="dxa"/>
              <w:left w:w="0" w:type="dxa"/>
              <w:bottom w:w="0" w:type="dxa"/>
              <w:right w:w="0" w:type="dxa"/>
            </w:tcMar>
            <w:vAlign w:val="center"/>
          </w:tcPr>
          <w:p w14:paraId="3D542B11">
            <w:pPr>
              <w:rPr>
                <w:rFonts w:ascii="Times New Roman" w:hAnsi="Times New Roman" w:eastAsia="Times New Roman" w:cs="Times New Roman"/>
                <w:sz w:val="20"/>
                <w:szCs w:val="20"/>
              </w:rPr>
            </w:pPr>
            <w:r>
              <w:rPr>
                <w:rFonts w:ascii="Times New Roman" w:hAnsi="Times New Roman" w:eastAsia="Times New Roman" w:cs="Times New Roman"/>
                <w:sz w:val="20"/>
                <w:szCs w:val="20"/>
              </w:rPr>
              <w:t>Binding to synaptic vesicle protein SV2A reducing presynaptic Ca²⁺ influx</w:t>
            </w:r>
          </w:p>
        </w:tc>
        <w:tc>
          <w:tcPr>
            <w:tcW w:w="1649" w:type="dxa"/>
            <w:tcMar>
              <w:top w:w="0" w:type="dxa"/>
              <w:left w:w="0" w:type="dxa"/>
              <w:bottom w:w="0" w:type="dxa"/>
              <w:right w:w="0" w:type="dxa"/>
            </w:tcMar>
            <w:vAlign w:val="center"/>
          </w:tcPr>
          <w:p w14:paraId="6105034A">
            <w:pPr>
              <w:rPr>
                <w:rFonts w:ascii="Times New Roman" w:hAnsi="Times New Roman" w:eastAsia="Times New Roman" w:cs="Times New Roman"/>
                <w:sz w:val="20"/>
                <w:szCs w:val="20"/>
              </w:rPr>
            </w:pPr>
            <w:r>
              <w:rPr>
                <w:rFonts w:ascii="Times New Roman" w:hAnsi="Times New Roman" w:eastAsia="Times New Roman" w:cs="Times New Roman"/>
                <w:sz w:val="20"/>
                <w:szCs w:val="20"/>
              </w:rPr>
              <w:t>Ca²⁺ handling (indirect)</w:t>
            </w:r>
          </w:p>
        </w:tc>
        <w:tc>
          <w:tcPr>
            <w:tcW w:w="1535" w:type="dxa"/>
            <w:tcMar>
              <w:top w:w="0" w:type="dxa"/>
              <w:left w:w="0" w:type="dxa"/>
              <w:bottom w:w="0" w:type="dxa"/>
              <w:right w:w="0" w:type="dxa"/>
            </w:tcMar>
            <w:vAlign w:val="center"/>
          </w:tcPr>
          <w:p w14:paraId="185C1F1A">
            <w:pPr>
              <w:rPr>
                <w:rFonts w:ascii="Times New Roman" w:hAnsi="Times New Roman" w:eastAsia="Times New Roman" w:cs="Times New Roman"/>
                <w:sz w:val="20"/>
                <w:szCs w:val="20"/>
              </w:rPr>
            </w:pPr>
            <w:r>
              <w:rPr>
                <w:rFonts w:ascii="Times New Roman" w:hAnsi="Times New Roman" w:eastAsia="Times New Roman" w:cs="Times New Roman"/>
                <w:sz w:val="20"/>
                <w:szCs w:val="20"/>
              </w:rPr>
              <w:t>Reduction of presynaptic Ca²⁺ influx indirectly preventing mitochondrial Ca²⁺ overload</w:t>
            </w:r>
          </w:p>
        </w:tc>
        <w:tc>
          <w:tcPr>
            <w:tcW w:w="1639" w:type="dxa"/>
            <w:tcMar>
              <w:top w:w="0" w:type="dxa"/>
              <w:left w:w="0" w:type="dxa"/>
              <w:bottom w:w="0" w:type="dxa"/>
              <w:right w:w="0" w:type="dxa"/>
            </w:tcMar>
            <w:vAlign w:val="center"/>
          </w:tcPr>
          <w:p w14:paraId="2121ED88">
            <w:pPr>
              <w:rPr>
                <w:rFonts w:ascii="Times New Roman" w:hAnsi="Times New Roman" w:eastAsia="Times New Roman" w:cs="Times New Roman"/>
                <w:sz w:val="20"/>
                <w:szCs w:val="20"/>
              </w:rPr>
            </w:pPr>
            <w:r>
              <w:rPr>
                <w:rFonts w:ascii="Times New Roman" w:hAnsi="Times New Roman" w:eastAsia="Times New Roman" w:cs="Times New Roman"/>
                <w:sz w:val="20"/>
                <w:szCs w:val="20"/>
              </w:rPr>
              <w:t>Improved coupling between synaptic activity and mitochondrial metabolism</w:t>
            </w:r>
          </w:p>
        </w:tc>
        <w:tc>
          <w:tcPr>
            <w:tcW w:w="1638" w:type="dxa"/>
            <w:tcMar>
              <w:top w:w="0" w:type="dxa"/>
              <w:left w:w="0" w:type="dxa"/>
              <w:bottom w:w="0" w:type="dxa"/>
              <w:right w:w="0" w:type="dxa"/>
            </w:tcMar>
            <w:vAlign w:val="center"/>
          </w:tcPr>
          <w:p w14:paraId="2DA24004">
            <w:pPr>
              <w:rPr>
                <w:rFonts w:ascii="Times New Roman" w:hAnsi="Times New Roman" w:eastAsia="Times New Roman" w:cs="Times New Roman"/>
                <w:sz w:val="20"/>
                <w:szCs w:val="20"/>
              </w:rPr>
            </w:pPr>
            <w:r>
              <w:rPr>
                <w:rFonts w:ascii="Times New Roman" w:hAnsi="Times New Roman" w:eastAsia="Times New Roman" w:cs="Times New Roman"/>
                <w:sz w:val="20"/>
                <w:szCs w:val="20"/>
              </w:rPr>
              <w:t>[88, 89, 90]</w:t>
            </w:r>
          </w:p>
        </w:tc>
      </w:tr>
      <w:tr w14:paraId="546FDAD5">
        <w:tblPrEx>
          <w:tblCellMar>
            <w:top w:w="55" w:type="dxa"/>
            <w:left w:w="55" w:type="dxa"/>
            <w:bottom w:w="55" w:type="dxa"/>
            <w:right w:w="55" w:type="dxa"/>
          </w:tblCellMar>
        </w:tblPrEx>
        <w:tc>
          <w:tcPr>
            <w:tcW w:w="1650" w:type="dxa"/>
            <w:tcMar>
              <w:top w:w="0" w:type="dxa"/>
              <w:left w:w="0" w:type="dxa"/>
              <w:bottom w:w="0" w:type="dxa"/>
              <w:right w:w="0" w:type="dxa"/>
            </w:tcMar>
            <w:vAlign w:val="center"/>
          </w:tcPr>
          <w:p w14:paraId="4A3886DC">
            <w:pPr>
              <w:rPr>
                <w:rFonts w:ascii="Times New Roman" w:hAnsi="Times New Roman" w:eastAsia="Times New Roman" w:cs="Times New Roman"/>
                <w:sz w:val="20"/>
                <w:szCs w:val="20"/>
              </w:rPr>
            </w:pPr>
            <w:r>
              <w:rPr>
                <w:rFonts w:ascii="Times New Roman" w:hAnsi="Times New Roman" w:eastAsia="Times New Roman" w:cs="Times New Roman"/>
                <w:sz w:val="20"/>
                <w:szCs w:val="20"/>
              </w:rPr>
              <w:t>Diazoxide</w:t>
            </w:r>
          </w:p>
        </w:tc>
        <w:tc>
          <w:tcPr>
            <w:tcW w:w="1535" w:type="dxa"/>
            <w:tcMar>
              <w:top w:w="0" w:type="dxa"/>
              <w:left w:w="0" w:type="dxa"/>
              <w:bottom w:w="0" w:type="dxa"/>
              <w:right w:w="0" w:type="dxa"/>
            </w:tcMar>
            <w:vAlign w:val="center"/>
          </w:tcPr>
          <w:p w14:paraId="759A8215">
            <w:pPr>
              <w:rPr>
                <w:rFonts w:ascii="Times New Roman" w:hAnsi="Times New Roman" w:eastAsia="Times New Roman" w:cs="Times New Roman"/>
                <w:sz w:val="20"/>
                <w:szCs w:val="20"/>
              </w:rPr>
            </w:pPr>
            <w:r>
              <w:rPr>
                <w:rFonts w:ascii="Times New Roman" w:hAnsi="Times New Roman" w:eastAsia="Times New Roman" w:cs="Times New Roman"/>
                <w:sz w:val="20"/>
                <w:szCs w:val="20"/>
              </w:rPr>
              <w:t>Activation of ATP-sensitive potassium channels</w:t>
            </w:r>
          </w:p>
        </w:tc>
        <w:tc>
          <w:tcPr>
            <w:tcW w:w="1649" w:type="dxa"/>
            <w:tcMar>
              <w:top w:w="0" w:type="dxa"/>
              <w:left w:w="0" w:type="dxa"/>
              <w:bottom w:w="0" w:type="dxa"/>
              <w:right w:w="0" w:type="dxa"/>
            </w:tcMar>
            <w:vAlign w:val="center"/>
          </w:tcPr>
          <w:p w14:paraId="437D4981">
            <w:pPr>
              <w:rPr>
                <w:rFonts w:ascii="Times New Roman" w:hAnsi="Times New Roman" w:eastAsia="Times New Roman" w:cs="Times New Roman"/>
                <w:sz w:val="20"/>
                <w:szCs w:val="20"/>
              </w:rPr>
            </w:pPr>
            <w:r>
              <w:rPr>
                <w:rFonts w:ascii="Times New Roman" w:hAnsi="Times New Roman" w:eastAsia="Times New Roman" w:cs="Times New Roman"/>
                <w:sz w:val="20"/>
                <w:szCs w:val="20"/>
              </w:rPr>
              <w:t>mitoKATP</w:t>
            </w:r>
          </w:p>
        </w:tc>
        <w:tc>
          <w:tcPr>
            <w:tcW w:w="1535" w:type="dxa"/>
            <w:tcMar>
              <w:top w:w="0" w:type="dxa"/>
              <w:left w:w="0" w:type="dxa"/>
              <w:bottom w:w="0" w:type="dxa"/>
              <w:right w:w="0" w:type="dxa"/>
            </w:tcMar>
            <w:vAlign w:val="center"/>
          </w:tcPr>
          <w:p w14:paraId="3879A6AA">
            <w:pPr>
              <w:rPr>
                <w:rFonts w:ascii="Times New Roman" w:hAnsi="Times New Roman" w:eastAsia="Times New Roman" w:cs="Times New Roman"/>
                <w:sz w:val="20"/>
                <w:szCs w:val="20"/>
              </w:rPr>
            </w:pPr>
            <w:r>
              <w:rPr>
                <w:rFonts w:ascii="Times New Roman" w:hAnsi="Times New Roman" w:eastAsia="Times New Roman" w:cs="Times New Roman"/>
                <w:sz w:val="20"/>
                <w:szCs w:val="20"/>
              </w:rPr>
              <w:t>Pharmacological activation of mitochondrial KATP channels producing mild mitochondrial depolarization</w:t>
            </w:r>
          </w:p>
        </w:tc>
        <w:tc>
          <w:tcPr>
            <w:tcW w:w="1639" w:type="dxa"/>
            <w:tcMar>
              <w:top w:w="0" w:type="dxa"/>
              <w:left w:w="0" w:type="dxa"/>
              <w:bottom w:w="0" w:type="dxa"/>
              <w:right w:w="0" w:type="dxa"/>
            </w:tcMar>
            <w:vAlign w:val="center"/>
          </w:tcPr>
          <w:p w14:paraId="2DFBA891">
            <w:pPr>
              <w:rPr>
                <w:rFonts w:ascii="Times New Roman" w:hAnsi="Times New Roman" w:eastAsia="Times New Roman" w:cs="Times New Roman"/>
                <w:sz w:val="20"/>
                <w:szCs w:val="20"/>
              </w:rPr>
            </w:pPr>
            <w:r>
              <w:rPr>
                <w:rFonts w:ascii="Times New Roman" w:hAnsi="Times New Roman" w:eastAsia="Times New Roman" w:cs="Times New Roman"/>
                <w:sz w:val="20"/>
                <w:szCs w:val="20"/>
              </w:rPr>
              <w:t>Reduction of ROS production and enhancement of neuronal survival</w:t>
            </w:r>
          </w:p>
        </w:tc>
        <w:tc>
          <w:tcPr>
            <w:tcW w:w="1638" w:type="dxa"/>
            <w:tcMar>
              <w:top w:w="0" w:type="dxa"/>
              <w:left w:w="0" w:type="dxa"/>
              <w:bottom w:w="0" w:type="dxa"/>
              <w:right w:w="0" w:type="dxa"/>
            </w:tcMar>
            <w:vAlign w:val="center"/>
          </w:tcPr>
          <w:p w14:paraId="2A7E903A">
            <w:pPr>
              <w:rPr>
                <w:rFonts w:ascii="Times New Roman" w:hAnsi="Times New Roman" w:eastAsia="Times New Roman" w:cs="Times New Roman"/>
                <w:sz w:val="20"/>
                <w:szCs w:val="20"/>
              </w:rPr>
            </w:pPr>
            <w:r>
              <w:rPr>
                <w:rFonts w:ascii="Times New Roman" w:hAnsi="Times New Roman" w:eastAsia="Times New Roman" w:cs="Times New Roman"/>
                <w:sz w:val="20"/>
                <w:szCs w:val="20"/>
              </w:rPr>
              <w:t>[71, 91, 93]</w:t>
            </w:r>
          </w:p>
        </w:tc>
      </w:tr>
      <w:tr w14:paraId="461B5C99">
        <w:tblPrEx>
          <w:tblCellMar>
            <w:top w:w="55" w:type="dxa"/>
            <w:left w:w="55" w:type="dxa"/>
            <w:bottom w:w="55" w:type="dxa"/>
            <w:right w:w="55" w:type="dxa"/>
          </w:tblCellMar>
        </w:tblPrEx>
        <w:tc>
          <w:tcPr>
            <w:tcW w:w="1650" w:type="dxa"/>
            <w:tcBorders>
              <w:bottom w:val="single" w:color="000000" w:sz="4" w:space="0"/>
            </w:tcBorders>
            <w:vAlign w:val="center"/>
          </w:tcPr>
          <w:p w14:paraId="622B0E72">
            <w:pPr>
              <w:rPr>
                <w:rFonts w:ascii="Times New Roman" w:hAnsi="Times New Roman" w:eastAsia="Times New Roman" w:cs="Times New Roman"/>
                <w:sz w:val="20"/>
                <w:szCs w:val="20"/>
              </w:rPr>
            </w:pPr>
            <w:r>
              <w:rPr>
                <w:rFonts w:ascii="Times New Roman" w:hAnsi="Times New Roman" w:eastAsia="Times New Roman" w:cs="Times New Roman"/>
                <w:sz w:val="20"/>
                <w:szCs w:val="20"/>
              </w:rPr>
              <w:t>Retigabine</w:t>
            </w:r>
          </w:p>
        </w:tc>
        <w:tc>
          <w:tcPr>
            <w:tcW w:w="1535" w:type="dxa"/>
            <w:tcBorders>
              <w:bottom w:val="single" w:color="000000" w:sz="4" w:space="0"/>
            </w:tcBorders>
            <w:vAlign w:val="center"/>
          </w:tcPr>
          <w:p w14:paraId="28D608ED">
            <w:pPr>
              <w:rPr>
                <w:rFonts w:ascii="Times New Roman" w:hAnsi="Times New Roman" w:eastAsia="Times New Roman" w:cs="Times New Roman"/>
                <w:sz w:val="20"/>
                <w:szCs w:val="20"/>
              </w:rPr>
            </w:pPr>
            <w:r>
              <w:rPr>
                <w:rFonts w:ascii="Times New Roman" w:hAnsi="Times New Roman" w:eastAsia="Times New Roman" w:cs="Times New Roman"/>
                <w:sz w:val="20"/>
                <w:szCs w:val="20"/>
              </w:rPr>
              <w:t>Activation of Kv7 (KCNQ) voltage-gated potassium channels</w:t>
            </w:r>
          </w:p>
        </w:tc>
        <w:tc>
          <w:tcPr>
            <w:tcW w:w="1649" w:type="dxa"/>
            <w:tcBorders>
              <w:bottom w:val="single" w:color="000000" w:sz="4" w:space="0"/>
            </w:tcBorders>
            <w:vAlign w:val="center"/>
          </w:tcPr>
          <w:p w14:paraId="362139F3">
            <w:pPr>
              <w:rPr>
                <w:rFonts w:ascii="Times New Roman" w:hAnsi="Times New Roman" w:eastAsia="Times New Roman" w:cs="Times New Roman"/>
                <w:sz w:val="20"/>
                <w:szCs w:val="20"/>
              </w:rPr>
            </w:pPr>
            <w:r>
              <w:rPr>
                <w:rFonts w:ascii="Times New Roman" w:hAnsi="Times New Roman" w:eastAsia="Times New Roman" w:cs="Times New Roman"/>
                <w:sz w:val="20"/>
                <w:szCs w:val="20"/>
              </w:rPr>
              <w:t>mitoKATP</w:t>
            </w:r>
          </w:p>
        </w:tc>
        <w:tc>
          <w:tcPr>
            <w:tcW w:w="1535" w:type="dxa"/>
            <w:tcBorders>
              <w:bottom w:val="single" w:color="000000" w:sz="4" w:space="0"/>
            </w:tcBorders>
            <w:vAlign w:val="center"/>
          </w:tcPr>
          <w:p w14:paraId="33B8EE8D">
            <w:pPr>
              <w:rPr>
                <w:rFonts w:ascii="Times New Roman" w:hAnsi="Times New Roman" w:eastAsia="Times New Roman" w:cs="Times New Roman"/>
                <w:sz w:val="20"/>
                <w:szCs w:val="20"/>
              </w:rPr>
            </w:pPr>
            <w:r>
              <w:rPr>
                <w:rFonts w:ascii="Times New Roman" w:hAnsi="Times New Roman" w:eastAsia="Times New Roman" w:cs="Times New Roman"/>
                <w:sz w:val="20"/>
                <w:szCs w:val="20"/>
              </w:rPr>
              <w:t>Modulation of mitochondrial potassium flux stabilizing mitochondrial membrane potential</w:t>
            </w:r>
          </w:p>
        </w:tc>
        <w:tc>
          <w:tcPr>
            <w:tcW w:w="1639" w:type="dxa"/>
            <w:tcBorders>
              <w:bottom w:val="single" w:color="000000" w:sz="4" w:space="0"/>
            </w:tcBorders>
            <w:vAlign w:val="center"/>
          </w:tcPr>
          <w:p w14:paraId="58A477CE">
            <w:pPr>
              <w:rPr>
                <w:rFonts w:ascii="Times New Roman" w:hAnsi="Times New Roman" w:eastAsia="Times New Roman" w:cs="Times New Roman"/>
                <w:sz w:val="20"/>
                <w:szCs w:val="20"/>
              </w:rPr>
            </w:pPr>
            <w:r>
              <w:rPr>
                <w:rFonts w:ascii="Times New Roman" w:hAnsi="Times New Roman" w:eastAsia="Times New Roman" w:cs="Times New Roman"/>
                <w:sz w:val="20"/>
                <w:szCs w:val="20"/>
              </w:rPr>
              <w:t>Decreased oxidative stress and improved mitochondrial resilience</w:t>
            </w:r>
          </w:p>
        </w:tc>
        <w:tc>
          <w:tcPr>
            <w:tcW w:w="1638" w:type="dxa"/>
            <w:tcBorders>
              <w:bottom w:val="single" w:color="000000" w:sz="4" w:space="0"/>
            </w:tcBorders>
            <w:vAlign w:val="center"/>
          </w:tcPr>
          <w:p w14:paraId="3894F8D9">
            <w:pPr>
              <w:rPr>
                <w:rFonts w:ascii="Times New Roman" w:hAnsi="Times New Roman" w:eastAsia="Times New Roman" w:cs="Times New Roman"/>
                <w:sz w:val="20"/>
                <w:szCs w:val="20"/>
              </w:rPr>
            </w:pPr>
            <w:r>
              <w:rPr>
                <w:rFonts w:ascii="Times New Roman" w:hAnsi="Times New Roman" w:eastAsia="Times New Roman" w:cs="Times New Roman"/>
                <w:sz w:val="20"/>
                <w:szCs w:val="20"/>
              </w:rPr>
              <w:t>[95, 96, 117]</w:t>
            </w:r>
          </w:p>
        </w:tc>
      </w:tr>
    </w:tbl>
    <w:p w14:paraId="22BC232A">
      <w:pPr>
        <w:spacing w:after="0" w:line="360" w:lineRule="auto"/>
        <w:jc w:val="both"/>
        <w:rPr>
          <w:rFonts w:ascii="Times New Roman" w:hAnsi="Times New Roman" w:eastAsia="Times New Roman" w:cs="Times New Roman"/>
          <w:sz w:val="24"/>
          <w:szCs w:val="24"/>
        </w:rPr>
      </w:pPr>
    </w:p>
    <w:p w14:paraId="269DC3F9">
      <w:pPr>
        <w:spacing w:after="0" w:line="360"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Classical mechanisms of action of selected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highlight w:val="yellow"/>
        </w:rPr>
        <w:t>antiseizure medications</w:t>
      </w:r>
      <w:r>
        <w:rPr>
          <w:rFonts w:ascii="Times New Roman" w:hAnsi="Times New Roman" w:eastAsia="Times New Roman" w:cs="Times New Roman"/>
          <w:sz w:val="19"/>
          <w:szCs w:val="19"/>
        </w:rPr>
        <w:t xml:space="preserve"> alongside their proposed mitochondrial targets, underlying molecular mechanisms, and functional consequences for mitochondrial integrity and neuronal survival. Abbreviations: VDAC1, voltage-dependent anion channel 1; MCU, mitochondrial calcium uniporter; NCLX, mitochondrial Na⁺/Ca²⁺ exchanger; mPTP, mitochondrial permeability transition pore; mitoKATP, mitochondrial ATP-sensitive potassium channel; SV2A, synaptic vesicle glycoprotein 2A; ROS, reactive oxygen species; Na⁺, sodium ion; Ca²⁺, calcium ion; K⁺, potassium ion.</w:t>
      </w:r>
    </w:p>
    <w:p w14:paraId="0D73E666">
      <w:pPr>
        <w:spacing w:after="0" w:line="360" w:lineRule="auto"/>
        <w:jc w:val="both"/>
        <w:rPr>
          <w:rFonts w:ascii="Times New Roman" w:hAnsi="Times New Roman" w:eastAsia="Times New Roman" w:cs="Times New Roman"/>
          <w:sz w:val="24"/>
          <w:szCs w:val="24"/>
        </w:rPr>
      </w:pPr>
    </w:p>
    <w:p w14:paraId="325AA0B6">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8. Pharmacological Implications and Future Considerations</w:t>
      </w:r>
    </w:p>
    <w:p w14:paraId="59D42ECC">
      <w:pPr>
        <w:spacing w:after="0" w:line="360" w:lineRule="auto"/>
        <w:jc w:val="both"/>
        <w:rPr>
          <w:rFonts w:ascii="Times New Roman" w:hAnsi="Times New Roman" w:eastAsia="Times New Roman" w:cs="Times New Roman"/>
          <w:sz w:val="24"/>
          <w:szCs w:val="24"/>
        </w:rPr>
      </w:pPr>
    </w:p>
    <w:p w14:paraId="3C14294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recognition of mitochondrial channels as secondary therapeutic targets has emerged as a new paradigm in the neuropharmacology of epilepsy, as mitochondrial dysfunction directly contributes to neuronal hyperexcitability and susceptibility to seizures [17,45,126]. Experimental data indicate that alterations in mitochondrial calcium homeostasis, ATP synthesis, and mitochondrial membrane potential regulation promote the pathological neuronal synchronization characteristic of seizures [12,75]. Specifically, the mPTP, MCU, and VDAC play critical roles in regulating neuronal survival during epileptiform activity  [37,48,58,66]. Compounds specifically targeting mitochondrial function have demonstrated efficacy in reducing seizure severity in animal models by regulating bioenergetics and attenuating neuronal oxidative stress [76,127]. Several established </w:t>
      </w:r>
      <w:r>
        <w:rPr>
          <w:rFonts w:ascii="Times New Roman" w:hAnsi="Times New Roman" w:eastAsia="Times New Roman" w:cs="Times New Roman"/>
          <w:sz w:val="24"/>
          <w:szCs w:val="24"/>
          <w:highlight w:val="yellow"/>
        </w:rPr>
        <w:t>antiseizure medications</w:t>
      </w:r>
      <w:r>
        <w:rPr>
          <w:rFonts w:ascii="Times New Roman" w:hAnsi="Times New Roman" w:eastAsia="Times New Roman" w:cs="Times New Roman"/>
          <w:sz w:val="24"/>
          <w:szCs w:val="24"/>
        </w:rPr>
        <w:t xml:space="preserve">, including valproate, levetiracetam, and topiramate, achieve their therapeutic effects in part by indirectly modulating mitochondrial metabolism and reducing ROS levels [33]. In addition, mitochondrially targeted antioxidants such as mitoquinone mesylate (MitoQ) and elamipretide (SS-31) have shown neuroprotective properties by preserving respiratory chain integrity and limiting seizure-induced apoptotic activation [128,129]. The development of mitochondrially targeted </w:t>
      </w:r>
      <w:r>
        <w:rPr>
          <w:rFonts w:ascii="Times New Roman" w:hAnsi="Times New Roman" w:eastAsia="Times New Roman" w:cs="Times New Roman"/>
          <w:sz w:val="24"/>
          <w:szCs w:val="24"/>
          <w:highlight w:val="yellow"/>
        </w:rPr>
        <w:t xml:space="preserve">antiseizure </w:t>
      </w:r>
      <w:r>
        <w:rPr>
          <w:rFonts w:ascii="Times New Roman" w:hAnsi="Times New Roman" w:eastAsia="Times New Roman" w:cs="Times New Roman"/>
          <w:sz w:val="24"/>
          <w:szCs w:val="24"/>
        </w:rPr>
        <w:t xml:space="preserve">agents represents a promising research avenue aimed at selectively restoring neuronal energy balance while preserving physiological neurotransmission [130]. </w:t>
      </w:r>
    </w:p>
    <w:p w14:paraId="6C80EC46">
      <w:pPr>
        <w:spacing w:after="0" w:line="360" w:lineRule="auto"/>
        <w:jc w:val="both"/>
        <w:rPr>
          <w:rFonts w:ascii="Times New Roman" w:hAnsi="Times New Roman" w:eastAsia="Times New Roman" w:cs="Times New Roman"/>
          <w:sz w:val="24"/>
          <w:szCs w:val="24"/>
        </w:rPr>
      </w:pPr>
    </w:p>
    <w:p w14:paraId="28F524F4">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Nevertheless, the same mitochondrial interactions that contribute to ASM efficacy may also explain part of their adverse effect profiles, particularly when therapeutic windows are exceeded or when underlying mitochondrial dysfunction coexists. Valproate exemplifies this dual nature. At therapeutic concentrations it stabilizes NCLX function and limits mPTP opening, yet it also inhibits mitochondrial β-oxidation, sequesters coenzyme A as valproyl-CoA esters, depletes intracellular carnitine, and inhibits α-ketoglutarate dehydrogenase. Together, these actions impair oxidative phosphorylation and underlie its hepatotoxicity, hyperammonemic encephalopathy, and microvesicular steatosis [76,138]. Recessive POLG variants further increase the risk of fatal valproate-induced hepatotoxicity (odds ratio ~23.6) and represent the only ASM–mitochondrial axis with robust human causal evidence, leading to an FDA contraindication in patients with confirmed POLG-related disease [139,140]. Phenytoin and carbamazepine also show dose-dependent inhibition of the mitochondrial respiratory chain in hepatocyte models. Phenytoin behaves as a Complex I inhibitor, whereas carbamazepine acts as a respiratory substrate inhibitor [76,138]. These effects may contribute to chronic phenytoin-associated cerebellar dysfunction and to the rare hepatocellular injury reported with carbamazepine. By contrast, several adverse events of mitoKATP-targeting agents arise mainly from non-mitochondrial targets. Diazoxide-induced hyperglycemia and hypotension, as well as the cutaneous and retinal pigmentation that prompted retigabine's withdrawal in 2017, illustrate that ASM toxicity cannot be reduced exclusively to mitochondrial mechanisms. Mitochondrial channel modulation therefore acts as a double-edged sword in ASM pharmacology. It is bioenergetically protective within the therapeutic range yet potentially harmful under supratherapeutic exposure, polytherapy, or pre-existing mitochondrial vulnerability. This reinforces the rationale for individualized prescribing and for the development of more selective mitochondrial-targeted strategies.</w:t>
      </w:r>
    </w:p>
    <w:p w14:paraId="5F97714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These approaches specifically target the modulation of mitochondrial Ca²⁺ handling to prevent calcium overload, which precipitates excitotoxicity and neuronal death during status epilepticus [39,57]. Similarly, pharmacological modulation of the mitochondrial redox state has been proposed as a critical strategy to break the detrimental cycle between oxidative stress and synaptic dysfunction observed in chronic epilepsy [131]. Preservation of the mitochondrial membrane potential has been shown to inhibit cytochrome c release and prevent the initiation of apoptotic cascades associated with progressive neuronal injury [132]. The identification of mitochondrial biomarkers is gaining increasing relevance for understanding the clinical heterogeneity of epilepsy and predicting treatment responses [133]. Alterations in energy metabolites, circulating mitochondrial DNA levels, and oxidative stress markers have been proposed as candidate biomarkers of mitochondrial dysfunction in patients with epilepsy [134,135]. Such biomarkers may allow patient stratification according to metabolic profiles and facilitate the development of personalized therapeutic strategies targeting specific pathophysiological mechanisms [136]. The convergence of mitochondrial pharmacology, metabolic biomarkers, and targeted therapies suggests that the future of </w:t>
      </w:r>
      <w:r>
        <w:rPr>
          <w:rFonts w:ascii="Times New Roman" w:hAnsi="Times New Roman" w:eastAsia="Times New Roman" w:cs="Times New Roman"/>
          <w:sz w:val="24"/>
          <w:szCs w:val="24"/>
          <w:highlight w:val="yellow"/>
        </w:rPr>
        <w:t xml:space="preserve">antiseizure </w:t>
      </w:r>
      <w:r>
        <w:rPr>
          <w:rFonts w:ascii="Times New Roman" w:hAnsi="Times New Roman" w:eastAsia="Times New Roman" w:cs="Times New Roman"/>
          <w:sz w:val="24"/>
          <w:szCs w:val="24"/>
        </w:rPr>
        <w:t xml:space="preserve">treatment may center on neuroprotective interventions capable of both controlling seizures and modifying disease progression [137].  </w:t>
      </w:r>
    </w:p>
    <w:p w14:paraId="4FE21D1E">
      <w:pPr>
        <w:spacing w:after="0" w:line="360" w:lineRule="auto"/>
        <w:jc w:val="both"/>
        <w:rPr>
          <w:rFonts w:ascii="Times New Roman" w:hAnsi="Times New Roman" w:eastAsia="Times New Roman" w:cs="Times New Roman"/>
          <w:sz w:val="24"/>
          <w:szCs w:val="24"/>
        </w:rPr>
      </w:pPr>
    </w:p>
    <w:p w14:paraId="3083DDB1">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Several limitations of the available evidence deserve acknowledgment. Most mechanistic data come from rodent chemoconvulsant models such as kainate, pilocarpine, and pentylenetetrazol, as well as from in vitro hepatic and neuronal cell lines. These approaches probe distinct aspects of mitochondrial physiology but do not fully reproduce the heterogeneity of human chronic epilepsy. Preclinical studies generally use acute drug exposures, whereas clinical ASM use is chronic and often involves polytherapy. In addition, a substantial part of the mitochondrial toxicity data was generated in hepatocyte models rather than in neurons, which complicates extrapolation to brain tissue. Several key findings have been reported by single laboratories without independent replication, and male animals predominate in most preclinical seizure cohorts. Direct human evidence remains largely restricted to case reports and small case series, with POLG-related valproate hepatotoxicity as the only ASM–mitochondrial axis supported by robust human causal data. These limitations do not invalidate the conceptual framework presented here, but they highlight the need for more clinically relevant models, sex-balanced cohorts, and well-phenotyped human studies.</w:t>
      </w:r>
    </w:p>
    <w:p w14:paraId="4DDCA851">
      <w:pPr>
        <w:spacing w:after="0" w:line="360" w:lineRule="auto"/>
        <w:jc w:val="both"/>
        <w:rPr>
          <w:rFonts w:ascii="Times New Roman" w:hAnsi="Times New Roman" w:eastAsia="Times New Roman" w:cs="Times New Roman"/>
          <w:sz w:val="24"/>
          <w:szCs w:val="24"/>
        </w:rPr>
      </w:pPr>
    </w:p>
    <w:p w14:paraId="2531FD2D">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9. Perspectives and Conclusions</w:t>
      </w:r>
    </w:p>
    <w:p w14:paraId="09CA6159">
      <w:pPr>
        <w:spacing w:after="0" w:line="360" w:lineRule="auto"/>
        <w:jc w:val="both"/>
        <w:rPr>
          <w:rFonts w:ascii="Times New Roman" w:hAnsi="Times New Roman" w:eastAsia="Times New Roman" w:cs="Times New Roman"/>
          <w:b/>
          <w:bCs/>
          <w:sz w:val="24"/>
          <w:szCs w:val="24"/>
        </w:rPr>
      </w:pPr>
    </w:p>
    <w:p w14:paraId="3405371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evidence reviewed suggests that </w:t>
      </w:r>
      <w:r>
        <w:rPr>
          <w:rFonts w:ascii="Times New Roman" w:hAnsi="Times New Roman" w:eastAsia="Times New Roman" w:cs="Times New Roman"/>
          <w:sz w:val="24"/>
          <w:szCs w:val="24"/>
          <w:highlight w:val="yellow"/>
        </w:rPr>
        <w:t>antiseizure medications</w:t>
      </w:r>
      <w:r>
        <w:rPr>
          <w:rFonts w:ascii="Times New Roman" w:hAnsi="Times New Roman" w:eastAsia="Times New Roman" w:cs="Times New Roman"/>
          <w:sz w:val="24"/>
          <w:szCs w:val="24"/>
        </w:rPr>
        <w:t xml:space="preserve"> not only modulate neuronal excitability but also directly regulate mitochondrial function, highlighting mitochondrial ion channels as critical elements of anticonvulsant and neuroprotective mechanisms. The interactions of </w:t>
      </w:r>
      <w:r>
        <w:rPr>
          <w:rFonts w:ascii="Times New Roman" w:hAnsi="Times New Roman" w:eastAsia="Times New Roman" w:cs="Times New Roman"/>
          <w:sz w:val="24"/>
          <w:szCs w:val="24"/>
          <w:highlight w:val="yellow"/>
        </w:rPr>
        <w:t>ASMs</w:t>
      </w:r>
      <w:r>
        <w:rPr>
          <w:rFonts w:ascii="Times New Roman" w:hAnsi="Times New Roman" w:eastAsia="Times New Roman" w:cs="Times New Roman"/>
          <w:sz w:val="24"/>
          <w:szCs w:val="24"/>
        </w:rPr>
        <w:t xml:space="preserve"> with channels such as VDAC, MCU, NCLX, mPTP, and mitoK</w:t>
      </w:r>
      <w:r>
        <w:rPr>
          <w:rFonts w:ascii="Times New Roman" w:hAnsi="Times New Roman" w:eastAsia="Times New Roman" w:cs="Times New Roman"/>
          <w:sz w:val="24"/>
          <w:szCs w:val="24"/>
          <w:vertAlign w:val="subscript"/>
        </w:rPr>
        <w:t>ATP</w:t>
      </w:r>
      <w:r>
        <w:rPr>
          <w:rFonts w:ascii="Times New Roman" w:hAnsi="Times New Roman" w:eastAsia="Times New Roman" w:cs="Times New Roman"/>
          <w:sz w:val="24"/>
          <w:szCs w:val="24"/>
        </w:rPr>
        <w:t xml:space="preserve"> indicate that the regulation of Ca²⁺ homeostasis, redox balance, and cellular bioenergetics is essential for mitigating neuronal hyperexcitability and preventing damage from recurrent seizures. This integrative perspective helps explain the therapeutic heterogeneity observed across epileptic phenotypes and the clinically documented neuroprotective effects that cannot be attributed solely to synaptic mechanisms. From a forward-looking perspective, positioning the mitochondrion as a pharmacological target opens the opportunity to develop therapeutic strategies focused on restoring neuronal metabolic stability, encompassing mitochondrially targeted compounds, selective modulators of mitochondrial calcium handling, and precision antioxidant therapies. Furthermore, the identification of mitochondrial biomarkers may improve patient stratification and accelerate the development of personalized therapies, steering </w:t>
      </w:r>
      <w:r>
        <w:rPr>
          <w:rFonts w:ascii="Times New Roman" w:hAnsi="Times New Roman" w:eastAsia="Times New Roman" w:cs="Times New Roman"/>
          <w:sz w:val="24"/>
          <w:szCs w:val="24"/>
          <w:highlight w:val="yellow"/>
        </w:rPr>
        <w:t xml:space="preserve">antiseizure </w:t>
      </w:r>
      <w:r>
        <w:rPr>
          <w:rFonts w:ascii="Times New Roman" w:hAnsi="Times New Roman" w:eastAsia="Times New Roman" w:cs="Times New Roman"/>
          <w:sz w:val="24"/>
          <w:szCs w:val="24"/>
        </w:rPr>
        <w:t>pharmacology toward a neuroprotective framework that not only controls seizures but also modifies the course of epilepsy and improves long-term outcomes.</w:t>
      </w:r>
    </w:p>
    <w:p w14:paraId="471EA008">
      <w:pPr>
        <w:spacing w:after="0" w:line="360" w:lineRule="auto"/>
        <w:jc w:val="both"/>
        <w:rPr>
          <w:rFonts w:ascii="Times New Roman" w:hAnsi="Times New Roman" w:eastAsia="Times New Roman" w:cs="Times New Roman"/>
          <w:sz w:val="24"/>
          <w:szCs w:val="24"/>
        </w:rPr>
      </w:pPr>
    </w:p>
    <w:p w14:paraId="7CEE1B5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Author Contributions:</w:t>
      </w:r>
      <w:r>
        <w:rPr>
          <w:rFonts w:ascii="Times New Roman" w:hAnsi="Times New Roman" w:eastAsia="Times New Roman" w:cs="Times New Roman"/>
          <w:sz w:val="24"/>
          <w:szCs w:val="24"/>
        </w:rPr>
        <w:t xml:space="preserve"> C. R.: Conceptualization, Investigation, Original Draft Preparation, Writing &amp; Editing; N. S.-G.: Conceptualization, Investigation, Review &amp; Editing; R. P.-R.: Review, Editing &amp; Figures; J. P.-V.: Writing, Review &amp; Editing; H. R.-P.: Review, Editing &amp; Validation; A. L.: Writing, Review &amp; Data Curation; M. R.-O.: Conceptualization, Writing, Original Draft Preparation &amp; Validation.</w:t>
      </w:r>
    </w:p>
    <w:p w14:paraId="559C8B10">
      <w:pPr>
        <w:spacing w:after="0" w:line="360" w:lineRule="auto"/>
        <w:jc w:val="both"/>
        <w:rPr>
          <w:rFonts w:ascii="Times New Roman" w:hAnsi="Times New Roman" w:eastAsia="Times New Roman" w:cs="Times New Roman"/>
          <w:sz w:val="24"/>
          <w:szCs w:val="24"/>
        </w:rPr>
      </w:pPr>
    </w:p>
    <w:p w14:paraId="718FBB5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Funding: </w:t>
      </w:r>
      <w:r>
        <w:rPr>
          <w:rFonts w:ascii="Times New Roman" w:hAnsi="Times New Roman" w:eastAsia="Times New Roman" w:cs="Times New Roman"/>
          <w:sz w:val="24"/>
          <w:szCs w:val="24"/>
        </w:rPr>
        <w:t>This research received no external funding.</w:t>
      </w:r>
    </w:p>
    <w:p w14:paraId="32136408">
      <w:pPr>
        <w:spacing w:after="0" w:line="360" w:lineRule="auto"/>
        <w:jc w:val="both"/>
        <w:rPr>
          <w:rFonts w:ascii="Times New Roman" w:hAnsi="Times New Roman" w:eastAsia="Times New Roman" w:cs="Times New Roman"/>
          <w:sz w:val="24"/>
          <w:szCs w:val="24"/>
        </w:rPr>
      </w:pPr>
    </w:p>
    <w:p w14:paraId="2CF155F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Availability Statement:</w:t>
      </w:r>
      <w:r>
        <w:rPr>
          <w:rFonts w:ascii="Times New Roman" w:hAnsi="Times New Roman" w:eastAsia="Times New Roman" w:cs="Times New Roman"/>
          <w:sz w:val="24"/>
          <w:szCs w:val="24"/>
        </w:rPr>
        <w:t xml:space="preserve"> No new data were created or analyzed in this study.</w:t>
      </w:r>
    </w:p>
    <w:p w14:paraId="417B63AF">
      <w:pPr>
        <w:spacing w:after="0" w:line="360" w:lineRule="auto"/>
        <w:jc w:val="both"/>
        <w:rPr>
          <w:rFonts w:ascii="Times New Roman" w:hAnsi="Times New Roman" w:eastAsia="Times New Roman" w:cs="Times New Roman"/>
          <w:sz w:val="24"/>
          <w:szCs w:val="24"/>
        </w:rPr>
      </w:pPr>
    </w:p>
    <w:p w14:paraId="35ABF59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Conflicts of interest:</w:t>
      </w:r>
      <w:r>
        <w:rPr>
          <w:rFonts w:ascii="Times New Roman" w:hAnsi="Times New Roman" w:eastAsia="Times New Roman" w:cs="Times New Roman"/>
          <w:sz w:val="24"/>
          <w:szCs w:val="24"/>
        </w:rPr>
        <w:t xml:space="preserve"> The authors declared no conflict of interest.</w:t>
      </w:r>
    </w:p>
    <w:p w14:paraId="20F93A22">
      <w:pPr>
        <w:spacing w:after="0" w:line="360" w:lineRule="auto"/>
        <w:jc w:val="both"/>
        <w:rPr>
          <w:rFonts w:ascii="Times New Roman" w:hAnsi="Times New Roman" w:eastAsia="Times New Roman" w:cs="Times New Roman"/>
          <w:sz w:val="24"/>
          <w:szCs w:val="24"/>
        </w:rPr>
      </w:pPr>
    </w:p>
    <w:p w14:paraId="1437FE80">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b/>
          <w:bCs/>
          <w:sz w:val="24"/>
          <w:szCs w:val="24"/>
          <w:highlight w:val="yellow"/>
        </w:rPr>
        <w:t>Ethics Approval and Consent to Participate</w:t>
      </w:r>
      <w:r>
        <w:rPr>
          <w:rFonts w:ascii="Times New Roman" w:hAnsi="Times New Roman" w:eastAsia="Times New Roman" w:cs="Times New Roman"/>
          <w:sz w:val="24"/>
          <w:szCs w:val="24"/>
          <w:highlight w:val="yellow"/>
        </w:rPr>
        <w:t>: Not applicable</w:t>
      </w:r>
    </w:p>
    <w:p w14:paraId="432B274D">
      <w:pPr>
        <w:spacing w:after="0" w:line="360" w:lineRule="auto"/>
        <w:jc w:val="both"/>
        <w:rPr>
          <w:rFonts w:ascii="Times New Roman" w:hAnsi="Times New Roman" w:eastAsia="Times New Roman" w:cs="Times New Roman"/>
          <w:sz w:val="24"/>
          <w:szCs w:val="24"/>
        </w:rPr>
      </w:pPr>
    </w:p>
    <w:p w14:paraId="698F94A7">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List of abbreviations</w:t>
      </w:r>
    </w:p>
    <w:p w14:paraId="4446C926">
      <w:pPr>
        <w:spacing w:after="0" w:line="360" w:lineRule="auto"/>
        <w:jc w:val="both"/>
        <w:rPr>
          <w:rFonts w:ascii="Times New Roman" w:hAnsi="Times New Roman" w:eastAsia="Times New Roman" w:cs="Times New Roman"/>
          <w:b/>
          <w:bCs/>
          <w:sz w:val="24"/>
          <w:szCs w:val="24"/>
        </w:rPr>
      </w:pPr>
    </w:p>
    <w:p w14:paraId="6A9F81A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ADP: Adenosine diphosphate</w:t>
      </w:r>
    </w:p>
    <w:p w14:paraId="043DF57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AIF: Apoptosis-inducing factor</w:t>
      </w:r>
    </w:p>
    <w:p w14:paraId="57FF354A">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AMPA: α-amino-3-hydroxy-5-methyl-4-isoxazolepropionic acid</w:t>
      </w:r>
    </w:p>
    <w:p w14:paraId="74AC4E4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Pr>
        <w:t>ASMs: Antiseizure Medications</w:t>
      </w:r>
    </w:p>
    <w:p w14:paraId="1143869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ATP: Adenosine triphosphate</w:t>
      </w:r>
    </w:p>
    <w:p w14:paraId="668FC48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Bak: Bcl-2 homologous antagonist/killer protein</w:t>
      </w:r>
    </w:p>
    <w:p w14:paraId="3473F95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Bax: Bcl-2-associated X protein</w:t>
      </w:r>
    </w:p>
    <w:p w14:paraId="6031473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Bcl-2: B-cell lymphoma 2 protein</w:t>
      </w:r>
    </w:p>
    <w:p w14:paraId="5D85BCD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Ca²⁺: Calcium ion</w:t>
      </w:r>
    </w:p>
    <w:p w14:paraId="6EAA0587">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CBD: Cannabidiol</w:t>
      </w:r>
    </w:p>
    <w:p w14:paraId="0BA2F732">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CoA: Coenzyme A</w:t>
      </w:r>
    </w:p>
    <w:p w14:paraId="05F1E30E">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Complex I: NADH:ubiquinone oxidoreductase (mitochondrial respiratory complex I)</w:t>
      </w:r>
    </w:p>
    <w:p w14:paraId="2BA031C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CypD: Cyclophilin D</w:t>
      </w:r>
    </w:p>
    <w:p w14:paraId="3BA37BA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Ca²⁺-ATPase: Calcium-transporting ATPase</w:t>
      </w:r>
    </w:p>
    <w:p w14:paraId="09CAE0D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DNA: Deoxyribonucleic acid</w:t>
      </w:r>
    </w:p>
    <w:p w14:paraId="4720CD5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ETC: Electron transport chain</w:t>
      </w:r>
    </w:p>
    <w:p w14:paraId="507304CF">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F1Fo-ATP synthase: Mitochondrial ATP synthase (Complex V)</w:t>
      </w:r>
    </w:p>
    <w:p w14:paraId="678C507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GABA: Gamma-aminobutyric acid</w:t>
      </w:r>
    </w:p>
    <w:p w14:paraId="0CF8BCB5">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GABRA1: Gamma-aminobutyric acid type A receptor subunit alpha 1</w:t>
      </w:r>
    </w:p>
    <w:p w14:paraId="3D6C1171">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ILAE: International League Against Epilepsy</w:t>
      </w:r>
    </w:p>
    <w:p w14:paraId="75E603E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IMM: Inner mitochondrial membrane</w:t>
      </w:r>
    </w:p>
    <w:p w14:paraId="14308552">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 Potassium ion</w:t>
      </w:r>
    </w:p>
    <w:p w14:paraId="24774A8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KATP: ATP-sensitive potassium channel</w:t>
      </w:r>
    </w:p>
    <w:p w14:paraId="0F729ED8">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KCNJ8/11: Potassium inwardly rectifying channel subfamily J members 8 and 11</w:t>
      </w:r>
    </w:p>
    <w:p w14:paraId="3B4485BB">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KCNQ2: Potassium voltage-gated channel subfamily Q member 2</w:t>
      </w:r>
    </w:p>
    <w:p w14:paraId="4ECB38C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Kir: Inward-rectifier potassium channel subunit</w:t>
      </w:r>
    </w:p>
    <w:p w14:paraId="654E7FC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Kv7 (KCNQ): Voltage-gated potassium channel subfamily Q</w:t>
      </w:r>
    </w:p>
    <w:p w14:paraId="0F8848A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MCU: Mitochondrial calcium uniporter</w:t>
      </w:r>
    </w:p>
    <w:p w14:paraId="7A576529">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MELAS: Mitochondrial Encephalopathy, Lactic Acidosis, and Stroke-like episodes</w:t>
      </w:r>
    </w:p>
    <w:p w14:paraId="05D0CED5">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MERRF: Myoclonic Epilepsy with Ragged-Red Fibers</w:t>
      </w:r>
    </w:p>
    <w:p w14:paraId="369B7B7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MICU1: Mitochondrial calcium uptake protein 1</w:t>
      </w:r>
    </w:p>
    <w:p w14:paraId="05DBBBD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MICU2: Mitochondrial calcium uptake protein 2</w:t>
      </w:r>
    </w:p>
    <w:p w14:paraId="59C26233">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MILS: Maternally Inherited Leigh Syndrome</w:t>
      </w:r>
    </w:p>
    <w:p w14:paraId="113E2DB9">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MitoQ: Mitoquinone mesylate (mitochondria-targeted antioxidant)</w:t>
      </w:r>
    </w:p>
    <w:p w14:paraId="196CDAF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mitoKATP: Mitochondrial ATP-sensitive potassium channel</w:t>
      </w:r>
    </w:p>
    <w:p w14:paraId="0018F78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mPTP: Mitochondrial permeability transition pore</w:t>
      </w:r>
    </w:p>
    <w:p w14:paraId="58DC6F39">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MT-ATP6: Mitochondrially encoded ATP synthase membrane subunit 6</w:t>
      </w:r>
    </w:p>
    <w:p w14:paraId="1BA3C99C">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mtDNA: Mitochondrial DNA</w:t>
      </w:r>
    </w:p>
    <w:p w14:paraId="757A15FF">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MT-TK: Mitochondrially encoded tRNA lysine</w:t>
      </w:r>
    </w:p>
    <w:p w14:paraId="67AADDE8">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MT-TL1: Mitochondrially encoded tRNA leucine 1 (UUA/G)</w:t>
      </w:r>
    </w:p>
    <w:p w14:paraId="210FFA4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 Sodium ion</w:t>
      </w:r>
    </w:p>
    <w:p w14:paraId="7D0240D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Na⁺/K⁺-ATPase: Sodium-potassium adenosine triphosphatase</w:t>
      </w:r>
    </w:p>
    <w:p w14:paraId="5A7DCB39">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NARP: Neuropathy, Ataxia, and Retinitis Pigmentosa</w:t>
      </w:r>
    </w:p>
    <w:p w14:paraId="26EA2B3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NCLX: Mitochondrial Na⁺/Ca²⁺ exchanger</w:t>
      </w:r>
    </w:p>
    <w:p w14:paraId="0087B65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OMM: Outer mitochondrial membrane</w:t>
      </w:r>
    </w:p>
    <w:p w14:paraId="716B02A4">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POLG: DNA polymerase gamma catalytic subunit</w:t>
      </w:r>
    </w:p>
    <w:p w14:paraId="31514205">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rRNA: Ribosomal ribonucleic acid</w:t>
      </w:r>
    </w:p>
    <w:p w14:paraId="155E832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ROS: Reactive oxygen species</w:t>
      </w:r>
    </w:p>
    <w:p w14:paraId="65DB0227">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SCN1A: Sodium voltage-gated channel alpha subunit 1</w:t>
      </w:r>
    </w:p>
    <w:p w14:paraId="1DEE83D6">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SLC8B1: Solute carrier family 8 member B1 (gene encoding NCLX)</w:t>
      </w:r>
    </w:p>
    <w:p w14:paraId="6244714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SS-31: Elamipretide (mitochondria-targeted antioxidant peptide)</w:t>
      </w:r>
    </w:p>
    <w:p w14:paraId="76BA5DA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SV2A: Synaptic vesicle glycoprotein 2A</w:t>
      </w:r>
    </w:p>
    <w:p w14:paraId="66A8881E">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TBI: Traumatic brain injury</w:t>
      </w:r>
    </w:p>
    <w:p w14:paraId="6A7AD1D2">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tRNA: Transfer ribonucleic acid</w:t>
      </w:r>
    </w:p>
    <w:p w14:paraId="04D046D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T-type Ca²⁺ channels: Low-voltage-activated calcium channels</w:t>
      </w:r>
    </w:p>
    <w:p w14:paraId="453AB95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VDAC: Voltage-dependent anion channel</w:t>
      </w:r>
    </w:p>
    <w:p w14:paraId="78E5158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VDAC1: Voltage-dependent anion channel isoform 1</w:t>
      </w:r>
    </w:p>
    <w:p w14:paraId="07778422">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VDAC1/2/3: Voltage-dependent anion channel isoforms 1, 2, and 3</w:t>
      </w:r>
    </w:p>
    <w:p w14:paraId="0F14C6B9">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ΔΨm: Mitochondrial membrane potential</w:t>
      </w:r>
    </w:p>
    <w:p w14:paraId="2B186DCB">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α-KG: α-ketoglutarate</w:t>
      </w:r>
    </w:p>
    <w:p w14:paraId="6338BC44">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α-KGDH: α-ketoglutarate dehydrogenase</w:t>
      </w:r>
    </w:p>
    <w:p w14:paraId="129B6D66">
      <w:pPr>
        <w:spacing w:after="0" w:line="36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β-oxidation: Mitochondrial fatty acid β-oxidation</w:t>
      </w:r>
    </w:p>
    <w:p w14:paraId="6FC09CB9">
      <w:pPr>
        <w:spacing w:after="0" w:line="360" w:lineRule="auto"/>
        <w:jc w:val="both"/>
        <w:rPr>
          <w:rFonts w:ascii="Times New Roman" w:hAnsi="Times New Roman" w:eastAsia="Times New Roman" w:cs="Times New Roman"/>
          <w:sz w:val="24"/>
          <w:szCs w:val="24"/>
        </w:rPr>
      </w:pPr>
    </w:p>
    <w:p w14:paraId="4B4947A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References </w:t>
      </w:r>
    </w:p>
    <w:p w14:paraId="554F124F">
      <w:pPr>
        <w:spacing w:after="0" w:line="240" w:lineRule="auto"/>
        <w:rPr>
          <w:rFonts w:ascii="Times New Roman" w:hAnsi="Times New Roman" w:eastAsia="Times New Roman" w:cs="Times New Roman"/>
          <w:b/>
          <w:bCs/>
          <w:sz w:val="24"/>
          <w:szCs w:val="24"/>
        </w:rPr>
      </w:pPr>
    </w:p>
    <w:p w14:paraId="557E3A7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Fisher RS, Acevedo C, Arzimanoglou A, Bogacz A, Cross JH, Elger CE,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ILAE official report: a practical clinical definition of epilepsy. Epilepsia. 2014; 55: 475–482.</w:t>
      </w:r>
      <w:r>
        <w:rPr>
          <w:rFonts w:ascii="Times New Roman" w:hAnsi="Times New Roman" w:eastAsia="Times New Roman" w:cs="Times New Roman"/>
          <w:sz w:val="24"/>
          <w:szCs w:val="24"/>
          <w:highlight w:val="yellow"/>
        </w:rPr>
        <w:t xml:space="preserve"> </w:t>
      </w:r>
      <w:r>
        <w:fldChar w:fldCharType="begin"/>
      </w:r>
      <w:r>
        <w:instrText xml:space="preserve"> HYPERLINK "https://doi.org/10.1111/epi.12550" \h </w:instrText>
      </w:r>
      <w:r>
        <w:fldChar w:fldCharType="separate"/>
      </w:r>
      <w:r>
        <w:rPr>
          <w:rFonts w:ascii="Times New Roman" w:hAnsi="Times New Roman" w:eastAsia="Times New Roman" w:cs="Times New Roman"/>
          <w:color w:val="0563C1"/>
          <w:sz w:val="24"/>
          <w:szCs w:val="24"/>
          <w:highlight w:val="yellow"/>
          <w:u w:val="single"/>
        </w:rPr>
        <w:t>https://doi.org/10.1111/epi.12550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6695B1E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Linka L, Magnus B, Habermehl L, Tsalouchidou PE, Zahnert F, Möeller L,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Effect of the revised definition of epilepsy on treatment decisions and seizure recurrence after a first epileptic seizure. European Journal of Neurology. 2023; 30:  1557–1564.</w:t>
      </w:r>
      <w:r>
        <w:rPr>
          <w:rFonts w:ascii="Times New Roman" w:hAnsi="Times New Roman" w:eastAsia="Times New Roman" w:cs="Times New Roman"/>
          <w:sz w:val="24"/>
          <w:szCs w:val="24"/>
          <w:highlight w:val="yellow"/>
        </w:rPr>
        <w:t xml:space="preserve"> </w:t>
      </w:r>
      <w:r>
        <w:fldChar w:fldCharType="begin"/>
      </w:r>
      <w:r>
        <w:instrText xml:space="preserve"> HYPERLINK "https://doi.org/10.1111/ene.15769" \h </w:instrText>
      </w:r>
      <w:r>
        <w:fldChar w:fldCharType="separate"/>
      </w:r>
      <w:r>
        <w:rPr>
          <w:rFonts w:ascii="Times New Roman" w:hAnsi="Times New Roman" w:eastAsia="Times New Roman" w:cs="Times New Roman"/>
          <w:color w:val="0563C1"/>
          <w:sz w:val="24"/>
          <w:szCs w:val="24"/>
          <w:highlight w:val="yellow"/>
          <w:u w:val="single"/>
        </w:rPr>
        <w:t>https://doi.org/10.1111/ene.15769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17D7FB5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 McCormick DA, Contreras D. On the cellular and network bases of epileptic seizures. Annual review of physiology. 2001; 63: 815–846. </w:t>
      </w:r>
      <w:r>
        <w:fldChar w:fldCharType="begin"/>
      </w:r>
      <w:r>
        <w:instrText xml:space="preserve"> HYPERLINK "https://doi.org/10.1146/annurev.physiol.63.1.815" \h </w:instrText>
      </w:r>
      <w:r>
        <w:fldChar w:fldCharType="separate"/>
      </w:r>
      <w:r>
        <w:rPr>
          <w:rFonts w:ascii="Times New Roman" w:hAnsi="Times New Roman" w:eastAsia="Times New Roman" w:cs="Times New Roman"/>
          <w:color w:val="0563C1"/>
          <w:sz w:val="24"/>
          <w:szCs w:val="24"/>
          <w:highlight w:val="yellow"/>
          <w:u w:val="single"/>
        </w:rPr>
        <w:t>https://doi.org/10.1146/annurev.physiol.63.1.815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53D1E01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Sumadewi KT, Harkitasari S, Tjandra DC. Biomolecular mechanisms of epileptic seizures and epilepsy: a review. Acta Epileptologica. 2023; 5: 28.  </w:t>
      </w:r>
      <w:r>
        <w:fldChar w:fldCharType="begin"/>
      </w:r>
      <w:r>
        <w:instrText xml:space="preserve"> HYPERLINK "https://doi.org/10.1186/s42494-023-00137-0" \h </w:instrText>
      </w:r>
      <w:r>
        <w:fldChar w:fldCharType="separate"/>
      </w:r>
      <w:r>
        <w:rPr>
          <w:rFonts w:ascii="Times New Roman" w:hAnsi="Times New Roman" w:eastAsia="Times New Roman" w:cs="Times New Roman"/>
          <w:color w:val="0563C1"/>
          <w:sz w:val="24"/>
          <w:szCs w:val="24"/>
          <w:highlight w:val="yellow"/>
          <w:u w:val="single"/>
        </w:rPr>
        <w:t>https://doi.org/10.1186/s42494-023-00137-0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358EC7F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Mazzone GL, Mohammadshirazi A, Aquino JB, Nistri A, Taccola G. GABAergic Mechanisms Can Redress the Tilted Balance between Excitation and Inhibition in Damaged Spinal Networks. Molecular Neurobiology. 2021; 58: 3769–3786. </w:t>
      </w:r>
      <w:r>
        <w:fldChar w:fldCharType="begin"/>
      </w:r>
      <w:r>
        <w:instrText xml:space="preserve"> HYPERLINK "https://doi.org/10.1007/s12035-021-02370-5" \h </w:instrText>
      </w:r>
      <w:r>
        <w:fldChar w:fldCharType="separate"/>
      </w:r>
      <w:r>
        <w:rPr>
          <w:rFonts w:ascii="Times New Roman" w:hAnsi="Times New Roman" w:eastAsia="Times New Roman" w:cs="Times New Roman"/>
          <w:color w:val="0563C1"/>
          <w:sz w:val="24"/>
          <w:szCs w:val="24"/>
          <w:highlight w:val="yellow"/>
          <w:u w:val="single"/>
        </w:rPr>
        <w:t>https://doi.org/10.1007/s12035-021-02370-5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419B3BD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[6] Löscher W, Potschka H, Sisodiya SM, Vezzani A. Drug Resistance in Epilepsy: Clinical Impact, Potential Mechanisms, and New Innovative Treatment Options. Pharmacological Reviews. 2020; 72: 606–638. </w:t>
      </w:r>
      <w:r>
        <w:fldChar w:fldCharType="begin"/>
      </w:r>
      <w:r>
        <w:instrText xml:space="preserve"> HYPERLINK "https://doi.org/10.1124/pr.120.019539" \h </w:instrText>
      </w:r>
      <w:r>
        <w:fldChar w:fldCharType="separate"/>
      </w:r>
      <w:r>
        <w:rPr>
          <w:rFonts w:ascii="Times New Roman" w:hAnsi="Times New Roman" w:eastAsia="Times New Roman" w:cs="Times New Roman"/>
          <w:color w:val="0563C1"/>
          <w:sz w:val="24"/>
          <w:szCs w:val="24"/>
          <w:highlight w:val="yellow"/>
          <w:u w:val="single"/>
        </w:rPr>
        <w:t>https://doi.org/10.1124/pr.120.019539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B541F9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 Klein P, Friedman D, Kwan P. Recent Advances in Pharmacologic Treatments of Drug-Resistant Epilepsy: Breakthrough in Sight. CNS Drugs. 2024; 38: 949–960. </w:t>
      </w:r>
      <w:r>
        <w:fldChar w:fldCharType="begin"/>
      </w:r>
      <w:r>
        <w:instrText xml:space="preserve"> HYPERLINK "https://doi.org/10.1007/s40263-024-01130-y" \h </w:instrText>
      </w:r>
      <w:r>
        <w:fldChar w:fldCharType="separate"/>
      </w:r>
      <w:r>
        <w:rPr>
          <w:rFonts w:ascii="Times New Roman" w:hAnsi="Times New Roman" w:eastAsia="Times New Roman" w:cs="Times New Roman"/>
          <w:color w:val="0563C1"/>
          <w:sz w:val="24"/>
          <w:szCs w:val="24"/>
          <w:highlight w:val="yellow"/>
          <w:u w:val="single"/>
        </w:rPr>
        <w:t>https://doi.org/10.1007/s40263-024-01130-y</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654BE3CD">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[8] Rogawski MA, Löscher W. The neurobiology of antiepileptic drugs. Nature Reviews Neuroscience. 2004; 5: 553–564. </w:t>
      </w:r>
      <w:r>
        <w:fldChar w:fldCharType="begin"/>
      </w:r>
      <w:r>
        <w:instrText xml:space="preserve"> HYPERLINK "https://doi.org/10.1038/nrn1430" \h </w:instrText>
      </w:r>
      <w:r>
        <w:fldChar w:fldCharType="separate"/>
      </w:r>
      <w:r>
        <w:rPr>
          <w:rFonts w:ascii="Times New Roman" w:hAnsi="Times New Roman" w:eastAsia="Times New Roman" w:cs="Times New Roman"/>
          <w:color w:val="0563C1"/>
          <w:sz w:val="24"/>
          <w:szCs w:val="24"/>
          <w:highlight w:val="yellow"/>
          <w:u w:val="single"/>
        </w:rPr>
        <w:t>https://doi.org/10.1038/nrn1430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B6F1F7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 Chow CY, Absalom N, Biggs K, King GF, Ma L. Venom-derived modulators of epilepsy-related ion channels. Biochemical Pharmacology. 2020; 181: 114043. </w:t>
      </w:r>
      <w:r>
        <w:fldChar w:fldCharType="begin"/>
      </w:r>
      <w:r>
        <w:instrText xml:space="preserve"> HYPERLINK "https://doi.org/10.1016/j.bcp.2020.114043" \h </w:instrText>
      </w:r>
      <w:r>
        <w:fldChar w:fldCharType="separate"/>
      </w:r>
      <w:r>
        <w:rPr>
          <w:rFonts w:ascii="Times New Roman" w:hAnsi="Times New Roman" w:eastAsia="Times New Roman" w:cs="Times New Roman"/>
          <w:color w:val="0563C1"/>
          <w:sz w:val="24"/>
          <w:szCs w:val="24"/>
          <w:highlight w:val="yellow"/>
          <w:u w:val="single"/>
        </w:rPr>
        <w:t>https://doi.org/10.1016/j.bcp.2020.114043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6117ED7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 Brodie MJ, Barry SJ, Bamagous GA, Norrie JD, Kwan P. Patterns of treatment response in newly diagnosed epilepsy. Neurology. 2012; 78: 1548–1554. </w:t>
      </w:r>
      <w:r>
        <w:fldChar w:fldCharType="begin"/>
      </w:r>
      <w:r>
        <w:instrText xml:space="preserve"> HYPERLINK "https://doi.org/10.1212/WNL.0b013e3182563b19" \h </w:instrText>
      </w:r>
      <w:r>
        <w:fldChar w:fldCharType="separate"/>
      </w:r>
      <w:r>
        <w:rPr>
          <w:rFonts w:ascii="Times New Roman" w:hAnsi="Times New Roman" w:eastAsia="Times New Roman" w:cs="Times New Roman"/>
          <w:color w:val="0563C1"/>
          <w:sz w:val="24"/>
          <w:szCs w:val="24"/>
          <w:highlight w:val="yellow"/>
          <w:u w:val="single"/>
        </w:rPr>
        <w:t>https://doi.org/10.1212/WNL.0b013e3182563b19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6DFD5C52">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[11] Chen H, Amdur R, Pauldurai J, Koubeissi M. Seizure recurrence after prolonged seizure control: Patterns and risk factors. Epilepsy &amp; Behavior: E&amp;B. 2021; 124: 108330. </w:t>
      </w:r>
      <w:r>
        <w:fldChar w:fldCharType="begin"/>
      </w:r>
      <w:r>
        <w:instrText xml:space="preserve"> HYPERLINK "https://doi.org/10.1016/j.yebeh.2021.108330" \h </w:instrText>
      </w:r>
      <w:r>
        <w:fldChar w:fldCharType="separate"/>
      </w:r>
      <w:r>
        <w:rPr>
          <w:rFonts w:ascii="Times New Roman" w:hAnsi="Times New Roman" w:eastAsia="Times New Roman" w:cs="Times New Roman"/>
          <w:color w:val="0563C1"/>
          <w:sz w:val="24"/>
          <w:szCs w:val="24"/>
          <w:highlight w:val="yellow"/>
          <w:u w:val="single"/>
        </w:rPr>
        <w:t>https://doi.org/10.1016/j.yebeh.2021.108330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BCBA62F">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[12] Kann O, Kovács R. Mitochondria and neuronal activity. American journal of physiology. Cell Physiology. 2007; 292: C641–C657. </w:t>
      </w:r>
      <w:r>
        <w:fldChar w:fldCharType="begin"/>
      </w:r>
      <w:r>
        <w:instrText xml:space="preserve"> HYPERLINK "https://doi.org/10.1152/ajpcell.00222.2006" \h </w:instrText>
      </w:r>
      <w:r>
        <w:fldChar w:fldCharType="separate"/>
      </w:r>
      <w:r>
        <w:rPr>
          <w:rFonts w:ascii="Times New Roman" w:hAnsi="Times New Roman" w:eastAsia="Times New Roman" w:cs="Times New Roman"/>
          <w:color w:val="0563C1"/>
          <w:sz w:val="24"/>
          <w:szCs w:val="24"/>
          <w:highlight w:val="yellow"/>
          <w:u w:val="single"/>
        </w:rPr>
        <w:t>https://doi.org/10.1152/ajpcell.00222.2006</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EB31E3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[13] Toglia P, Ullah G. Mitochondrial dysfunction and role in spreading depolarization and seizure. Journal of Computational Neuroscience. 2019; 47: 91–108.</w:t>
      </w:r>
      <w:r>
        <w:rPr>
          <w:rFonts w:ascii="Times New Roman" w:hAnsi="Times New Roman" w:eastAsia="Times New Roman" w:cs="Times New Roman"/>
          <w:sz w:val="24"/>
          <w:szCs w:val="24"/>
          <w:highlight w:val="yellow"/>
        </w:rPr>
        <w:t xml:space="preserve"> </w:t>
      </w:r>
      <w:r>
        <w:fldChar w:fldCharType="begin"/>
      </w:r>
      <w:r>
        <w:instrText xml:space="preserve"> HYPERLINK "https://doi.org/10.1007/s10827-019-00724-6" \h </w:instrText>
      </w:r>
      <w:r>
        <w:fldChar w:fldCharType="separate"/>
      </w:r>
      <w:r>
        <w:rPr>
          <w:rFonts w:ascii="Times New Roman" w:hAnsi="Times New Roman" w:eastAsia="Times New Roman" w:cs="Times New Roman"/>
          <w:color w:val="0563C1"/>
          <w:sz w:val="24"/>
          <w:szCs w:val="24"/>
          <w:highlight w:val="yellow"/>
          <w:u w:val="single"/>
        </w:rPr>
        <w:t>https://doi.org/10.1007/s10827-019-00724-6</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89BB05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[14] Angelova PR, Abramov AY. Functional role of mitochondrial reactive oxygen species in physiology. Free Radical Biology &amp; Medicine. 2016; 100: 81–85.</w:t>
      </w:r>
      <w:r>
        <w:rPr>
          <w:rFonts w:ascii="Times New Roman" w:hAnsi="Times New Roman" w:eastAsia="Times New Roman" w:cs="Times New Roman"/>
          <w:sz w:val="24"/>
          <w:szCs w:val="24"/>
          <w:highlight w:val="yellow"/>
        </w:rPr>
        <w:t xml:space="preserve"> </w:t>
      </w:r>
      <w:r>
        <w:fldChar w:fldCharType="begin"/>
      </w:r>
      <w:r>
        <w:instrText xml:space="preserve"> HYPERLINK "https://doi.org/10.1016/j.freeradbiomed.2016.06.005" \h </w:instrText>
      </w:r>
      <w:r>
        <w:fldChar w:fldCharType="separate"/>
      </w:r>
      <w:r>
        <w:rPr>
          <w:rFonts w:ascii="Times New Roman" w:hAnsi="Times New Roman" w:eastAsia="Times New Roman" w:cs="Times New Roman"/>
          <w:color w:val="0563C1"/>
          <w:sz w:val="24"/>
          <w:szCs w:val="24"/>
          <w:highlight w:val="yellow"/>
          <w:u w:val="single"/>
        </w:rPr>
        <w:t>https://doi.org/10.1016/j.freeradbiomed.2016.06.005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07CA1EC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 Bertero E, Maack C. Calcium Signaling and Reactive Oxygen Species in Mitochondria. Circulation Research. 2018; 122: 1460–1478. </w:t>
      </w:r>
      <w:r>
        <w:fldChar w:fldCharType="begin"/>
      </w:r>
      <w:r>
        <w:instrText xml:space="preserve"> HYPERLINK "https://doi.org/10.1161/CIRCRESAHA.118.310082" \h </w:instrText>
      </w:r>
      <w:r>
        <w:fldChar w:fldCharType="separate"/>
      </w:r>
      <w:r>
        <w:rPr>
          <w:rFonts w:ascii="Times New Roman" w:hAnsi="Times New Roman" w:eastAsia="Times New Roman" w:cs="Times New Roman"/>
          <w:color w:val="0563C1"/>
          <w:sz w:val="24"/>
          <w:szCs w:val="24"/>
          <w:highlight w:val="yellow"/>
          <w:u w:val="single"/>
        </w:rPr>
        <w:t>https://doi.org/10.1161/CIRCRESAHA.118.310082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700B924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 Waldbaum S, Patel M. Mitochondrial dysfunction and oxidative stress: a contributing link to acquired epilepsy?. Journal of Bioenergetics and Biomembranes. 2010; 42: 449–455. </w:t>
      </w:r>
      <w:r>
        <w:fldChar w:fldCharType="begin"/>
      </w:r>
      <w:r>
        <w:instrText xml:space="preserve"> HYPERLINK "https://doi.org/10.1007/s10863-010-9320-9" \h </w:instrText>
      </w:r>
      <w:r>
        <w:fldChar w:fldCharType="separate"/>
      </w:r>
      <w:r>
        <w:rPr>
          <w:rFonts w:ascii="Times New Roman" w:hAnsi="Times New Roman" w:eastAsia="Times New Roman" w:cs="Times New Roman"/>
          <w:color w:val="0563C1"/>
          <w:sz w:val="24"/>
          <w:szCs w:val="24"/>
          <w:highlight w:val="yellow"/>
          <w:u w:val="single"/>
        </w:rPr>
        <w:t>https://doi.org/10.1007/s10863-010-9320-9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06F7B3C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 Szabo I, Zoratti M. Mitochondrial channels: ion fluxes and more. Physiological Reviews. 2014; 94: 519-608. </w:t>
      </w:r>
    </w:p>
    <w:p w14:paraId="67B83759">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"https://doi.org/10.1152/physrev.00021.2013" \h </w:instrText>
      </w:r>
      <w:r>
        <w:fldChar w:fldCharType="separate"/>
      </w:r>
      <w:r>
        <w:rPr>
          <w:rFonts w:ascii="Times New Roman" w:hAnsi="Times New Roman" w:eastAsia="Times New Roman" w:cs="Times New Roman"/>
          <w:color w:val="0563C1"/>
          <w:sz w:val="24"/>
          <w:szCs w:val="24"/>
          <w:highlight w:val="yellow"/>
          <w:u w:val="single"/>
        </w:rPr>
        <w:t>https://doi.org/10.1152/physrev.00021.2013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13046A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 Szabo I, Szewczyk A. Mitochondrial Ion Channels. Annual Review of Biophysics.  2023; 52: 229–254. </w:t>
      </w:r>
      <w:r>
        <w:fldChar w:fldCharType="begin"/>
      </w:r>
      <w:r>
        <w:instrText xml:space="preserve"> HYPERLINK "https://doi.org/10.1146/annurev-biophys-092622-094853" \h </w:instrText>
      </w:r>
      <w:r>
        <w:fldChar w:fldCharType="separate"/>
      </w:r>
      <w:r>
        <w:rPr>
          <w:rFonts w:ascii="Times New Roman" w:hAnsi="Times New Roman" w:eastAsia="Times New Roman" w:cs="Times New Roman"/>
          <w:color w:val="0563C1"/>
          <w:sz w:val="24"/>
          <w:szCs w:val="24"/>
          <w:highlight w:val="yellow"/>
          <w:u w:val="single"/>
        </w:rPr>
        <w:t>https://doi.org/10.1146/annurev-biophys-092622-094853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5413F93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 Kovac S, Dinkova Kostova AT, Herrmann AM, Melzer N, Meuth SG, Gorji A. Metabolic and Homeostatic Changes in Seizures and Acquired Epilepsy-Mitochondria, Calcium Dynamics and Reactive Oxygen Species. International Journal of Molecular Sciences. 2017; 18: 1935. </w:t>
      </w:r>
    </w:p>
    <w:p w14:paraId="1D4BBC4C">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"https://doi.org/10.3390/ijms18091935" \h </w:instrText>
      </w:r>
      <w:r>
        <w:fldChar w:fldCharType="separate"/>
      </w:r>
      <w:r>
        <w:rPr>
          <w:rFonts w:ascii="Times New Roman" w:hAnsi="Times New Roman" w:eastAsia="Times New Roman" w:cs="Times New Roman"/>
          <w:color w:val="0563C1"/>
          <w:sz w:val="24"/>
          <w:szCs w:val="24"/>
          <w:highlight w:val="yellow"/>
          <w:u w:val="single"/>
        </w:rPr>
        <w:t>https://doi.org/10.3390/ijms18091935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D836DDF">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[20] Li C, Wang X, Deng M, Luo Q, Yang C, Gu Z,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Antiepileptic Drug Combinations for Epilepsy: Mechanisms, Clinical Strategies, and Future Prospects. International Journal of Molecular Sciences. 2025; 26; 4035. </w:t>
      </w:r>
      <w:r>
        <w:fldChar w:fldCharType="begin"/>
      </w:r>
      <w:r>
        <w:instrText xml:space="preserve"> HYPERLINK "https://doi.org/10.3390/ijms26094035" \h </w:instrText>
      </w:r>
      <w:r>
        <w:fldChar w:fldCharType="separate"/>
      </w:r>
      <w:r>
        <w:rPr>
          <w:rFonts w:ascii="Times New Roman" w:hAnsi="Times New Roman" w:eastAsia="Times New Roman" w:cs="Times New Roman"/>
          <w:color w:val="0563C1"/>
          <w:sz w:val="24"/>
          <w:szCs w:val="24"/>
          <w:highlight w:val="yellow"/>
          <w:u w:val="single"/>
        </w:rPr>
        <w:t>https://doi.org/10.3390/ijms26094035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61B020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[21] Attwell D, Laughlin SB. An energy budget for signaling in the grey matter of the brain. Journal of cerebral Blood Flow and Metabolism. 2001; 21: 1133–1145. </w:t>
      </w:r>
      <w:r>
        <w:fldChar w:fldCharType="begin"/>
      </w:r>
      <w:r>
        <w:instrText xml:space="preserve"> HYPERLINK "https://doi.org/10.1097/00004647-200110000-00001" \h </w:instrText>
      </w:r>
      <w:r>
        <w:fldChar w:fldCharType="separate"/>
      </w:r>
      <w:r>
        <w:rPr>
          <w:rFonts w:ascii="Times New Roman" w:hAnsi="Times New Roman" w:eastAsia="Times New Roman" w:cs="Times New Roman"/>
          <w:color w:val="0563C1"/>
          <w:sz w:val="24"/>
          <w:szCs w:val="24"/>
          <w:highlight w:val="yellow"/>
          <w:u w:val="single"/>
        </w:rPr>
        <w:t>https://doi.org/10.1097/00004647-200110000-00001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52A278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[22] Yu Y, Herman P, Rothman DL, Agarwal D, Hyder F. Evaluating the gray and white matter energy budgets of human brain function. Journal of Cerebral Blood Flow and Metabolism. 2018; 38: 1339–1353.</w:t>
      </w:r>
    </w:p>
    <w:p w14:paraId="7D3C37F7">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 </w:t>
      </w:r>
      <w:r>
        <w:fldChar w:fldCharType="begin"/>
      </w:r>
      <w:r>
        <w:instrText xml:space="preserve"> HYPERLINK "https://doi.org/10.1177/0271678X17708691" \h </w:instrText>
      </w:r>
      <w:r>
        <w:fldChar w:fldCharType="separate"/>
      </w:r>
      <w:r>
        <w:rPr>
          <w:rFonts w:ascii="Times New Roman" w:hAnsi="Times New Roman" w:eastAsia="Times New Roman" w:cs="Times New Roman"/>
          <w:color w:val="0563C1"/>
          <w:sz w:val="24"/>
          <w:szCs w:val="24"/>
          <w:highlight w:val="yellow"/>
          <w:u w:val="single"/>
        </w:rPr>
        <w:t>https://doi.org/10.1177/0271678X17708691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A3C069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[23] Nicholls DG, Budd SL. Mitochondria and neuronal survival. Physiological Reviews. 2000; 80: 315–360.</w:t>
      </w:r>
    </w:p>
    <w:p w14:paraId="3BD51B61">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"https://doi.org/10.1152/physrev.2000.80.1.315" \h </w:instrText>
      </w:r>
      <w:r>
        <w:fldChar w:fldCharType="separate"/>
      </w:r>
      <w:r>
        <w:rPr>
          <w:rFonts w:ascii="Times New Roman" w:hAnsi="Times New Roman" w:eastAsia="Times New Roman" w:cs="Times New Roman"/>
          <w:color w:val="0563C1"/>
          <w:sz w:val="24"/>
          <w:szCs w:val="24"/>
          <w:highlight w:val="yellow"/>
          <w:u w:val="single"/>
        </w:rPr>
        <w:t>https://doi.org/10.1152/physrev.2000.80.1.315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9883A3E">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[24] Casanova A, Wevers A, Navarro-Ledesma S, Pruimboom L. Mitochondria: It is all about energy. Frontiers in Physiology. 2023; 14: 1114231.</w:t>
      </w:r>
      <w:r>
        <w:rPr>
          <w:rFonts w:ascii="Times New Roman" w:hAnsi="Times New Roman" w:eastAsia="Times New Roman" w:cs="Times New Roman"/>
          <w:sz w:val="24"/>
          <w:szCs w:val="24"/>
          <w:highlight w:val="yellow"/>
        </w:rPr>
        <w:t xml:space="preserve"> </w:t>
      </w:r>
      <w:r>
        <w:fldChar w:fldCharType="begin"/>
      </w:r>
      <w:r>
        <w:instrText xml:space="preserve"> HYPERLINK "https://doi.org/10.3389/fphys.2023.1114231" \h </w:instrText>
      </w:r>
      <w:r>
        <w:fldChar w:fldCharType="separate"/>
      </w:r>
      <w:r>
        <w:rPr>
          <w:rFonts w:ascii="Times New Roman" w:hAnsi="Times New Roman" w:eastAsia="Times New Roman" w:cs="Times New Roman"/>
          <w:color w:val="0563C1"/>
          <w:sz w:val="24"/>
          <w:szCs w:val="24"/>
          <w:highlight w:val="yellow"/>
          <w:u w:val="single"/>
        </w:rPr>
        <w:t>https://doi.org/10.3389/fphys.2023.1114231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A2F4CD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 Madrer N, Perera ND, Uccelli NA, Abbondanza A, Andersen JV, Carsana EV,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Neural Metabolic Networks: Key Elements of Healthy Brain Function. Journal of Neurochemistry. 2025; 169: e70084.</w:t>
      </w:r>
    </w:p>
    <w:p w14:paraId="03A3B8BD">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"https://doi.org/10.1111/jnc.70084" \h </w:instrText>
      </w:r>
      <w:r>
        <w:fldChar w:fldCharType="separate"/>
      </w:r>
      <w:r>
        <w:rPr>
          <w:rFonts w:ascii="Times New Roman" w:hAnsi="Times New Roman" w:eastAsia="Times New Roman" w:cs="Times New Roman"/>
          <w:color w:val="0563C1"/>
          <w:sz w:val="24"/>
          <w:szCs w:val="24"/>
          <w:highlight w:val="yellow"/>
          <w:u w:val="single"/>
        </w:rPr>
        <w:t>https://doi.org/10.1111/jnc.70084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AF2DC0A">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[26] Harris JJ, Jolivet R, Attwell D. Synaptic energy use and supply. Neuron. 2012; 75: 762–777. </w:t>
      </w:r>
      <w:r>
        <w:fldChar w:fldCharType="begin"/>
      </w:r>
      <w:r>
        <w:instrText xml:space="preserve"> HYPERLINK "https://doi.org/10.1016/j.neuron.2012.08.019" \h </w:instrText>
      </w:r>
      <w:r>
        <w:fldChar w:fldCharType="separate"/>
      </w:r>
      <w:r>
        <w:rPr>
          <w:rFonts w:ascii="Times New Roman" w:hAnsi="Times New Roman" w:eastAsia="Times New Roman" w:cs="Times New Roman"/>
          <w:color w:val="0563C1"/>
          <w:sz w:val="24"/>
          <w:szCs w:val="24"/>
          <w:highlight w:val="yellow"/>
          <w:u w:val="single"/>
        </w:rPr>
        <w:t>https://doi.org/10.1016/j.neuron.2012.08.019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1F03A0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[27] de Siqueira DVF, Boaretto N, Leão RM. Decreases in metabolic ATP open KATP channels and reduce firing in an auditory brainstem neuron: A dynamic mechanism of firing control during intense activity. Neuroscience. 2025,  564: 171–178. </w:t>
      </w:r>
      <w:r>
        <w:fldChar w:fldCharType="begin"/>
      </w:r>
      <w:r>
        <w:instrText xml:space="preserve"> HYPERLINK "https://doi.org/10.1016/j.neuroscience.2024.11.052" \h </w:instrText>
      </w:r>
      <w:r>
        <w:fldChar w:fldCharType="separate"/>
      </w:r>
      <w:r>
        <w:rPr>
          <w:rFonts w:ascii="Times New Roman" w:hAnsi="Times New Roman" w:eastAsia="Times New Roman" w:cs="Times New Roman"/>
          <w:color w:val="0563C1"/>
          <w:sz w:val="24"/>
          <w:szCs w:val="24"/>
          <w:highlight w:val="yellow"/>
          <w:u w:val="single"/>
        </w:rPr>
        <w:t>https://doi.org/10.1016/j.neuroscience.2024.11.052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7EE386A">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[28] Rho JM, Boison D. The metabolic basis of epilepsy. Nature reviews. Neurology.  2022; 18: 333–347. </w:t>
      </w:r>
      <w:r>
        <w:fldChar w:fldCharType="begin"/>
      </w:r>
      <w:r>
        <w:instrText xml:space="preserve"> HYPERLINK "https://doi.org/10.1038/s41582-022-00651-8" \h </w:instrText>
      </w:r>
      <w:r>
        <w:fldChar w:fldCharType="separate"/>
      </w:r>
      <w:r>
        <w:rPr>
          <w:rFonts w:ascii="Times New Roman" w:hAnsi="Times New Roman" w:eastAsia="Times New Roman" w:cs="Times New Roman"/>
          <w:color w:val="0563C1"/>
          <w:sz w:val="24"/>
          <w:szCs w:val="24"/>
          <w:highlight w:val="yellow"/>
          <w:u w:val="single"/>
        </w:rPr>
        <w:t>https://doi.org/10.1038/s41582-022-00651-8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8F7249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[29] Denton RM. Regulation of mitochondrial dehydrogenases by calcium ions. Biochimica et Biophysica acta. 2009; 1787: 1309–1316.</w:t>
      </w:r>
      <w:r>
        <w:rPr>
          <w:rFonts w:ascii="Times New Roman" w:hAnsi="Times New Roman" w:eastAsia="Times New Roman" w:cs="Times New Roman"/>
          <w:sz w:val="24"/>
          <w:szCs w:val="24"/>
          <w:highlight w:val="yellow"/>
        </w:rPr>
        <w:t xml:space="preserve"> </w:t>
      </w:r>
      <w:r>
        <w:fldChar w:fldCharType="begin"/>
      </w:r>
      <w:r>
        <w:instrText xml:space="preserve"> HYPERLINK "https://doi.org/10.1016/j.bbabio.2009.01.005" \h </w:instrText>
      </w:r>
      <w:r>
        <w:fldChar w:fldCharType="separate"/>
      </w:r>
      <w:r>
        <w:rPr>
          <w:rFonts w:ascii="Times New Roman" w:hAnsi="Times New Roman" w:eastAsia="Times New Roman" w:cs="Times New Roman"/>
          <w:color w:val="0563C1"/>
          <w:sz w:val="24"/>
          <w:szCs w:val="24"/>
          <w:highlight w:val="yellow"/>
          <w:u w:val="single"/>
        </w:rPr>
        <w:t>https://doi.org/10.1016/j.bbabio.2009.01.005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5C442FF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[30] Lee SH, Duron HE, Chaudhuri D. Beyond the TCA cycle: new insights into mitochondrial calcium regulation of oxidative phosphorylation. Biochemical Society Transactions. 2023; 51: 1661–1673. </w:t>
      </w:r>
    </w:p>
    <w:p w14:paraId="3EEFFE07">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"https://doi.org/10.1042/BST20230012" \h </w:instrText>
      </w:r>
      <w:r>
        <w:fldChar w:fldCharType="separate"/>
      </w:r>
      <w:r>
        <w:rPr>
          <w:rFonts w:ascii="Times New Roman" w:hAnsi="Times New Roman" w:eastAsia="Times New Roman" w:cs="Times New Roman"/>
          <w:color w:val="0563C1"/>
          <w:sz w:val="24"/>
          <w:szCs w:val="24"/>
          <w:highlight w:val="yellow"/>
          <w:u w:val="single"/>
        </w:rPr>
        <w:t>https://doi.org/10.1042/BST20230012</w:t>
      </w:r>
      <w:r>
        <w:rPr>
          <w:rFonts w:ascii="Times New Roman" w:hAnsi="Times New Roman" w:eastAsia="Times New Roman" w:cs="Times New Roman"/>
          <w:color w:val="0563C1"/>
          <w:sz w:val="24"/>
          <w:szCs w:val="24"/>
          <w:highlight w:val="yellow"/>
          <w:u w:val="single"/>
        </w:rPr>
        <w:fldChar w:fldCharType="end"/>
      </w:r>
    </w:p>
    <w:p w14:paraId="17F12557">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[31] Phillips KF, Deshpande LS. Calcium Hypothesis of Gulf War Illness: Role of Calcium Ions in Neurological Morbidities in a DFP-Based Rat Model for Gulf War Illness. Neuroscience Insights. 2020; 15: 2633105520979841. </w:t>
      </w:r>
      <w:r>
        <w:fldChar w:fldCharType="begin"/>
      </w:r>
      <w:r>
        <w:instrText xml:space="preserve"> HYPERLINK "https://doi.org/10.1177/2633105520979841" \h </w:instrText>
      </w:r>
      <w:r>
        <w:fldChar w:fldCharType="separate"/>
      </w:r>
      <w:r>
        <w:rPr>
          <w:rFonts w:ascii="Times New Roman" w:hAnsi="Times New Roman" w:eastAsia="Times New Roman" w:cs="Times New Roman"/>
          <w:color w:val="0563C1"/>
          <w:sz w:val="24"/>
          <w:szCs w:val="24"/>
          <w:highlight w:val="yellow"/>
          <w:u w:val="single"/>
        </w:rPr>
        <w:t>https://doi.org/10.1177/2633105520979841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932496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[32] Patel MN. Oxidative stress, mitochondrial dysfunction, and epilepsy. Free Radical Research. 2002; 36: 1139–1146. </w:t>
      </w:r>
      <w:r>
        <w:fldChar w:fldCharType="begin"/>
      </w:r>
      <w:r>
        <w:instrText xml:space="preserve"> HYPERLINK "https://doi.org/10.1080/1071576021000016391" \h </w:instrText>
      </w:r>
      <w:r>
        <w:fldChar w:fldCharType="separate"/>
      </w:r>
      <w:r>
        <w:rPr>
          <w:rFonts w:ascii="Times New Roman" w:hAnsi="Times New Roman" w:eastAsia="Times New Roman" w:cs="Times New Roman"/>
          <w:color w:val="0563C1"/>
          <w:sz w:val="24"/>
          <w:szCs w:val="24"/>
          <w:highlight w:val="yellow"/>
          <w:u w:val="single"/>
        </w:rPr>
        <w:t>https://doi.org/10.1080/1071576021000016391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3937DE19">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[33] Madireddy S, Madireddy S. Therapeutic Strategies to Ameliorate Neuronal Damage in Epilepsy by Regulating Oxidative Stress, Mitochondrial Dysfunction, and Neuroinflammation. Brain Sciences. 2023; 13: 784. </w:t>
      </w:r>
      <w:r>
        <w:fldChar w:fldCharType="begin"/>
      </w:r>
      <w:r>
        <w:instrText xml:space="preserve"> HYPERLINK "https://doi.org/10.3390/brainsci13050784" \h </w:instrText>
      </w:r>
      <w:r>
        <w:fldChar w:fldCharType="separate"/>
      </w:r>
      <w:r>
        <w:rPr>
          <w:rFonts w:ascii="Times New Roman" w:hAnsi="Times New Roman" w:eastAsia="Times New Roman" w:cs="Times New Roman"/>
          <w:color w:val="0563C1"/>
          <w:sz w:val="24"/>
          <w:szCs w:val="24"/>
          <w:highlight w:val="yellow"/>
          <w:u w:val="single"/>
        </w:rPr>
        <w:t>https://doi.org/10.3390/brainsci13050784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F503675">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[34] Pearson-Smith JN, Patel M. Metabolic Dysfunction and Oxidative Stress in Epilepsy. International Journal of Molecular Sciences. 2017; 18: 2365. </w:t>
      </w:r>
      <w:r>
        <w:fldChar w:fldCharType="begin"/>
      </w:r>
      <w:r>
        <w:instrText xml:space="preserve"> HYPERLINK "https://doi.org/10.3390/ijms18112365" \h </w:instrText>
      </w:r>
      <w:r>
        <w:fldChar w:fldCharType="separate"/>
      </w:r>
      <w:r>
        <w:rPr>
          <w:rFonts w:ascii="Times New Roman" w:hAnsi="Times New Roman" w:eastAsia="Times New Roman" w:cs="Times New Roman"/>
          <w:color w:val="0563C1"/>
          <w:sz w:val="24"/>
          <w:szCs w:val="24"/>
          <w:highlight w:val="yellow"/>
          <w:u w:val="single"/>
        </w:rPr>
        <w:t>https://doi.org/10.3390/ijms18112365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345E40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[35] Parsons ALM, Bucknor EMV, Castroflorio E, Soares TR, Oliver PL, Rial D. The Interconnected Mechanisms of Oxidative Stress and Neuroinflammation in Epilepsy. Antioxidants. 2022; 11: 157.</w:t>
      </w:r>
    </w:p>
    <w:p w14:paraId="1B497287">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"https://doi.org/10.3390/antiox11010157" \h </w:instrText>
      </w:r>
      <w:r>
        <w:fldChar w:fldCharType="separate"/>
      </w:r>
      <w:r>
        <w:rPr>
          <w:rFonts w:ascii="Times New Roman" w:hAnsi="Times New Roman" w:eastAsia="Times New Roman" w:cs="Times New Roman"/>
          <w:color w:val="0563C1"/>
          <w:sz w:val="24"/>
          <w:szCs w:val="24"/>
          <w:highlight w:val="yellow"/>
          <w:u w:val="single"/>
        </w:rPr>
        <w:t>https://doi.org/10.3390/antiox11010157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BBB6F4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[36] Rizzuto R, De Stefani D, Raffaello A, Mammucari C. Mitochondria as sensors and regulators of calcium signalling. Nature Reviews Molecular Cell Biology. 2012; 13: 566–578.</w:t>
      </w:r>
      <w:r>
        <w:rPr>
          <w:rFonts w:ascii="Times New Roman" w:hAnsi="Times New Roman" w:eastAsia="Times New Roman" w:cs="Times New Roman"/>
          <w:sz w:val="24"/>
          <w:szCs w:val="24"/>
          <w:highlight w:val="yellow"/>
        </w:rPr>
        <w:t xml:space="preserve"> </w:t>
      </w:r>
      <w:r>
        <w:fldChar w:fldCharType="begin"/>
      </w:r>
      <w:r>
        <w:instrText xml:space="preserve"> HYPERLINK "https://doi.org/10.1038/nrm3412" \h </w:instrText>
      </w:r>
      <w:r>
        <w:fldChar w:fldCharType="separate"/>
      </w:r>
      <w:r>
        <w:rPr>
          <w:rFonts w:ascii="Times New Roman" w:hAnsi="Times New Roman" w:eastAsia="Times New Roman" w:cs="Times New Roman"/>
          <w:color w:val="0563C1"/>
          <w:sz w:val="24"/>
          <w:szCs w:val="24"/>
          <w:highlight w:val="yellow"/>
          <w:u w:val="single"/>
        </w:rPr>
        <w:t>https://doi.org/10.1038/nrm3412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0A990A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[37] Yoast RE, Emrich SM, Zhang X, Xin P, Arige V, Pathak T,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The Mitochondrial Ca2+ uniporter is a central regulator of interorganellar Ca2+ transfer and NFAT activation. The Journal of Biological Chemistry. 2021; 297: 101174. </w:t>
      </w:r>
      <w:r>
        <w:fldChar w:fldCharType="begin"/>
      </w:r>
      <w:r>
        <w:instrText xml:space="preserve"> HYPERLINK "https://doi.org/10.1016/j.jbc.2021.101174" \h </w:instrText>
      </w:r>
      <w:r>
        <w:fldChar w:fldCharType="separate"/>
      </w:r>
      <w:r>
        <w:rPr>
          <w:rFonts w:ascii="Times New Roman" w:hAnsi="Times New Roman" w:eastAsia="Times New Roman" w:cs="Times New Roman"/>
          <w:color w:val="0563C1"/>
          <w:sz w:val="24"/>
          <w:szCs w:val="24"/>
          <w:highlight w:val="yellow"/>
          <w:u w:val="single"/>
        </w:rPr>
        <w:t>https://doi.org/10.1016/j.jbc.2021.101174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541FFD36">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[38] Gunter TE, Sheu SS. Characteristics and possible functions of mitochondrial Ca(2+) transport mechanisms. Biochimica et Biophysica Acta. 2009; 1787: 1291–1308. </w:t>
      </w:r>
      <w:r>
        <w:fldChar w:fldCharType="begin"/>
      </w:r>
      <w:r>
        <w:instrText xml:space="preserve"> HYPERLINK "https://doi.org/10.1016/j.bbabio.2008.12.011" \h </w:instrText>
      </w:r>
      <w:r>
        <w:fldChar w:fldCharType="separate"/>
      </w:r>
      <w:r>
        <w:rPr>
          <w:rFonts w:ascii="Times New Roman" w:hAnsi="Times New Roman" w:eastAsia="Times New Roman" w:cs="Times New Roman"/>
          <w:color w:val="0563C1"/>
          <w:sz w:val="24"/>
          <w:szCs w:val="24"/>
          <w:highlight w:val="yellow"/>
          <w:u w:val="single"/>
        </w:rPr>
        <w:t>https://doi.org/10.1016/j.bbabio.2008.12.011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A41DB94">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[39] Walkon LL, Strubbe-Rivera JO, Bazil JN. Calcium Overload and Mitochondrial Metabolism. Biomolecules. 2022; 12: 1891. </w:t>
      </w:r>
      <w:r>
        <w:fldChar w:fldCharType="begin"/>
      </w:r>
      <w:r>
        <w:instrText xml:space="preserve"> HYPERLINK "https://doi.org/10.3390/biom12121891" \h </w:instrText>
      </w:r>
      <w:r>
        <w:fldChar w:fldCharType="separate"/>
      </w:r>
      <w:r>
        <w:rPr>
          <w:rFonts w:ascii="Times New Roman" w:hAnsi="Times New Roman" w:eastAsia="Times New Roman" w:cs="Times New Roman"/>
          <w:color w:val="0563C1"/>
          <w:sz w:val="24"/>
          <w:szCs w:val="24"/>
          <w:highlight w:val="yellow"/>
          <w:u w:val="single"/>
        </w:rPr>
        <w:t>https://doi.org/10.3390/biom12121891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B91AA3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[40] Duchen MR. Contributions of mitochondria to animal physiology: from homeostatic sensor to calcium signalling and cell death. The Journal of Physiology. 1999; 516: 1–17. </w:t>
      </w:r>
      <w:r>
        <w:fldChar w:fldCharType="begin"/>
      </w:r>
      <w:r>
        <w:instrText xml:space="preserve"> HYPERLINK "https://doi.org/10.1111/j.1469-7793.1999.001aa.x" \h </w:instrText>
      </w:r>
      <w:r>
        <w:fldChar w:fldCharType="separate"/>
      </w:r>
      <w:r>
        <w:rPr>
          <w:rFonts w:ascii="Times New Roman" w:hAnsi="Times New Roman" w:eastAsia="Times New Roman" w:cs="Times New Roman"/>
          <w:color w:val="0563C1"/>
          <w:sz w:val="24"/>
          <w:szCs w:val="24"/>
          <w:highlight w:val="yellow"/>
          <w:u w:val="single"/>
        </w:rPr>
        <w:t>https://doi.org/10.1111/j.1469-7793.1999.001aa.x</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E3CA81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[41] Granatiero V, Pacifici M, Raffaello A, De Stefani D, Rizzuto R. Overexpression of Mitochondrial Calcium Uniporter Causes Neuronal Death. Oxidative Medicine and Cellular Longevity. 2019; 2019: 1681254.</w:t>
      </w:r>
      <w:r>
        <w:rPr>
          <w:rFonts w:ascii="Times New Roman" w:hAnsi="Times New Roman" w:eastAsia="Times New Roman" w:cs="Times New Roman"/>
          <w:sz w:val="24"/>
          <w:szCs w:val="24"/>
          <w:highlight w:val="yellow"/>
        </w:rPr>
        <w:t xml:space="preserve"> </w:t>
      </w:r>
      <w:r>
        <w:fldChar w:fldCharType="begin"/>
      </w:r>
      <w:r>
        <w:instrText xml:space="preserve"> HYPERLINK "https://doi.org/10.1155/2019/1681254" \h </w:instrText>
      </w:r>
      <w:r>
        <w:fldChar w:fldCharType="separate"/>
      </w:r>
      <w:r>
        <w:rPr>
          <w:rFonts w:ascii="Times New Roman" w:hAnsi="Times New Roman" w:eastAsia="Times New Roman" w:cs="Times New Roman"/>
          <w:color w:val="0563C1"/>
          <w:sz w:val="24"/>
          <w:szCs w:val="24"/>
          <w:highlight w:val="yellow"/>
          <w:u w:val="single"/>
        </w:rPr>
        <w:t>https://doi.org/10.1155/2019/1681254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18099AEE">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[42] Giorgi C, Marchi S, Pinton P. The machineries, regulation and cellular functions of mitochondrial calcium. Nature reviews Molecular Cell Biology. 2018; 19: 713–730. </w:t>
      </w:r>
      <w:r>
        <w:fldChar w:fldCharType="begin"/>
      </w:r>
      <w:r>
        <w:instrText xml:space="preserve"> HYPERLINK "https://doi.org/10.1038/s41580-018-0052-8" \h </w:instrText>
      </w:r>
      <w:r>
        <w:fldChar w:fldCharType="separate"/>
      </w:r>
      <w:r>
        <w:rPr>
          <w:rFonts w:ascii="Times New Roman" w:hAnsi="Times New Roman" w:eastAsia="Times New Roman" w:cs="Times New Roman"/>
          <w:color w:val="0563C1"/>
          <w:sz w:val="24"/>
          <w:szCs w:val="24"/>
          <w:highlight w:val="yellow"/>
          <w:u w:val="single"/>
        </w:rPr>
        <w:t>https://doi.org/10.1038/s41580-018-0052-8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38959C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[43] Lee KS, Huh S, Lee S, Wu Z, Kim AK, Kang HY, Lu B. Altered ER-mitochondria contact impacts mitochondria calcium homeostasis and contributes to neurodegeneration in vivo in disease models. Proceedings of the National Academy of Sciences of the United States of America. 2018; 115: E8844–E8853.</w:t>
      </w:r>
      <w:r>
        <w:rPr>
          <w:rFonts w:ascii="Times New Roman" w:hAnsi="Times New Roman" w:eastAsia="Times New Roman" w:cs="Times New Roman"/>
          <w:sz w:val="24"/>
          <w:szCs w:val="24"/>
          <w:highlight w:val="yellow"/>
        </w:rPr>
        <w:t xml:space="preserve"> </w:t>
      </w:r>
      <w:r>
        <w:fldChar w:fldCharType="begin"/>
      </w:r>
      <w:r>
        <w:instrText xml:space="preserve"> HYPERLINK "https://doi.org/10.1073/pnas.1721136115" \h </w:instrText>
      </w:r>
      <w:r>
        <w:fldChar w:fldCharType="separate"/>
      </w:r>
      <w:r>
        <w:rPr>
          <w:rFonts w:ascii="Times New Roman" w:hAnsi="Times New Roman" w:eastAsia="Times New Roman" w:cs="Times New Roman"/>
          <w:color w:val="0563C1"/>
          <w:sz w:val="24"/>
          <w:szCs w:val="24"/>
          <w:highlight w:val="yellow"/>
          <w:u w:val="single"/>
        </w:rPr>
        <w:t>https://doi.org/10.1073/pnas.1721136115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07450AE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[44] Moran O, Sciancalepore M, Sandri G, Panfili E, Bassi R, Ballarin C, Sorgato MC. Ionic permeability of the mitochondrial outer membrane. European Biophysics Journal. 1992; 20: 311–319.</w:t>
      </w:r>
    </w:p>
    <w:p w14:paraId="7EC0AFF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 </w:t>
      </w:r>
      <w:r>
        <w:fldChar w:fldCharType="begin"/>
      </w:r>
      <w:r>
        <w:instrText xml:space="preserve"> HYPERLINK "https://doi.org/10.1007/BF00196590" \h </w:instrText>
      </w:r>
      <w:r>
        <w:fldChar w:fldCharType="separate"/>
      </w:r>
      <w:r>
        <w:rPr>
          <w:rFonts w:ascii="Times New Roman" w:hAnsi="Times New Roman" w:eastAsia="Times New Roman" w:cs="Times New Roman"/>
          <w:color w:val="0563C1"/>
          <w:sz w:val="24"/>
          <w:szCs w:val="24"/>
          <w:highlight w:val="yellow"/>
          <w:u w:val="single"/>
        </w:rPr>
        <w:t>https://doi.org/10.1007/BF00196590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12C55D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[45] Bednarczyk P, Kampa RP, Gałecka S, Sęk A, Walewska A, Koprowski P. Patch-Clamp Recording of the Activity of Ion Channels in the Inner Mitochondrial Membrane. In Weissig V, Edeas M. Mitochondrial Medicine: Methods in Molecular Biology. Human Press. Springer: New York, NY. (pp. 235–248). 2021. </w:t>
      </w:r>
      <w:r>
        <w:fldChar w:fldCharType="begin"/>
      </w:r>
      <w:r>
        <w:instrText xml:space="preserve"> HYPERLINK "https://doi.org/10.1007/978-1-0716-1266-8_18" \h </w:instrText>
      </w:r>
      <w:r>
        <w:fldChar w:fldCharType="separate"/>
      </w:r>
      <w:r>
        <w:rPr>
          <w:rFonts w:ascii="Times New Roman" w:hAnsi="Times New Roman" w:eastAsia="Times New Roman" w:cs="Times New Roman"/>
          <w:color w:val="0563C1"/>
          <w:sz w:val="24"/>
          <w:szCs w:val="24"/>
          <w:highlight w:val="yellow"/>
          <w:u w:val="single"/>
        </w:rPr>
        <w:t>https://doi.org/10.1007/978-1-0716-1266-8_18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5CE6570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[46] Rostovtseva TK, Bezrukov SM. VDAC regulation: role of cytosolic proteins and mitochondrial lipids. Journal of Bioenergetics and Biomembranes. 2008; 40: 163–170. </w:t>
      </w:r>
      <w:r>
        <w:fldChar w:fldCharType="begin"/>
      </w:r>
      <w:r>
        <w:instrText xml:space="preserve"> HYPERLINK "https://doi.org/10.1007/s10863-008-9145-y" \h </w:instrText>
      </w:r>
      <w:r>
        <w:fldChar w:fldCharType="separate"/>
      </w:r>
      <w:r>
        <w:rPr>
          <w:rFonts w:ascii="Times New Roman" w:hAnsi="Times New Roman" w:eastAsia="Times New Roman" w:cs="Times New Roman"/>
          <w:color w:val="0563C1"/>
          <w:sz w:val="24"/>
          <w:szCs w:val="24"/>
          <w:highlight w:val="yellow"/>
          <w:u w:val="single"/>
        </w:rPr>
        <w:t>https://doi.org/10.1007/s10863-008-9145-y</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BA652C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[47] Jahn H, Bartoš L, Dearden GI, Dittman JS, Holthuis JCM, Vácha R, Menon AK. Phospholipids are imported into mitochondria by VDAC, a dimeric beta barrel scramblase. Nature Communications, 2023; 14: 8115.</w:t>
      </w:r>
      <w:r>
        <w:rPr>
          <w:rFonts w:ascii="Times New Roman" w:hAnsi="Times New Roman" w:eastAsia="Times New Roman" w:cs="Times New Roman"/>
          <w:sz w:val="24"/>
          <w:szCs w:val="24"/>
          <w:highlight w:val="yellow"/>
        </w:rPr>
        <w:t xml:space="preserve"> </w:t>
      </w:r>
      <w:r>
        <w:fldChar w:fldCharType="begin"/>
      </w:r>
      <w:r>
        <w:instrText xml:space="preserve"> HYPERLINK "https://doi.org/10.1038/s41467-023-43570-y" \h </w:instrText>
      </w:r>
      <w:r>
        <w:fldChar w:fldCharType="separate"/>
      </w:r>
      <w:r>
        <w:rPr>
          <w:rFonts w:ascii="Times New Roman" w:hAnsi="Times New Roman" w:eastAsia="Times New Roman" w:cs="Times New Roman"/>
          <w:color w:val="0563C1"/>
          <w:sz w:val="24"/>
          <w:szCs w:val="24"/>
          <w:highlight w:val="yellow"/>
          <w:u w:val="single"/>
        </w:rPr>
        <w:t>https://doi.org/10.1038/s41467-023-43570-y</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06C394D0">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[48] Shoshan-Barmatz V, De Pinto V, Zweckstetter M, Raviv Z, Keinan N, Arbel N. VDAC, a multi-functional mitochondrial protein regulating cell life and death. Molecular Aspects of Medicine. 2010; 31: 227–285. </w:t>
      </w:r>
      <w:r>
        <w:fldChar w:fldCharType="begin"/>
      </w:r>
      <w:r>
        <w:instrText xml:space="preserve"> HYPERLINK "https://doi.org/10.1016/j.mam.2010.03.002" \h </w:instrText>
      </w:r>
      <w:r>
        <w:fldChar w:fldCharType="separate"/>
      </w:r>
      <w:r>
        <w:rPr>
          <w:rFonts w:ascii="Times New Roman" w:hAnsi="Times New Roman" w:eastAsia="Times New Roman" w:cs="Times New Roman"/>
          <w:color w:val="0563C1"/>
          <w:sz w:val="24"/>
          <w:szCs w:val="24"/>
          <w:highlight w:val="yellow"/>
          <w:u w:val="single"/>
        </w:rPr>
        <w:t>https://doi.org/10.1016/j.mam.2010.03.002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830993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[49] Abu-Hamad S, Sivan S, Shoshan-Barmatz V. The expression level of the voltage-dependent anion channel controls life and death of the cell. Proceedings of the National Academy of Sciences of the United States of America. 2006; 103: 5787–5792.</w:t>
      </w:r>
      <w:r>
        <w:rPr>
          <w:rFonts w:ascii="Times New Roman" w:hAnsi="Times New Roman" w:eastAsia="Times New Roman" w:cs="Times New Roman"/>
          <w:sz w:val="24"/>
          <w:szCs w:val="24"/>
          <w:highlight w:val="yellow"/>
        </w:rPr>
        <w:t xml:space="preserve"> </w:t>
      </w:r>
      <w:r>
        <w:fldChar w:fldCharType="begin"/>
      </w:r>
      <w:r>
        <w:instrText xml:space="preserve"> HYPERLINK "https://doi.org/10.1073/pnas.0600103103" \h </w:instrText>
      </w:r>
      <w:r>
        <w:fldChar w:fldCharType="separate"/>
      </w:r>
      <w:r>
        <w:rPr>
          <w:rFonts w:ascii="Times New Roman" w:hAnsi="Times New Roman" w:eastAsia="Times New Roman" w:cs="Times New Roman"/>
          <w:color w:val="0563C1"/>
          <w:sz w:val="24"/>
          <w:szCs w:val="24"/>
          <w:highlight w:val="yellow"/>
          <w:u w:val="single"/>
        </w:rPr>
        <w:t>https://doi.org/10.1073/pnas.0600103103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1B72F94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[50] Shoshan-Barmatz V, Krelin Y, Shteinfer-Kuzmine A. VDAC1 functions in Ca2+ homeostasis and cell life and death in health and disease. Cell Calcium. 2018; 69: 81–100. </w:t>
      </w:r>
      <w:r>
        <w:fldChar w:fldCharType="begin"/>
      </w:r>
      <w:r>
        <w:instrText xml:space="preserve"> HYPERLINK "https://doi.org/10.1016/j.ceca.2017.06.007" \h </w:instrText>
      </w:r>
      <w:r>
        <w:fldChar w:fldCharType="separate"/>
      </w:r>
      <w:r>
        <w:rPr>
          <w:rFonts w:ascii="Times New Roman" w:hAnsi="Times New Roman" w:eastAsia="Times New Roman" w:cs="Times New Roman"/>
          <w:color w:val="0563C1"/>
          <w:sz w:val="24"/>
          <w:szCs w:val="24"/>
          <w:highlight w:val="yellow"/>
          <w:u w:val="single"/>
        </w:rPr>
        <w:t>https://doi.org/10.1016/j.ceca.2017.06.007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24D0C20D">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[51] Liu S, Liu J, Wang Y, Deng F, Deng Z. Oxidative Stress: Signaling Pathways, Biological Functions, and Disease. MedComm. 2025; 6: e70268. </w:t>
      </w:r>
      <w:r>
        <w:fldChar w:fldCharType="begin"/>
      </w:r>
      <w:r>
        <w:instrText xml:space="preserve"> HYPERLINK "https://doi.org/10.1002/mco2.70268" \h </w:instrText>
      </w:r>
      <w:r>
        <w:fldChar w:fldCharType="separate"/>
      </w:r>
      <w:r>
        <w:rPr>
          <w:rFonts w:ascii="Times New Roman" w:hAnsi="Times New Roman" w:eastAsia="Times New Roman" w:cs="Times New Roman"/>
          <w:color w:val="0563C1"/>
          <w:sz w:val="24"/>
          <w:szCs w:val="24"/>
          <w:highlight w:val="yellow"/>
          <w:u w:val="single"/>
        </w:rPr>
        <w:t>https://doi.org/10.1002/mco2.70268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7B1303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[52] Baughman JM, Perocchi F, Girgis HS, Plovanich M, Belcher-Timme CA, Sancak Y,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Integrative genomics identifies MCU as an essential component of the mitochondrial calcium uniporter. Nature. 2011; 476: 341–345.</w:t>
      </w:r>
      <w:r>
        <w:rPr>
          <w:rFonts w:ascii="Times New Roman" w:hAnsi="Times New Roman" w:eastAsia="Times New Roman" w:cs="Times New Roman"/>
          <w:sz w:val="24"/>
          <w:szCs w:val="24"/>
          <w:highlight w:val="yellow"/>
        </w:rPr>
        <w:t xml:space="preserve"> </w:t>
      </w:r>
      <w:r>
        <w:fldChar w:fldCharType="begin"/>
      </w:r>
      <w:r>
        <w:instrText xml:space="preserve"> HYPERLINK "https://doi.org/10.1038/nature10234" \h </w:instrText>
      </w:r>
      <w:r>
        <w:fldChar w:fldCharType="separate"/>
      </w:r>
      <w:r>
        <w:rPr>
          <w:rFonts w:ascii="Times New Roman" w:hAnsi="Times New Roman" w:eastAsia="Times New Roman" w:cs="Times New Roman"/>
          <w:color w:val="0563C1"/>
          <w:sz w:val="24"/>
          <w:szCs w:val="24"/>
          <w:highlight w:val="yellow"/>
          <w:u w:val="single"/>
        </w:rPr>
        <w:t>https://doi.org/10.1038/nature10234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3943A86">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[53] De Stefani D, Raffaello A, Teardo E, Szabò I, Rizzuto R. A forty-kilodalton protein of the inner membrane is the mitochondrial calcium uniporter. Nature. 2011; 476: 336–340. </w:t>
      </w:r>
      <w:r>
        <w:fldChar w:fldCharType="begin"/>
      </w:r>
      <w:r>
        <w:instrText xml:space="preserve"> HYPERLINK "https://doi.org/10.1038/nature10230" \h </w:instrText>
      </w:r>
      <w:r>
        <w:fldChar w:fldCharType="separate"/>
      </w:r>
      <w:r>
        <w:rPr>
          <w:rFonts w:ascii="Times New Roman" w:hAnsi="Times New Roman" w:eastAsia="Times New Roman" w:cs="Times New Roman"/>
          <w:color w:val="0563C1"/>
          <w:sz w:val="24"/>
          <w:szCs w:val="24"/>
          <w:highlight w:val="yellow"/>
          <w:u w:val="single"/>
        </w:rPr>
        <w:t>https://doi.org/10.1038/nature10230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8960085">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[54] D’Angelo D, Rizzuto R. The Mitochondrial Calcium Uniporter (MCU): Molecular Identity and Role in Human Diseases. Biomolecules. 2023; 13: 1304.</w:t>
      </w:r>
      <w:r>
        <w:rPr>
          <w:rFonts w:ascii="Times New Roman" w:hAnsi="Times New Roman" w:eastAsia="Times New Roman" w:cs="Times New Roman"/>
          <w:sz w:val="24"/>
          <w:szCs w:val="24"/>
          <w:highlight w:val="yellow"/>
        </w:rPr>
        <w:t xml:space="preserve"> </w:t>
      </w:r>
      <w:r>
        <w:fldChar w:fldCharType="begin"/>
      </w:r>
      <w:r>
        <w:instrText xml:space="preserve"> HYPERLINK "https://doi.org/10.3390/biom13091304" \h </w:instrText>
      </w:r>
      <w:r>
        <w:fldChar w:fldCharType="separate"/>
      </w:r>
      <w:r>
        <w:rPr>
          <w:rFonts w:ascii="Times New Roman" w:hAnsi="Times New Roman" w:eastAsia="Times New Roman" w:cs="Times New Roman"/>
          <w:color w:val="0563C1"/>
          <w:sz w:val="24"/>
          <w:szCs w:val="24"/>
          <w:highlight w:val="yellow"/>
          <w:u w:val="single"/>
        </w:rPr>
        <w:t>https://doi.org/10.3390/biom13091304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D9EBFF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[55] Perocchi F, Gohil VM, Girgis HS, Bao XR, McCombs JE, Palmer AE, Mootha VK. MICU1 encodes a mitochondrial EF hand protein required for Ca(2+) uptake. Nature. 2010; 467: 291–296.</w:t>
      </w:r>
    </w:p>
    <w:p w14:paraId="0E38264E">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"https://doi.org/10.1038/nature09358" \h </w:instrText>
      </w:r>
      <w:r>
        <w:fldChar w:fldCharType="separate"/>
      </w:r>
      <w:r>
        <w:rPr>
          <w:rFonts w:ascii="Times New Roman" w:hAnsi="Times New Roman" w:eastAsia="Times New Roman" w:cs="Times New Roman"/>
          <w:color w:val="0563C1"/>
          <w:sz w:val="24"/>
          <w:szCs w:val="24"/>
          <w:highlight w:val="yellow"/>
          <w:u w:val="single"/>
        </w:rPr>
        <w:t>https://doi.org/10.1038/nature09358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B22263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[56] Kamer KJ, Mootha VK. The molecular era of the mitochondrial calcium uniporter. Nature Reviews Molecular Cell Biology. 2015; 16: 545–553. </w:t>
      </w:r>
      <w:r>
        <w:fldChar w:fldCharType="begin"/>
      </w:r>
      <w:r>
        <w:instrText xml:space="preserve"> HYPERLINK "https://doi.org/10.1038/nrm4039" \h </w:instrText>
      </w:r>
      <w:r>
        <w:fldChar w:fldCharType="separate"/>
      </w:r>
      <w:r>
        <w:rPr>
          <w:rFonts w:ascii="Times New Roman" w:hAnsi="Times New Roman" w:eastAsia="Times New Roman" w:cs="Times New Roman"/>
          <w:color w:val="0563C1"/>
          <w:sz w:val="24"/>
          <w:szCs w:val="24"/>
          <w:highlight w:val="yellow"/>
          <w:u w:val="single"/>
        </w:rPr>
        <w:t>https://doi.org/10.1038/nrm4039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8203E4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[57] Tsai CW, Liu TY, Chao FY, Tu YC, Rodriguez MX, Van Keuren A M,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Evidence supporting the MICU1 occlusion mechanism and against the potentiation model in the mitochondrial calcium uniporter complex. Proceedings of the National Academy of Sciences of the United States of America. 2023; 120: e2217665120.</w:t>
      </w:r>
      <w:r>
        <w:rPr>
          <w:rFonts w:ascii="Times New Roman" w:hAnsi="Times New Roman" w:eastAsia="Times New Roman" w:cs="Times New Roman"/>
          <w:sz w:val="24"/>
          <w:szCs w:val="24"/>
          <w:highlight w:val="yellow"/>
        </w:rPr>
        <w:t xml:space="preserve"> </w:t>
      </w:r>
      <w:r>
        <w:fldChar w:fldCharType="begin"/>
      </w:r>
      <w:r>
        <w:instrText xml:space="preserve"> HYPERLINK "https://doi.org/10.1073/pnas.2217665120" \h </w:instrText>
      </w:r>
      <w:r>
        <w:fldChar w:fldCharType="separate"/>
      </w:r>
      <w:r>
        <w:rPr>
          <w:rFonts w:ascii="Times New Roman" w:hAnsi="Times New Roman" w:eastAsia="Times New Roman" w:cs="Times New Roman"/>
          <w:color w:val="0563C1"/>
          <w:sz w:val="24"/>
          <w:szCs w:val="24"/>
          <w:highlight w:val="yellow"/>
          <w:u w:val="single"/>
        </w:rPr>
        <w:t>https://doi.org/10.1073/pnas.2217665120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58021C22">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[58] Patron M, Raffaello A, Granatiero V, Tosatto A, Merli G, De Stefani D,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The mitochondrial calcium uniporter (MCU): molecular identity and physiological roles. The Journal of Biological Chemistry. 2013; 288: 10750–10758.</w:t>
      </w:r>
      <w:r>
        <w:rPr>
          <w:rFonts w:ascii="Times New Roman" w:hAnsi="Times New Roman" w:eastAsia="Times New Roman" w:cs="Times New Roman"/>
          <w:sz w:val="24"/>
          <w:szCs w:val="24"/>
          <w:highlight w:val="yellow"/>
        </w:rPr>
        <w:t xml:space="preserve"> </w:t>
      </w:r>
      <w:r>
        <w:fldChar w:fldCharType="begin"/>
      </w:r>
      <w:r>
        <w:instrText xml:space="preserve"> HYPERLINK "https://doi.org/10.1074/jbc.R112.420752" \h </w:instrText>
      </w:r>
      <w:r>
        <w:fldChar w:fldCharType="separate"/>
      </w:r>
      <w:r>
        <w:rPr>
          <w:rFonts w:ascii="Times New Roman" w:hAnsi="Times New Roman" w:eastAsia="Times New Roman" w:cs="Times New Roman"/>
          <w:color w:val="0563C1"/>
          <w:sz w:val="24"/>
          <w:szCs w:val="24"/>
          <w:highlight w:val="yellow"/>
          <w:u w:val="single"/>
        </w:rPr>
        <w:t>https://doi.org/10.1074/jbc.R112.420752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63FE253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[59] Feofilaktova T, Kushnireva L, Segal M, Korkotian E. Calcium signaling in postsynaptic mitochondria: mechanisms, dynamics, and role in ATP production. Frontiers in Molecular Neuroscience. 2025; 18: 1621070.</w:t>
      </w:r>
      <w:r>
        <w:rPr>
          <w:rFonts w:ascii="Times New Roman" w:hAnsi="Times New Roman" w:eastAsia="Times New Roman" w:cs="Times New Roman"/>
          <w:sz w:val="24"/>
          <w:szCs w:val="24"/>
          <w:highlight w:val="yellow"/>
        </w:rPr>
        <w:t xml:space="preserve"> </w:t>
      </w:r>
      <w:r>
        <w:fldChar w:fldCharType="begin"/>
      </w:r>
      <w:r>
        <w:instrText xml:space="preserve"> HYPERLINK "https://doi.org/10.3389/fnmol.2025.1621070" \h </w:instrText>
      </w:r>
      <w:r>
        <w:fldChar w:fldCharType="separate"/>
      </w:r>
      <w:r>
        <w:rPr>
          <w:rFonts w:ascii="Times New Roman" w:hAnsi="Times New Roman" w:eastAsia="Times New Roman" w:cs="Times New Roman"/>
          <w:color w:val="0563C1"/>
          <w:sz w:val="24"/>
          <w:szCs w:val="24"/>
          <w:highlight w:val="yellow"/>
          <w:u w:val="single"/>
        </w:rPr>
        <w:t>https://doi.org/10.3389/fnmol.2025.1621070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27E74351">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[60] Palty R, Silverman WF, Hershfinkel M, Caporale T, Sensi SL, Parnis J,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NCLX is an essential component of mitochondrial Na+/Ca2+ exchange. Proceedings of the National Academy of Sciences of the United States of America. 2010; 107: 436–441.</w:t>
      </w:r>
      <w:r>
        <w:rPr>
          <w:rFonts w:ascii="Times New Roman" w:hAnsi="Times New Roman" w:eastAsia="Times New Roman" w:cs="Times New Roman"/>
          <w:sz w:val="24"/>
          <w:szCs w:val="24"/>
          <w:highlight w:val="yellow"/>
        </w:rPr>
        <w:t xml:space="preserve"> </w:t>
      </w:r>
      <w:r>
        <w:fldChar w:fldCharType="begin"/>
      </w:r>
      <w:r>
        <w:instrText xml:space="preserve"> HYPERLINK "https://doi.org/10.1073/pnas.0908099107" \h </w:instrText>
      </w:r>
      <w:r>
        <w:fldChar w:fldCharType="separate"/>
      </w:r>
      <w:r>
        <w:rPr>
          <w:rFonts w:ascii="Times New Roman" w:hAnsi="Times New Roman" w:eastAsia="Times New Roman" w:cs="Times New Roman"/>
          <w:color w:val="0563C1"/>
          <w:sz w:val="24"/>
          <w:szCs w:val="24"/>
          <w:highlight w:val="yellow"/>
          <w:u w:val="single"/>
        </w:rPr>
        <w:t>https://doi.org/10.1073/pnas.0908099107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E0E501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[61] Boyman L, Williams GS, Khananshvili D, Sekler I, Lederer WJ. NCLX: the mitochondrial sodium calcium exchanger. Journal of Molecular and Cellular Cardiology, 2013; 59: 205–213. </w:t>
      </w:r>
      <w:r>
        <w:fldChar w:fldCharType="begin"/>
      </w:r>
      <w:r>
        <w:instrText xml:space="preserve"> HYPERLINK "https://doi.org/10.1016/j.yjmcc.2013.03.012" \h </w:instrText>
      </w:r>
      <w:r>
        <w:fldChar w:fldCharType="separate"/>
      </w:r>
      <w:r>
        <w:rPr>
          <w:rFonts w:ascii="Times New Roman" w:hAnsi="Times New Roman" w:eastAsia="Times New Roman" w:cs="Times New Roman"/>
          <w:color w:val="0563C1"/>
          <w:sz w:val="24"/>
          <w:szCs w:val="24"/>
          <w:highlight w:val="yellow"/>
          <w:u w:val="single"/>
        </w:rPr>
        <w:t>https://doi.org/10.1016/j.yjmcc.2013.03.012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36228D9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[62] Jadiya P, Kolmetzky DW, Tomar D, Di Meco A, Lombardi AA, Lambert JP,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Impaired mitochondrial calcium efflux contributes to disease progression in models of Alzheimer's disease. Nature Communications. 2019; 10: 3885. </w:t>
      </w:r>
      <w:r>
        <w:fldChar w:fldCharType="begin"/>
      </w:r>
      <w:r>
        <w:instrText xml:space="preserve"> HYPERLINK "https://doi.org/10.1038/s41467-019-11813-6" \h </w:instrText>
      </w:r>
      <w:r>
        <w:fldChar w:fldCharType="separate"/>
      </w:r>
      <w:r>
        <w:rPr>
          <w:rFonts w:ascii="Times New Roman" w:hAnsi="Times New Roman" w:eastAsia="Times New Roman" w:cs="Times New Roman"/>
          <w:color w:val="0563C1"/>
          <w:sz w:val="24"/>
          <w:szCs w:val="24"/>
          <w:highlight w:val="yellow"/>
          <w:u w:val="single"/>
        </w:rPr>
        <w:t>https://doi.org/10.1038/s41467-019-11813-6</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669FC08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[63] Yi T, Qiu F, Shi J, Wu D, Li D, Zhang X,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Z-Ligustilide's antidepressant effects in adolescent depression involve the PTEN-induced putative kinase 1 (PINK1) - protein kinase A (PKA)- Na+/Ca2+ exchanger (NCLX) pathway, facilitating mitochondrial endosymbiosis and promoting mitophagy in microglia. Phytomedicine. 2025; 149: 157494.</w:t>
      </w:r>
      <w:r>
        <w:fldChar w:fldCharType="begin"/>
      </w:r>
      <w:r>
        <w:instrText xml:space="preserve"> HYPERLINK "https://doi.org/10.1016/j.phymed.2025.157494" \h </w:instrText>
      </w:r>
      <w:r>
        <w:fldChar w:fldCharType="separate"/>
      </w:r>
      <w:r>
        <w:rPr>
          <w:rFonts w:ascii="Times New Roman" w:hAnsi="Times New Roman" w:eastAsia="Times New Roman" w:cs="Times New Roman"/>
          <w:color w:val="0563C1"/>
          <w:sz w:val="24"/>
          <w:szCs w:val="24"/>
          <w:highlight w:val="yellow"/>
          <w:u w:val="single"/>
        </w:rPr>
        <w:t>https://doi.org/10.1016/j.phymed.2025.157494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19AA355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[64] Morciano G, Naumova N, Koprowski P, Valente S, Sardão VA, Potes Y,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The mitochondrial permeability transition pore: an evolving concept critical for cell life and death. Biological reviews of the Cambridge Philosophical Society. 2021; 96: 2489–2521. </w:t>
      </w:r>
      <w:r>
        <w:fldChar w:fldCharType="begin"/>
      </w:r>
      <w:r>
        <w:instrText xml:space="preserve"> HYPERLINK "https://doi.org/10.1111/brv.12764" \h </w:instrText>
      </w:r>
      <w:r>
        <w:fldChar w:fldCharType="separate"/>
      </w:r>
      <w:r>
        <w:rPr>
          <w:rFonts w:ascii="Times New Roman" w:hAnsi="Times New Roman" w:eastAsia="Times New Roman" w:cs="Times New Roman"/>
          <w:color w:val="0563C1"/>
          <w:sz w:val="24"/>
          <w:szCs w:val="24"/>
          <w:highlight w:val="yellow"/>
          <w:u w:val="single"/>
        </w:rPr>
        <w:t>https://doi.org/10.1111/brv.12764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31CC2D5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[65] Bernardi P, Rasola A, Forte M, Lippe G. The Mitochondrial Permeability Transition Pore: Channel Formation by F-ATP Synthase, Integration in Signal Transduction, and Role in Pathophysiology. Physiological Reviews. 2015; 95: 1111–1155.</w:t>
      </w:r>
      <w:r>
        <w:rPr>
          <w:rFonts w:ascii="Times New Roman" w:hAnsi="Times New Roman" w:eastAsia="Times New Roman" w:cs="Times New Roman"/>
          <w:sz w:val="24"/>
          <w:szCs w:val="24"/>
          <w:highlight w:val="yellow"/>
        </w:rPr>
        <w:t xml:space="preserve"> </w:t>
      </w:r>
      <w:r>
        <w:fldChar w:fldCharType="begin"/>
      </w:r>
      <w:r>
        <w:instrText xml:space="preserve"> HYPERLINK "https://doi.org/10.1152/physrev.00001.2015" \h </w:instrText>
      </w:r>
      <w:r>
        <w:fldChar w:fldCharType="separate"/>
      </w:r>
      <w:r>
        <w:rPr>
          <w:rFonts w:ascii="Times New Roman" w:hAnsi="Times New Roman" w:eastAsia="Times New Roman" w:cs="Times New Roman"/>
          <w:color w:val="0563C1"/>
          <w:sz w:val="24"/>
          <w:szCs w:val="24"/>
          <w:highlight w:val="yellow"/>
          <w:u w:val="single"/>
        </w:rPr>
        <w:t>https://doi.org/10.1152/physrev.00001.2015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00F3E59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[66] Li Y, Sun J, Wu R, Bai J, Hou Y, Zeng Y,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Mitochondrial MPTP: A Novel Target of Ethnomedicine for Stroke Treatment by Apoptosis Inhibition. Frontiers in Pharmacology. 2020; 11: 352.</w:t>
      </w:r>
    </w:p>
    <w:p w14:paraId="27BC28FA">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"https://doi.org/10.3389/fphar.2020.00352" \h </w:instrText>
      </w:r>
      <w:r>
        <w:fldChar w:fldCharType="separate"/>
      </w:r>
      <w:r>
        <w:rPr>
          <w:rFonts w:ascii="Times New Roman" w:hAnsi="Times New Roman" w:eastAsia="Times New Roman" w:cs="Times New Roman"/>
          <w:color w:val="0563C1"/>
          <w:sz w:val="24"/>
          <w:szCs w:val="24"/>
          <w:highlight w:val="yellow"/>
          <w:u w:val="single"/>
        </w:rPr>
        <w:t>https://doi.org/10.3389/fphar.2020.00352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87CC51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[67] Giorgio V, von Stockum S, Antoniel M, Fabbro A, Fogolari F, Forte M,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Dimers of mitochondrial ATP synthase form the permeability transition pore. Proceedings of the National Academy of Sciences of the United States of America. 2013; 110: 5887–5892.</w:t>
      </w:r>
    </w:p>
    <w:p w14:paraId="65A26A52">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"https://doi.org/10.1073/pnas.1217823110" \h </w:instrText>
      </w:r>
      <w:r>
        <w:fldChar w:fldCharType="separate"/>
      </w:r>
      <w:r>
        <w:rPr>
          <w:rFonts w:ascii="Times New Roman" w:hAnsi="Times New Roman" w:eastAsia="Times New Roman" w:cs="Times New Roman"/>
          <w:color w:val="0563C1"/>
          <w:sz w:val="24"/>
          <w:szCs w:val="24"/>
          <w:highlight w:val="yellow"/>
          <w:u w:val="single"/>
        </w:rPr>
        <w:t>https://doi.org/10.1073/pnas.1217823110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2D5B55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[68] Bernardi P, Di Lisa F. The mitochondrial permeability transition pore: molecular nature and role as a target in cardioprotection. Journal of Molecular and Cellular Cardiology. 2015; 78: 100–106.</w:t>
      </w:r>
    </w:p>
    <w:p w14:paraId="7B9B8800">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"https://doi.org/10.1016/j.yjmcc.2014.09.023" \h </w:instrText>
      </w:r>
      <w:r>
        <w:fldChar w:fldCharType="separate"/>
      </w:r>
      <w:r>
        <w:rPr>
          <w:rFonts w:ascii="Times New Roman" w:hAnsi="Times New Roman" w:eastAsia="Times New Roman" w:cs="Times New Roman"/>
          <w:color w:val="0563C1"/>
          <w:sz w:val="24"/>
          <w:szCs w:val="24"/>
          <w:highlight w:val="yellow"/>
          <w:u w:val="single"/>
        </w:rPr>
        <w:t>https://doi.org/10.1016/j.yjmcc.2014.09.023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8BD525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[69] Murphy E. Cyclophilin D regulation of the mitochondrial permeability transition pore. Current Opinion in Physiology. 2022; 25: 100486. </w:t>
      </w:r>
      <w:r>
        <w:fldChar w:fldCharType="begin"/>
      </w:r>
      <w:r>
        <w:instrText xml:space="preserve"> HYPERLINK "https://doi.org/10.1016/j.cophys.2022.100486" \h </w:instrText>
      </w:r>
      <w:r>
        <w:fldChar w:fldCharType="separate"/>
      </w:r>
      <w:r>
        <w:rPr>
          <w:rFonts w:ascii="Times New Roman" w:hAnsi="Times New Roman" w:eastAsia="Times New Roman" w:cs="Times New Roman"/>
          <w:color w:val="0563C1"/>
          <w:sz w:val="24"/>
          <w:szCs w:val="24"/>
          <w:highlight w:val="yellow"/>
          <w:u w:val="single"/>
        </w:rPr>
        <w:t>https://doi.org/10.1016/j.cophys.2022.100486</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20C0A6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[70] Zhou S, Yu Q, Zhang L, Jiang Z. Cyclophilin D-mediated Mitochondrial Permeability Transition Regulates Mitochondrial Function. Current Pharmaceutical Design. 2023; 29: 620–629.</w:t>
      </w:r>
    </w:p>
    <w:p w14:paraId="12F7D981">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"https://doi.org/10.2174/1381612829666230313111314" \h </w:instrText>
      </w:r>
      <w:r>
        <w:fldChar w:fldCharType="separate"/>
      </w:r>
      <w:r>
        <w:rPr>
          <w:rFonts w:ascii="Times New Roman" w:hAnsi="Times New Roman" w:eastAsia="Times New Roman" w:cs="Times New Roman"/>
          <w:color w:val="0563C1"/>
          <w:sz w:val="24"/>
          <w:szCs w:val="24"/>
          <w:highlight w:val="yellow"/>
          <w:u w:val="single"/>
        </w:rPr>
        <w:t>https://doi.org/10.2174/1381612829666230313111314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95FD34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[71] Garlid KD, Paucek P, Yarov-Yarovoy V, Murray HN, Darbenzio RB, D'Alonzo AJ,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Cardioprotective effect of diazoxide and its interaction with mitochondrial ATP-sensitive K+ channels. Possible mechanism of cardioprotection. Circulation Research. 1997; 81: 1072–1082.</w:t>
      </w:r>
    </w:p>
    <w:p w14:paraId="7C39F59B">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"https://doi.org/10.1161/01.res.81.6.1072" \h </w:instrText>
      </w:r>
      <w:r>
        <w:fldChar w:fldCharType="separate"/>
      </w:r>
      <w:r>
        <w:rPr>
          <w:rFonts w:ascii="Times New Roman" w:hAnsi="Times New Roman" w:eastAsia="Times New Roman" w:cs="Times New Roman"/>
          <w:color w:val="0563C1"/>
          <w:sz w:val="24"/>
          <w:szCs w:val="24"/>
          <w:highlight w:val="yellow"/>
          <w:u w:val="single"/>
        </w:rPr>
        <w:t>https://doi.org/10.1161/01.res.81.6.1072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569023D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[72] Foster DB, Ho AS, Rucker J, Garlid AO, Chen L, Sidor A,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Mitochondrial ROMK channel is a molecular component of mitoK(ATP). Circulation Research.  2012; 111: 446–454.</w:t>
      </w:r>
    </w:p>
    <w:p w14:paraId="72BB8B33">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"https://doi.org/10.1161/CIRCRESAHA.112.266445" \h </w:instrText>
      </w:r>
      <w:r>
        <w:fldChar w:fldCharType="separate"/>
      </w:r>
      <w:r>
        <w:rPr>
          <w:rFonts w:ascii="Times New Roman" w:hAnsi="Times New Roman" w:eastAsia="Times New Roman" w:cs="Times New Roman"/>
          <w:color w:val="0563C1"/>
          <w:sz w:val="24"/>
          <w:szCs w:val="24"/>
          <w:highlight w:val="yellow"/>
          <w:u w:val="single"/>
        </w:rPr>
        <w:t>https://doi.org/10.1161/CIRCRESAHA.112.266445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FD8282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[73] Laskowski M, Augustynek B, Bednarczyk P, Żochowska M, Kalisz J, O'Rourke B,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Single-Channel Properties of the ROMK-Pore-Forming Subunit of the Mitochondrial ATP-Sensitive Potassium Channel. International Journal of Molecular Sciences. 2019; 20: 5323.</w:t>
      </w:r>
    </w:p>
    <w:p w14:paraId="42892720">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"https://doi.org/10.3390/ijms20215323" \h </w:instrText>
      </w:r>
      <w:r>
        <w:fldChar w:fldCharType="separate"/>
      </w:r>
      <w:r>
        <w:rPr>
          <w:rFonts w:ascii="Times New Roman" w:hAnsi="Times New Roman" w:eastAsia="Times New Roman" w:cs="Times New Roman"/>
          <w:color w:val="0563C1"/>
          <w:sz w:val="24"/>
          <w:szCs w:val="24"/>
          <w:highlight w:val="yellow"/>
          <w:u w:val="single"/>
        </w:rPr>
        <w:t>https://doi.org/10.3390/ijms20215323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2AED0FE">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[74] Orrenius S, Gogvadze V, Zhivotovsky B. Calcium and mitochondria in the regulation of cell death. Biochemical and Biophysical Research Communications.  2015; 460: 72–81. </w:t>
      </w:r>
      <w:r>
        <w:fldChar w:fldCharType="begin"/>
      </w:r>
      <w:r>
        <w:instrText xml:space="preserve"> HYPERLINK "https://doi.org/10.1016/j.bbrc.2015.01.137" \h </w:instrText>
      </w:r>
      <w:r>
        <w:fldChar w:fldCharType="separate"/>
      </w:r>
      <w:r>
        <w:rPr>
          <w:rFonts w:ascii="Times New Roman" w:hAnsi="Times New Roman" w:eastAsia="Times New Roman" w:cs="Times New Roman"/>
          <w:color w:val="0563C1"/>
          <w:sz w:val="24"/>
          <w:szCs w:val="24"/>
          <w:highlight w:val="yellow"/>
          <w:u w:val="single"/>
        </w:rPr>
        <w:t>https://doi.org/10.1016/j.bbrc.2015.01.137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7945600">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[75] Rottenberg H, Hoek JB. The Mitochondrial Permeability Transition: Nexus of Aging, Disease and Longevity. Cells. 2021; 10: 79.</w:t>
      </w:r>
      <w:r>
        <w:rPr>
          <w:rFonts w:ascii="Times New Roman" w:hAnsi="Times New Roman" w:eastAsia="Times New Roman" w:cs="Times New Roman"/>
          <w:sz w:val="24"/>
          <w:szCs w:val="24"/>
          <w:highlight w:val="yellow"/>
        </w:rPr>
        <w:t xml:space="preserve"> </w:t>
      </w:r>
      <w:r>
        <w:fldChar w:fldCharType="begin"/>
      </w:r>
      <w:r>
        <w:instrText xml:space="preserve"> HYPERLINK "https://doi.org/10.3390/cells10010079" \h </w:instrText>
      </w:r>
      <w:r>
        <w:fldChar w:fldCharType="separate"/>
      </w:r>
      <w:r>
        <w:rPr>
          <w:rFonts w:ascii="Times New Roman" w:hAnsi="Times New Roman" w:eastAsia="Times New Roman" w:cs="Times New Roman"/>
          <w:color w:val="0563C1"/>
          <w:sz w:val="24"/>
          <w:szCs w:val="24"/>
          <w:highlight w:val="yellow"/>
          <w:u w:val="single"/>
        </w:rPr>
        <w:t>https://doi.org/10.3390/cells10010079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0B3FA8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[76] Finsterer J, Scorza FA. Effects of antiepileptic drugs on mitochondrial functions, morphology, kinetics, biogenesis, and survival. Epilepsy Research. 2017; 136: 5–11. </w:t>
      </w:r>
      <w:r>
        <w:fldChar w:fldCharType="begin"/>
      </w:r>
      <w:r>
        <w:instrText xml:space="preserve"> HYPERLINK "https://doi.org/10.1016/j.eplepsyres.2017.07.003" \h </w:instrText>
      </w:r>
      <w:r>
        <w:fldChar w:fldCharType="separate"/>
      </w:r>
      <w:r>
        <w:rPr>
          <w:rFonts w:ascii="Times New Roman" w:hAnsi="Times New Roman" w:eastAsia="Times New Roman" w:cs="Times New Roman"/>
          <w:color w:val="0563C1"/>
          <w:sz w:val="24"/>
          <w:szCs w:val="24"/>
          <w:highlight w:val="yellow"/>
          <w:u w:val="single"/>
        </w:rPr>
        <w:t>https://doi.org/10.1016/j.eplepsyres.2017.07.003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39F7759">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[77] Shi Y, Cui M, Ochs K, Brendel M, Strübing FL, Briel N,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Long-term diazepam treatment enhances microglial spine engulfment and impairs cognitive performance via the mitochondrial 18 kDa translocator protein (TSPO). Nature Neuroscience. 2022; 25: 317–329. </w:t>
      </w:r>
      <w:r>
        <w:fldChar w:fldCharType="begin"/>
      </w:r>
      <w:r>
        <w:instrText xml:space="preserve"> HYPERLINK "https://doi.org/10.1038/s41593-022-01013-9" \h </w:instrText>
      </w:r>
      <w:r>
        <w:fldChar w:fldCharType="separate"/>
      </w:r>
      <w:r>
        <w:rPr>
          <w:rFonts w:ascii="Times New Roman" w:hAnsi="Times New Roman" w:eastAsia="Times New Roman" w:cs="Times New Roman"/>
          <w:color w:val="0563C1"/>
          <w:sz w:val="24"/>
          <w:szCs w:val="24"/>
          <w:highlight w:val="yellow"/>
          <w:u w:val="single"/>
        </w:rPr>
        <w:t>https://doi.org/10.1038/s41593-022-01013-9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7B2446F">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[78] Dawson TM, Dason VL. Mitochondrial Mechanisms of Neuronal Cell Death: Potential Therapeutics. Annual Review of Pharmacology and Toxicology. 2017; 57: 437–454. </w:t>
      </w:r>
      <w:r>
        <w:fldChar w:fldCharType="begin"/>
      </w:r>
      <w:r>
        <w:instrText xml:space="preserve"> HYPERLINK "https://doi.org/10.1146/annurev-pharmtox-010716-105001" \h </w:instrText>
      </w:r>
      <w:r>
        <w:fldChar w:fldCharType="separate"/>
      </w:r>
      <w:r>
        <w:rPr>
          <w:rFonts w:ascii="Times New Roman" w:hAnsi="Times New Roman" w:eastAsia="Times New Roman" w:cs="Times New Roman"/>
          <w:color w:val="0563C1"/>
          <w:sz w:val="24"/>
          <w:szCs w:val="24"/>
          <w:highlight w:val="yellow"/>
          <w:u w:val="single"/>
        </w:rPr>
        <w:t>https://doi.org/10.1146/annurev-pharmtox-010716-105001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CF83705">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[79] Shoshan-Barmatz V, Shteinfer-Kuzmine A, Verma A. VDAC1 at the Intersection of Cell Metabolism, Apoptosis, and Diseases. Biomolecules. 2020; 10: 1485.</w:t>
      </w:r>
      <w:r>
        <w:rPr>
          <w:rFonts w:ascii="Times New Roman" w:hAnsi="Times New Roman" w:eastAsia="Times New Roman" w:cs="Times New Roman"/>
          <w:sz w:val="24"/>
          <w:szCs w:val="24"/>
          <w:highlight w:val="yellow"/>
        </w:rPr>
        <w:t xml:space="preserve"> </w:t>
      </w:r>
      <w:r>
        <w:fldChar w:fldCharType="begin"/>
      </w:r>
      <w:r>
        <w:instrText xml:space="preserve"> HYPERLINK "https://doi.org/10.3390/biom10111485" \h </w:instrText>
      </w:r>
      <w:r>
        <w:fldChar w:fldCharType="separate"/>
      </w:r>
      <w:r>
        <w:rPr>
          <w:rFonts w:ascii="Times New Roman" w:hAnsi="Times New Roman" w:eastAsia="Times New Roman" w:cs="Times New Roman"/>
          <w:color w:val="0563C1"/>
          <w:sz w:val="24"/>
          <w:szCs w:val="24"/>
          <w:highlight w:val="yellow"/>
          <w:u w:val="single"/>
        </w:rPr>
        <w:t>https://doi.org/10.3390/biom10111485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963912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[80] Qiu J, Tan YW, Hagenston AM, Martel MA, Kneisel N, Skehel PA,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Mitochondrial calcium uniporter Mcu controls excitotoxicity and is transcriptionally repressed by neuroprotective nuclear calcium signals. Nature Communications. 2013; 4: 2034.</w:t>
      </w:r>
      <w:r>
        <w:rPr>
          <w:rFonts w:ascii="Times New Roman" w:hAnsi="Times New Roman" w:eastAsia="Times New Roman" w:cs="Times New Roman"/>
          <w:sz w:val="24"/>
          <w:szCs w:val="24"/>
          <w:highlight w:val="yellow"/>
        </w:rPr>
        <w:t xml:space="preserve"> </w:t>
      </w:r>
      <w:r>
        <w:fldChar w:fldCharType="begin"/>
      </w:r>
      <w:r>
        <w:instrText xml:space="preserve"> HYPERLINK "https://doi.org/10.1038/ncomms3034" \h </w:instrText>
      </w:r>
      <w:r>
        <w:fldChar w:fldCharType="separate"/>
      </w:r>
      <w:r>
        <w:rPr>
          <w:rFonts w:ascii="Times New Roman" w:hAnsi="Times New Roman" w:eastAsia="Times New Roman" w:cs="Times New Roman"/>
          <w:color w:val="0563C1"/>
          <w:sz w:val="24"/>
          <w:szCs w:val="24"/>
          <w:highlight w:val="yellow"/>
          <w:u w:val="single"/>
        </w:rPr>
        <w:t>https://doi.org/10.1038/ncomms3034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BC3A8C9">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[81] Li X, Tao AL, Wu N, Zhang X, Xiao F, Wang J, Wang ZB. Calcium-iron crosstalk in epileptogenesis: Unraveling mechanisms and therapeutic opportunities. Neurobiology of Disease. 2025; 212: 106989. </w:t>
      </w:r>
      <w:r>
        <w:fldChar w:fldCharType="begin"/>
      </w:r>
      <w:r>
        <w:instrText xml:space="preserve"> HYPERLINK "https://doi.org/10.1016/j.nbd.2025.106989" \h </w:instrText>
      </w:r>
      <w:r>
        <w:fldChar w:fldCharType="separate"/>
      </w:r>
      <w:r>
        <w:rPr>
          <w:rFonts w:ascii="Times New Roman" w:hAnsi="Times New Roman" w:eastAsia="Times New Roman" w:cs="Times New Roman"/>
          <w:color w:val="0563C1"/>
          <w:sz w:val="24"/>
          <w:szCs w:val="24"/>
          <w:highlight w:val="yellow"/>
          <w:u w:val="single"/>
        </w:rPr>
        <w:t>https://doi.org/10.1016/j.nbd.2025.106989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C2EDBE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[82] Bierhansl L, Gola L, Narayanan V, Dik A, Meuth SG, Wiendl H, Kovac S. Neuronal Mitochondrial Calcium Uniporter (MCU) Deficiency Is Neuroprotective in Hyperexcitability by Modulation of Metabolic Pathways and ROS Balance. Molecular Neurobiology. 2024; 61: 9529–9538. </w:t>
      </w:r>
      <w:r>
        <w:fldChar w:fldCharType="begin"/>
      </w:r>
      <w:r>
        <w:instrText xml:space="preserve"> HYPERLINK "https://doi.org/10.1007/s12035-024-04148-x" \h </w:instrText>
      </w:r>
      <w:r>
        <w:fldChar w:fldCharType="separate"/>
      </w:r>
      <w:r>
        <w:rPr>
          <w:rFonts w:ascii="Times New Roman" w:hAnsi="Times New Roman" w:eastAsia="Times New Roman" w:cs="Times New Roman"/>
          <w:color w:val="0563C1"/>
          <w:sz w:val="24"/>
          <w:szCs w:val="24"/>
          <w:highlight w:val="yellow"/>
          <w:u w:val="single"/>
        </w:rPr>
        <w:t>https://doi.org/10.1007/s12035-024-04148-x</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CB7A959">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[83] Rose HM, Ferrán B, Ranjit R, Masingale AM, Owen DB, Hussong S,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Mitochondrial calcium uniporter deficiency in dentate granule cells remodels neuronal metabolism and impairs reversal learning. Journal of Neurochemistry. 2024; 168. 592–607. </w:t>
      </w:r>
      <w:r>
        <w:fldChar w:fldCharType="begin"/>
      </w:r>
      <w:r>
        <w:instrText xml:space="preserve"> HYPERLINK "https://doi.org/10.1111/jnc.15901" \h </w:instrText>
      </w:r>
      <w:r>
        <w:fldChar w:fldCharType="separate"/>
      </w:r>
      <w:r>
        <w:rPr>
          <w:rFonts w:ascii="Times New Roman" w:hAnsi="Times New Roman" w:eastAsia="Times New Roman" w:cs="Times New Roman"/>
          <w:color w:val="0563C1"/>
          <w:sz w:val="24"/>
          <w:szCs w:val="24"/>
          <w:highlight w:val="yellow"/>
          <w:u w:val="single"/>
        </w:rPr>
        <w:t>https://doi.org/10.1111/jnc.15901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5CE8B98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[84] Berger I, Segal I, Shmueli D, Saada A. The effect of antiepileptic drugs on mitochondrial activity: a pilot study. Journal of Child Neurology. 2010; 25: 541–545.</w:t>
      </w:r>
      <w:r>
        <w:rPr>
          <w:rFonts w:ascii="Times New Roman" w:hAnsi="Times New Roman" w:eastAsia="Times New Roman" w:cs="Times New Roman"/>
          <w:sz w:val="24"/>
          <w:szCs w:val="24"/>
          <w:highlight w:val="yellow"/>
        </w:rPr>
        <w:t xml:space="preserve"> </w:t>
      </w:r>
      <w:r>
        <w:fldChar w:fldCharType="begin"/>
      </w:r>
      <w:r>
        <w:instrText xml:space="preserve"> HYPERLINK "https://doi.org/10.1177/0883073809352888" \h </w:instrText>
      </w:r>
      <w:r>
        <w:fldChar w:fldCharType="separate"/>
      </w:r>
      <w:r>
        <w:rPr>
          <w:rFonts w:ascii="Times New Roman" w:hAnsi="Times New Roman" w:eastAsia="Times New Roman" w:cs="Times New Roman"/>
          <w:color w:val="0563C1"/>
          <w:sz w:val="24"/>
          <w:szCs w:val="24"/>
          <w:highlight w:val="yellow"/>
          <w:u w:val="single"/>
        </w:rPr>
        <w:t>https://doi.org/10.1177/0883073809352888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721ABE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[85] Jafarian I, Eskandari MR, Mashayekhi V, Ahadpour M, Hosseini MJ. Toxicity of valproic acid in isolated rat liver mitochondria. Toxicology Mechanisms and Methods. 2013; 23: 617–623.</w:t>
      </w:r>
    </w:p>
    <w:p w14:paraId="11CDC565">
      <w:pPr>
        <w:spacing w:after="0" w:line="240" w:lineRule="auto"/>
        <w:jc w:val="both"/>
        <w:rPr>
          <w:rFonts w:ascii="Times New Roman" w:hAnsi="Times New Roman" w:eastAsia="Times New Roman" w:cs="Times New Roman"/>
          <w:sz w:val="24"/>
          <w:szCs w:val="24"/>
          <w:highlight w:val="yellow"/>
        </w:rPr>
      </w:pPr>
      <w:r>
        <w:fldChar w:fldCharType="begin"/>
      </w:r>
      <w:r>
        <w:instrText xml:space="preserve"> HYPERLINK "https://doi.org/10.3109/15376516.2013.821567" \h </w:instrText>
      </w:r>
      <w:r>
        <w:fldChar w:fldCharType="separate"/>
      </w:r>
      <w:r>
        <w:rPr>
          <w:rFonts w:ascii="Times New Roman" w:hAnsi="Times New Roman" w:eastAsia="Times New Roman" w:cs="Times New Roman"/>
          <w:color w:val="0563C1"/>
          <w:sz w:val="24"/>
          <w:szCs w:val="24"/>
          <w:highlight w:val="yellow"/>
          <w:u w:val="single"/>
        </w:rPr>
        <w:t>https://doi.org/10.3109/15376516.2013.821567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E1A77CE">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[86] Yang H, Yin F, Gan S, Pan Z, Xiao T, Kessi M,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The Study of Genetic Susceptibility and Mitochondrial Dysfunction in Mesial Temporal Lobe Epilepsy. Molecular Neurobiology. 2020; 57: 3920–3930</w:t>
      </w:r>
      <w:r>
        <w:rPr>
          <w:rFonts w:ascii="Times New Roman" w:hAnsi="Times New Roman" w:eastAsia="Times New Roman" w:cs="Times New Roman"/>
          <w:sz w:val="24"/>
          <w:szCs w:val="24"/>
          <w:highlight w:val="yellow"/>
        </w:rPr>
        <w:t xml:space="preserve">. </w:t>
      </w:r>
      <w:r>
        <w:fldChar w:fldCharType="begin"/>
      </w:r>
      <w:r>
        <w:instrText xml:space="preserve"> HYPERLINK "https://doi.org/10.1007/s12035-020-01993-4" \h </w:instrText>
      </w:r>
      <w:r>
        <w:fldChar w:fldCharType="separate"/>
      </w:r>
      <w:r>
        <w:rPr>
          <w:rFonts w:ascii="Times New Roman" w:hAnsi="Times New Roman" w:eastAsia="Times New Roman" w:cs="Times New Roman"/>
          <w:color w:val="0563C1"/>
          <w:sz w:val="24"/>
          <w:szCs w:val="24"/>
          <w:highlight w:val="yellow"/>
          <w:u w:val="single"/>
        </w:rPr>
        <w:t>https://doi.org/10.1007/s12035-020-01993-4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872D19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[87] Li D, Bai X, Jiang Y, Cheng Y. Butyrate alleviates PTZ-induced mitochondrial dysfunction, oxidative stress and neuron apoptosis in mice via Keap1/Nrf2/HO-1 pathway. Brain Research Bulletin. 2021; 168: 25–35. </w:t>
      </w:r>
      <w:r>
        <w:rPr>
          <w:rFonts w:ascii="Times New Roman" w:hAnsi="Times New Roman" w:eastAsia="Times New Roman" w:cs="Times New Roman"/>
          <w:sz w:val="24"/>
          <w:szCs w:val="24"/>
          <w:highlight w:val="yellow"/>
        </w:rPr>
        <w:t>https://doi.org/10.1016/j.brainresbull.2020.12.009</w:t>
      </w:r>
      <w:r>
        <w:rPr>
          <w:rFonts w:ascii="Times New Roman" w:hAnsi="Times New Roman" w:eastAsia="Times New Roman" w:cs="Times New Roman"/>
          <w:sz w:val="24"/>
          <w:szCs w:val="24"/>
        </w:rPr>
        <w:t>.</w:t>
      </w:r>
    </w:p>
    <w:p w14:paraId="67DF205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[88] Lynch BA, Lambeng N, Nocka K, Kensel-Hammes P, Bajjalieh SM, Matagne A, Fuks B. The synaptic vesicle protein SV2A is the binding site for the antiepileptic drug levetiracetam. Proceedings of the National Academy of Sciences of the United States of America. 2004, 101: 9861–9866. </w:t>
      </w:r>
      <w:r>
        <w:fldChar w:fldCharType="begin"/>
      </w:r>
      <w:r>
        <w:instrText xml:space="preserve"> HYPERLINK "https://doi.org/10.1073/pnas.0308208101" \h </w:instrText>
      </w:r>
      <w:r>
        <w:fldChar w:fldCharType="separate"/>
      </w:r>
      <w:r>
        <w:rPr>
          <w:rFonts w:ascii="Times New Roman" w:hAnsi="Times New Roman" w:eastAsia="Times New Roman" w:cs="Times New Roman"/>
          <w:color w:val="0563C1"/>
          <w:sz w:val="24"/>
          <w:szCs w:val="24"/>
          <w:highlight w:val="yellow"/>
          <w:u w:val="single"/>
        </w:rPr>
        <w:t>https://doi.org/10.1073/pnas.0308208101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5E96487">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[89] Vogl C, Mochida S, Wolff C, Whalley BJ, Stephens GJ. The synaptic vesicle glycoprotein 2A ligand levetiracetam inhibits presynaptic Ca2+ channels through an intracellular pathway. Molecular Pharmacology. 2012; 82: 199–208. </w:t>
      </w:r>
      <w:r>
        <w:fldChar w:fldCharType="begin"/>
      </w:r>
      <w:r>
        <w:instrText xml:space="preserve"> HYPERLINK "https://doi.org/10.1124/mol.111.076687" \h </w:instrText>
      </w:r>
      <w:r>
        <w:fldChar w:fldCharType="separate"/>
      </w:r>
      <w:r>
        <w:rPr>
          <w:rFonts w:ascii="Times New Roman" w:hAnsi="Times New Roman" w:eastAsia="Times New Roman" w:cs="Times New Roman"/>
          <w:color w:val="0563C1"/>
          <w:sz w:val="24"/>
          <w:szCs w:val="24"/>
          <w:highlight w:val="yellow"/>
          <w:u w:val="single"/>
        </w:rPr>
        <w:t>https://doi.org/10.1124/mol.111.076687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5C27998">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[90] Faria-Pereira A, Morais VA. Synapses: The Brain's Energy-Demanding Sites. International Journal of Molecular Sciences. 2022; 23: 3627. </w:t>
      </w:r>
      <w:r>
        <w:fldChar w:fldCharType="begin"/>
      </w:r>
      <w:r>
        <w:instrText xml:space="preserve"> HYPERLINK "https://doi.org/10.3390/ijms23073627" \h </w:instrText>
      </w:r>
      <w:r>
        <w:fldChar w:fldCharType="separate"/>
      </w:r>
      <w:r>
        <w:rPr>
          <w:rFonts w:ascii="Times New Roman" w:hAnsi="Times New Roman" w:eastAsia="Times New Roman" w:cs="Times New Roman"/>
          <w:color w:val="0563C1"/>
          <w:sz w:val="24"/>
          <w:szCs w:val="24"/>
          <w:highlight w:val="yellow"/>
          <w:u w:val="single"/>
        </w:rPr>
        <w:t>https://doi.org/10.3390/ijms23073627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0BF7B15">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[91] Akopova O, Kolchinskaya L, Nosar V, Mankovska I, Sagach V. Diazoxide affects mitochondrial bioenergetics by the opening of mKATP channel on submicromolar scale. BMC Molecular and Cell Biology. 2020; 21: 31. </w:t>
      </w:r>
      <w:r>
        <w:fldChar w:fldCharType="begin"/>
      </w:r>
      <w:r>
        <w:instrText xml:space="preserve"> HYPERLINK "https://doi.org/10.1186/s12860-020-00275-0" \h </w:instrText>
      </w:r>
      <w:r>
        <w:fldChar w:fldCharType="separate"/>
      </w:r>
      <w:r>
        <w:rPr>
          <w:rFonts w:ascii="Times New Roman" w:hAnsi="Times New Roman" w:eastAsia="Times New Roman" w:cs="Times New Roman"/>
          <w:color w:val="0563C1"/>
          <w:sz w:val="24"/>
          <w:szCs w:val="24"/>
          <w:highlight w:val="yellow"/>
          <w:u w:val="single"/>
        </w:rPr>
        <w:t>https://doi.org/10.1186/s12860-020-00275-0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CE1BDA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[92] Nakagawa I, Wajima D, Tamura K, Nishimura F, Park YS, Nakase H. The neuroprotective effect of diazoxide is mediated by mitochondrial ATP-dependent potassium channels in a rat model of acute subdural hematoma. Journal of Clinical Neuroscience. 2013; 20: 144–147. </w:t>
      </w:r>
      <w:r>
        <w:fldChar w:fldCharType="begin"/>
      </w:r>
      <w:r>
        <w:instrText xml:space="preserve"> HYPERLINK "https://doi.org/10.1016/j.jocn.2012.03.027" \h </w:instrText>
      </w:r>
      <w:r>
        <w:fldChar w:fldCharType="separate"/>
      </w:r>
      <w:r>
        <w:rPr>
          <w:rFonts w:ascii="Times New Roman" w:hAnsi="Times New Roman" w:eastAsia="Times New Roman" w:cs="Times New Roman"/>
          <w:color w:val="0563C1"/>
          <w:sz w:val="24"/>
          <w:szCs w:val="24"/>
          <w:highlight w:val="yellow"/>
          <w:u w:val="single"/>
        </w:rPr>
        <w:t>https://doi.org/10.1016/j.jocn.2012.03.027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6B36890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[93] Fu Q, Sun Z, Zhang J, Gao N, Qi F, Che F, Ma G. Diazoxide preconditioning antagonizes cytotoxicity induced by epileptic seizures. Neural Regeneration Research. 2013; 8: 1000–1006. </w:t>
      </w:r>
      <w:r>
        <w:fldChar w:fldCharType="begin"/>
      </w:r>
      <w:r>
        <w:instrText xml:space="preserve"> HYPERLINK "https://doi.org/10.3969/j.issn.1673-5374.2013.11.005" \h </w:instrText>
      </w:r>
      <w:r>
        <w:fldChar w:fldCharType="separate"/>
      </w:r>
      <w:r>
        <w:rPr>
          <w:rFonts w:ascii="Times New Roman" w:hAnsi="Times New Roman" w:eastAsia="Times New Roman" w:cs="Times New Roman"/>
          <w:color w:val="0563C1"/>
          <w:sz w:val="24"/>
          <w:szCs w:val="24"/>
          <w:highlight w:val="yellow"/>
          <w:u w:val="single"/>
        </w:rPr>
        <w:t>https://doi.org/10.3969/j.issn.1673-5374.2013.11.005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63318E6">
      <w:pPr>
        <w:spacing w:after="0" w:line="240" w:lineRule="auto"/>
        <w:jc w:val="both"/>
        <w:rPr>
          <w:rFonts w:ascii="Times New Roman" w:hAnsi="Times New Roman" w:eastAsia="Times New Roman" w:cs="Times New Roman"/>
          <w:highlight w:val="yellow"/>
        </w:rPr>
      </w:pPr>
      <w:r>
        <w:rPr>
          <w:rFonts w:ascii="Times New Roman" w:hAnsi="Times New Roman" w:eastAsia="Times New Roman" w:cs="Times New Roman"/>
          <w:sz w:val="24"/>
          <w:szCs w:val="24"/>
        </w:rPr>
        <w:t xml:space="preserve">[94] Zhu J, Fu Q, Xia C, Ma G. Effects of diazoxide on Aβ1-42-induced expression of the NR2B subunit in cultured cholinergic neurons. Molecular Medicine Reports. 2015; 12: 8301–8305. </w:t>
      </w:r>
      <w:r>
        <w:fldChar w:fldCharType="begin"/>
      </w:r>
      <w:r>
        <w:instrText xml:space="preserve"> HYPERLINK "https://doi.org/10.3892/mmr.2015.4457" \h </w:instrText>
      </w:r>
      <w:r>
        <w:fldChar w:fldCharType="separate"/>
      </w:r>
      <w:r>
        <w:rPr>
          <w:rFonts w:ascii="Times New Roman" w:hAnsi="Times New Roman" w:eastAsia="Times New Roman" w:cs="Times New Roman"/>
          <w:color w:val="0563C1"/>
          <w:sz w:val="24"/>
          <w:szCs w:val="24"/>
          <w:highlight w:val="yellow"/>
          <w:u w:val="single"/>
        </w:rPr>
        <w:t>https://doi.org/10.3892/mmr.2015.4457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color w:val="0563C1"/>
          <w:highlight w:val="yellow"/>
          <w:u w:val="single"/>
        </w:rPr>
        <w:t>.</w:t>
      </w:r>
    </w:p>
    <w:p w14:paraId="114EFD1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[95] Sun HS, Feng ZP. Neuroprotective role of ATP-sensitive potassium channels in cerebral ischemia. Acta Pharmacologica Sinica. 2013; 34: 24–32. </w:t>
      </w:r>
      <w:r>
        <w:fldChar w:fldCharType="begin"/>
      </w:r>
      <w:r>
        <w:instrText xml:space="preserve"> HYPERLINK "https://doi.org/10.1038/aps.2012.138" \h </w:instrText>
      </w:r>
      <w:r>
        <w:fldChar w:fldCharType="separate"/>
      </w:r>
      <w:r>
        <w:rPr>
          <w:rFonts w:ascii="Times New Roman" w:hAnsi="Times New Roman" w:eastAsia="Times New Roman" w:cs="Times New Roman"/>
          <w:color w:val="0563C1"/>
          <w:sz w:val="24"/>
          <w:szCs w:val="24"/>
          <w:highlight w:val="yellow"/>
          <w:u w:val="single"/>
        </w:rPr>
        <w:t>https://doi.org/10.1038/aps.2012.138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E50CE9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[96] Qiu Q, Yang M, Gong D, Liang H, Chen T. Potassium and calcium channels in different nerve cells act as therapeutic targets in neurological disorders. Neural Regeneration Research. 2025; 20: 1258–1276. </w:t>
      </w:r>
      <w:r>
        <w:fldChar w:fldCharType="begin"/>
      </w:r>
      <w:r>
        <w:instrText xml:space="preserve"> HYPERLINK "https://doi.org/10.4103/NRR.NRR-D-23-01766" \h </w:instrText>
      </w:r>
      <w:r>
        <w:fldChar w:fldCharType="separate"/>
      </w:r>
      <w:r>
        <w:rPr>
          <w:rFonts w:ascii="Times New Roman" w:hAnsi="Times New Roman" w:eastAsia="Times New Roman" w:cs="Times New Roman"/>
          <w:color w:val="0563C1"/>
          <w:sz w:val="24"/>
          <w:szCs w:val="24"/>
          <w:highlight w:val="yellow"/>
          <w:u w:val="single"/>
        </w:rPr>
        <w:t>https://doi.org/10.4103/NRR.NRR-D-23-01766</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D11A81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[97]</w:t>
      </w:r>
      <w:r>
        <w:rPr>
          <w:rFonts w:ascii="Times New Roman" w:hAnsi="Times New Roman" w:eastAsia="Times New Roman" w:cs="Times New Roman"/>
        </w:rPr>
        <w:t xml:space="preserve"> </w:t>
      </w:r>
      <w:r>
        <w:rPr>
          <w:rFonts w:ascii="Times New Roman" w:hAnsi="Times New Roman" w:eastAsia="Times New Roman" w:cs="Times New Roman"/>
          <w:sz w:val="24"/>
          <w:szCs w:val="24"/>
        </w:rPr>
        <w:t xml:space="preserve">Zsurka G, Kunz WS. Mitochondrial dysfunction and seizures: the neuronal energy crisis. The Lancet Neurology. 2015; 14: 956–966. </w:t>
      </w:r>
      <w:r>
        <w:fldChar w:fldCharType="begin"/>
      </w:r>
      <w:r>
        <w:instrText xml:space="preserve"> HYPERLINK "https://doi.org/10.1016/S1474-4422(15)00148-9" \h </w:instrText>
      </w:r>
      <w:r>
        <w:fldChar w:fldCharType="separate"/>
      </w:r>
      <w:r>
        <w:rPr>
          <w:rFonts w:ascii="Times New Roman" w:hAnsi="Times New Roman" w:eastAsia="Times New Roman" w:cs="Times New Roman"/>
          <w:color w:val="0563C1"/>
          <w:sz w:val="24"/>
          <w:szCs w:val="24"/>
          <w:highlight w:val="yellow"/>
          <w:u w:val="single"/>
        </w:rPr>
        <w:t>https://doi.org/10.1016/S1474-4422(15)00148-9</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96AF152">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[98] Furukawa K, Ikoma Y, Niino Y, Hiraoka Y, Tanaka K, Miyawaki A,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Dynamics of Neuronal and Astrocytic Energy Molecules in Epilepsy. Journal of Neurochemistry. 2025; 169; e70044. </w:t>
      </w:r>
      <w:r>
        <w:fldChar w:fldCharType="begin"/>
      </w:r>
      <w:r>
        <w:instrText xml:space="preserve"> HYPERLINK "https://doi.org/10.1111/jnc.70044" \h </w:instrText>
      </w:r>
      <w:r>
        <w:fldChar w:fldCharType="separate"/>
      </w:r>
      <w:r>
        <w:rPr>
          <w:rFonts w:ascii="Times New Roman" w:hAnsi="Times New Roman" w:eastAsia="Times New Roman" w:cs="Times New Roman"/>
          <w:color w:val="0563C1"/>
          <w:sz w:val="24"/>
          <w:szCs w:val="24"/>
          <w:highlight w:val="yellow"/>
          <w:u w:val="single"/>
        </w:rPr>
        <w:t>https://doi.org/10.1111/jnc.70044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6B8A4A4">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[99] Rowley S, Patel M. Mitochondrial involvement and oxidative stress in temporal lobe epilepsy. Free Radical Biology Medicine. 2013; 62: 121–131. </w:t>
      </w:r>
      <w:r>
        <w:fldChar w:fldCharType="begin"/>
      </w:r>
      <w:r>
        <w:instrText xml:space="preserve"> HYPERLINK "https://doi.org/10.1016/j.freeradbiomed.2013.02.002" \h </w:instrText>
      </w:r>
      <w:r>
        <w:fldChar w:fldCharType="separate"/>
      </w:r>
      <w:r>
        <w:rPr>
          <w:rFonts w:ascii="Times New Roman" w:hAnsi="Times New Roman" w:eastAsia="Times New Roman" w:cs="Times New Roman"/>
          <w:color w:val="0563C1"/>
          <w:sz w:val="24"/>
          <w:szCs w:val="24"/>
          <w:highlight w:val="yellow"/>
          <w:u w:val="single"/>
        </w:rPr>
        <w:t>https://doi.org/10.1016/j.freeradbiomed.2013.02.002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1490F6D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[100] Zhang Y, Li L, Zhu F, Zhang X, Xia D, Miao Q,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Critical contributions of neuronal subtypes to pediatric drug-resistant focal dysplasia. Frontiers in Cell and Developmental Biology. 2025; 13: 1566137. </w:t>
      </w:r>
      <w:r>
        <w:fldChar w:fldCharType="begin"/>
      </w:r>
      <w:r>
        <w:instrText xml:space="preserve"> HYPERLINK "https://doi.org/10.3389/fcell.2025.1566137" \h </w:instrText>
      </w:r>
      <w:r>
        <w:fldChar w:fldCharType="separate"/>
      </w:r>
      <w:r>
        <w:rPr>
          <w:rFonts w:ascii="Times New Roman" w:hAnsi="Times New Roman" w:eastAsia="Times New Roman" w:cs="Times New Roman"/>
          <w:color w:val="0563C1"/>
          <w:sz w:val="24"/>
          <w:szCs w:val="24"/>
          <w:highlight w:val="yellow"/>
          <w:u w:val="single"/>
        </w:rPr>
        <w:t>https://doi.org/10.3389/fcell.2025.1566137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185AE9C8">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[101] Waldbaum S, Patel M. Mitochondria, oxidative stress, and temporal lobe epilepsy. Epilepsy Research. 2010; 88: 23–45.</w:t>
      </w:r>
      <w:r>
        <w:rPr>
          <w:rFonts w:ascii="Times New Roman" w:hAnsi="Times New Roman" w:eastAsia="Times New Roman" w:cs="Times New Roman"/>
          <w:sz w:val="24"/>
          <w:szCs w:val="24"/>
          <w:highlight w:val="yellow"/>
        </w:rPr>
        <w:t xml:space="preserve"> </w:t>
      </w:r>
      <w:r>
        <w:fldChar w:fldCharType="begin"/>
      </w:r>
      <w:r>
        <w:instrText xml:space="preserve"> HYPERLINK "https://doi.org/10.1016/j.eplepsyres.2009.09.020" \h </w:instrText>
      </w:r>
      <w:r>
        <w:fldChar w:fldCharType="separate"/>
      </w:r>
      <w:r>
        <w:rPr>
          <w:rFonts w:ascii="Times New Roman" w:hAnsi="Times New Roman" w:eastAsia="Times New Roman" w:cs="Times New Roman"/>
          <w:color w:val="0563C1"/>
          <w:sz w:val="24"/>
          <w:szCs w:val="24"/>
          <w:highlight w:val="yellow"/>
          <w:u w:val="single"/>
        </w:rPr>
        <w:t>https://doi.org/10.1016/j.eplepsyres.2009.09.020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2C7564D">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[102] Fricker M, Tolkovsky AM, Borutaite V, Coleman M, Brown GC. Neuronal Cell Death. Physiological Reviews 2018; 98: 813–880. </w:t>
      </w:r>
      <w:r>
        <w:fldChar w:fldCharType="begin"/>
      </w:r>
      <w:r>
        <w:instrText xml:space="preserve"> HYPERLINK "https://doi.org/10.1152/physrev.00011.2017" \h </w:instrText>
      </w:r>
      <w:r>
        <w:fldChar w:fldCharType="separate"/>
      </w:r>
      <w:r>
        <w:rPr>
          <w:rFonts w:ascii="Times New Roman" w:hAnsi="Times New Roman" w:eastAsia="Times New Roman" w:cs="Times New Roman"/>
          <w:color w:val="0563C1"/>
          <w:sz w:val="24"/>
          <w:szCs w:val="24"/>
          <w:highlight w:val="yellow"/>
          <w:u w:val="single"/>
        </w:rPr>
        <w:t>https://doi.org/10.1152/physrev.00011.2017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446AE19">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[103] Kann O, Kovács R, Njunting M, Behrens CJ, Otáhal J, Lehmann TN,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Metabolic dysfunction during neuronal activation in the ex vivo hippocampus from chronic epileptic rats and humans. Brain. 2005; 128: 2396–2407</w:t>
      </w:r>
      <w:r>
        <w:rPr>
          <w:rFonts w:ascii="Times New Roman" w:hAnsi="Times New Roman" w:eastAsia="Times New Roman" w:cs="Times New Roman"/>
          <w:sz w:val="24"/>
          <w:szCs w:val="24"/>
          <w:highlight w:val="yellow"/>
        </w:rPr>
        <w:t xml:space="preserve">. </w:t>
      </w:r>
      <w:r>
        <w:fldChar w:fldCharType="begin"/>
      </w:r>
      <w:r>
        <w:instrText xml:space="preserve"> HYPERLINK "https://doi.org/10.1093/brain/awh568" \h </w:instrText>
      </w:r>
      <w:r>
        <w:fldChar w:fldCharType="separate"/>
      </w:r>
      <w:r>
        <w:rPr>
          <w:rFonts w:ascii="Times New Roman" w:hAnsi="Times New Roman" w:eastAsia="Times New Roman" w:cs="Times New Roman"/>
          <w:color w:val="0563C1"/>
          <w:sz w:val="24"/>
          <w:szCs w:val="24"/>
          <w:highlight w:val="yellow"/>
          <w:u w:val="single"/>
        </w:rPr>
        <w:t>https://doi.org/10.1093/brain/awh568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691E51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[104] Queiroz CM, Mello LE. Synaptic plasticity of the CA3 commissural projection in epileptic rats: an in vivo electrophysiological study. The European Journal of Neuroscience. 2007; 25: 3071–3079. </w:t>
      </w:r>
      <w:r>
        <w:fldChar w:fldCharType="begin"/>
      </w:r>
      <w:r>
        <w:instrText xml:space="preserve"> HYPERLINK "https://doi.org/10.1111/j.1460-9568.2007.05573.x" \h </w:instrText>
      </w:r>
      <w:r>
        <w:fldChar w:fldCharType="separate"/>
      </w:r>
      <w:r>
        <w:rPr>
          <w:rFonts w:ascii="Times New Roman" w:hAnsi="Times New Roman" w:eastAsia="Times New Roman" w:cs="Times New Roman"/>
          <w:color w:val="0563C1"/>
          <w:sz w:val="24"/>
          <w:szCs w:val="24"/>
          <w:highlight w:val="yellow"/>
          <w:u w:val="single"/>
        </w:rPr>
        <w:t>https://doi.org/10.1111/j.1460-9568.2007.05573.x</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60EDF21">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[105] Nikbakht F, Khanizadeh AM, Golab F, Baluchnejadmojarad T, Vazifehkhah S,  Moeinsadat A. Mitochondrial ATP-sensitive potassium channel, MitoKATP, ameliorates mitochondrial dynamic disturbance induced by temporal lobe epilepsy. Journal of Chemical Neuroanatomy. 2021; 113: 101808. </w:t>
      </w:r>
      <w:r>
        <w:fldChar w:fldCharType="begin"/>
      </w:r>
      <w:r>
        <w:instrText xml:space="preserve"> HYPERLINK "https://doi.org/10.1016/j.jchemneu.2020.101808" \h </w:instrText>
      </w:r>
      <w:r>
        <w:fldChar w:fldCharType="separate"/>
      </w:r>
      <w:r>
        <w:rPr>
          <w:rFonts w:ascii="Times New Roman" w:hAnsi="Times New Roman" w:eastAsia="Times New Roman" w:cs="Times New Roman"/>
          <w:color w:val="0563C1"/>
          <w:sz w:val="24"/>
          <w:szCs w:val="24"/>
          <w:highlight w:val="yellow"/>
          <w:u w:val="single"/>
        </w:rPr>
        <w:t>https://doi.org/10.1016/j.jchemneu.2020.101808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392AFCF">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[106] Shoshan-Barmatz V, Krelin Y, Shteinfer-Kuzmine A, Arif T. Voltage-Dependent Anion Channel 1 As an Emerging Drug Target for Novel Anti-Cancer Therapeutics. Frontiers in Oncology. 2017; 7: 154. </w:t>
      </w:r>
      <w:r>
        <w:fldChar w:fldCharType="begin"/>
      </w:r>
      <w:r>
        <w:instrText xml:space="preserve"> HYPERLINK "https://doi.org/10.3389/fonc.2017.00154" \h </w:instrText>
      </w:r>
      <w:r>
        <w:fldChar w:fldCharType="separate"/>
      </w:r>
      <w:r>
        <w:rPr>
          <w:rFonts w:ascii="Times New Roman" w:hAnsi="Times New Roman" w:eastAsia="Times New Roman" w:cs="Times New Roman"/>
          <w:color w:val="0563C1"/>
          <w:sz w:val="24"/>
          <w:szCs w:val="24"/>
          <w:highlight w:val="yellow"/>
          <w:u w:val="single"/>
        </w:rPr>
        <w:t>https://doi.org/10.3389/fonc.2017.00154</w:t>
      </w:r>
      <w:r>
        <w:rPr>
          <w:rFonts w:ascii="Times New Roman" w:hAnsi="Times New Roman" w:eastAsia="Times New Roman" w:cs="Times New Roman"/>
          <w:color w:val="0563C1"/>
          <w:sz w:val="24"/>
          <w:szCs w:val="24"/>
          <w:highlight w:val="yellow"/>
          <w:u w:val="single"/>
        </w:rPr>
        <w:fldChar w:fldCharType="end"/>
      </w:r>
    </w:p>
    <w:p w14:paraId="4D6F623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[107] Anand U, Shteinfer-Kuzmine A, Sela G, Santhanam M, Gottschalk B, Boujemaa-Paterski R,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The Multicellular Effects of VDAC1 N-Terminal-Derived Peptide. Biomolecules. 2022; 12: 1387. </w:t>
      </w:r>
      <w:r>
        <w:fldChar w:fldCharType="begin"/>
      </w:r>
      <w:r>
        <w:instrText xml:space="preserve"> HYPERLINK "https://doi.org/10.3390/biom12101387" \h </w:instrText>
      </w:r>
      <w:r>
        <w:fldChar w:fldCharType="separate"/>
      </w:r>
      <w:r>
        <w:rPr>
          <w:rFonts w:ascii="Times New Roman" w:hAnsi="Times New Roman" w:eastAsia="Times New Roman" w:cs="Times New Roman"/>
          <w:color w:val="0563C1"/>
          <w:sz w:val="24"/>
          <w:szCs w:val="24"/>
          <w:highlight w:val="yellow"/>
          <w:u w:val="single"/>
        </w:rPr>
        <w:t>https://doi.org/10.3390/biom12101387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4518369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[108] Folbergrová J, Kunz WS. Mitochondrial dysfunction in epilepsy. Mitochondrion. 2012; 12: 35–40. </w:t>
      </w:r>
      <w:r>
        <w:fldChar w:fldCharType="begin"/>
      </w:r>
      <w:r>
        <w:instrText xml:space="preserve"> HYPERLINK "https://doi.org/10.1016/j.mito.2011.04.004" \h </w:instrText>
      </w:r>
      <w:r>
        <w:fldChar w:fldCharType="separate"/>
      </w:r>
      <w:r>
        <w:rPr>
          <w:rFonts w:ascii="Times New Roman" w:hAnsi="Times New Roman" w:eastAsia="Times New Roman" w:cs="Times New Roman"/>
          <w:color w:val="0563C1"/>
          <w:sz w:val="24"/>
          <w:szCs w:val="24"/>
          <w:highlight w:val="yellow"/>
          <w:u w:val="single"/>
        </w:rPr>
        <w:t>https://doi.org/10.1016/j.mito.2011.04.004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4CF331C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[109] Blumenfeld H. Cellular and network mechanisms of spike-wave seizures. Epilepsia. 2005; 46: 21–33. </w:t>
      </w:r>
      <w:r>
        <w:fldChar w:fldCharType="begin"/>
      </w:r>
      <w:r>
        <w:instrText xml:space="preserve"> HYPERLINK "https://doi.org/10.1111/j.1528-1167.2005.00311.x" \h </w:instrText>
      </w:r>
      <w:r>
        <w:fldChar w:fldCharType="separate"/>
      </w:r>
      <w:r>
        <w:rPr>
          <w:rFonts w:ascii="Times New Roman" w:hAnsi="Times New Roman" w:eastAsia="Times New Roman" w:cs="Times New Roman"/>
          <w:color w:val="0563C1"/>
          <w:sz w:val="24"/>
          <w:szCs w:val="24"/>
          <w:highlight w:val="yellow"/>
          <w:u w:val="single"/>
        </w:rPr>
        <w:t>https://doi.org/10.1111/j.1528-1167.2005.00311.x</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8CA2B0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[110] Sun Y, Chen Y, Zhang H, Chai Y. Dynamic effect of electromagnetic induction on epileptic waveform. BMC Neuroscience. 2022; 23: 78. </w:t>
      </w:r>
      <w:r>
        <w:fldChar w:fldCharType="begin"/>
      </w:r>
      <w:r>
        <w:instrText xml:space="preserve"> HYPERLINK "https://doi.org/10.1186/s12868-022-00768-y" \h </w:instrText>
      </w:r>
      <w:r>
        <w:fldChar w:fldCharType="separate"/>
      </w:r>
      <w:r>
        <w:rPr>
          <w:rFonts w:ascii="Times New Roman" w:hAnsi="Times New Roman" w:eastAsia="Times New Roman" w:cs="Times New Roman"/>
          <w:color w:val="0563C1"/>
          <w:sz w:val="24"/>
          <w:szCs w:val="24"/>
          <w:highlight w:val="yellow"/>
          <w:u w:val="single"/>
        </w:rPr>
        <w:t>https://doi.org/10.1186/s12868-022-00768-y</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6EE0EC00">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[111] Nicholls DG. Mitochondrial calcium function and dysfunction in the central nervous system. Biochimica et Biophysica Acta. 2009; 1787: 1416–1424.</w:t>
      </w:r>
      <w:r>
        <w:rPr>
          <w:rFonts w:ascii="Times New Roman" w:hAnsi="Times New Roman" w:eastAsia="Times New Roman" w:cs="Times New Roman"/>
          <w:sz w:val="24"/>
          <w:szCs w:val="24"/>
          <w:highlight w:val="yellow"/>
        </w:rPr>
        <w:t xml:space="preserve"> </w:t>
      </w:r>
      <w:r>
        <w:fldChar w:fldCharType="begin"/>
      </w:r>
      <w:r>
        <w:instrText xml:space="preserve"> HYPERLINK "https://doi.org/10.1016/j.bbabio.2009.03.010" \h </w:instrText>
      </w:r>
      <w:r>
        <w:fldChar w:fldCharType="separate"/>
      </w:r>
      <w:r>
        <w:rPr>
          <w:rFonts w:ascii="Times New Roman" w:hAnsi="Times New Roman" w:eastAsia="Times New Roman" w:cs="Times New Roman"/>
          <w:color w:val="0563C1"/>
          <w:sz w:val="24"/>
          <w:szCs w:val="24"/>
          <w:highlight w:val="yellow"/>
          <w:u w:val="single"/>
        </w:rPr>
        <w:t>https://doi.org/10.1016/j.bbabio.2009.03.010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5CABB01">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[112] McCormick DA, Huguenard JR. A model of the electrophysiological properties of thalamocortical relay neurons. Journal of Neurophysiology. 1992; 68: 1384–1400.</w:t>
      </w:r>
      <w:r>
        <w:rPr>
          <w:rFonts w:ascii="Times New Roman" w:hAnsi="Times New Roman" w:eastAsia="Times New Roman" w:cs="Times New Roman"/>
          <w:sz w:val="24"/>
          <w:szCs w:val="24"/>
          <w:highlight w:val="yellow"/>
        </w:rPr>
        <w:t xml:space="preserve"> </w:t>
      </w:r>
      <w:r>
        <w:fldChar w:fldCharType="begin"/>
      </w:r>
      <w:r>
        <w:instrText xml:space="preserve"> HYPERLINK "https://doi.org/10.1152/jn.1992.68.4.1384" \h </w:instrText>
      </w:r>
      <w:r>
        <w:fldChar w:fldCharType="separate"/>
      </w:r>
      <w:r>
        <w:rPr>
          <w:rFonts w:ascii="Times New Roman" w:hAnsi="Times New Roman" w:eastAsia="Times New Roman" w:cs="Times New Roman"/>
          <w:color w:val="0563C1"/>
          <w:sz w:val="24"/>
          <w:szCs w:val="24"/>
          <w:highlight w:val="yellow"/>
          <w:u w:val="single"/>
        </w:rPr>
        <w:t>https://doi.org/10.1152/jn.1992.68.4.1384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D74EAB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[113] Mancuso M, Mezzalira F, Vignoli B, Greotti E. Mitochondrial Ca2+ Signaling at the Tripartite Synapse: A Unifying Framework for Glutamate Homeostasis, Metabolic Coupling, and Network Vulnerability. Biomolecules. 2026; 16: 171.</w:t>
      </w:r>
      <w:r>
        <w:rPr>
          <w:rFonts w:ascii="Times New Roman" w:hAnsi="Times New Roman" w:eastAsia="Times New Roman" w:cs="Times New Roman"/>
          <w:sz w:val="24"/>
          <w:szCs w:val="24"/>
          <w:highlight w:val="yellow"/>
        </w:rPr>
        <w:t xml:space="preserve"> </w:t>
      </w:r>
      <w:r>
        <w:fldChar w:fldCharType="begin"/>
      </w:r>
      <w:r>
        <w:instrText xml:space="preserve"> HYPERLINK "https://doi.org/10.3390/biom16010171" \h </w:instrText>
      </w:r>
      <w:r>
        <w:fldChar w:fldCharType="separate"/>
      </w:r>
      <w:r>
        <w:rPr>
          <w:rFonts w:ascii="Times New Roman" w:hAnsi="Times New Roman" w:eastAsia="Times New Roman" w:cs="Times New Roman"/>
          <w:color w:val="0563C1"/>
          <w:sz w:val="24"/>
          <w:szCs w:val="24"/>
          <w:highlight w:val="yellow"/>
          <w:u w:val="single"/>
        </w:rPr>
        <w:t>https://doi.org/10.3390/biom16010171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595CF752">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[114] Belete TM. Recent Progress in the Development of New Antiepileptic Drugs with Novel Targets. Annals of Neurosciences. 2023; 30: 262–276. </w:t>
      </w:r>
      <w:r>
        <w:fldChar w:fldCharType="begin"/>
      </w:r>
      <w:r>
        <w:instrText xml:space="preserve"> HYPERLINK "https://doi.org/10.1177/09727531231185991" \h </w:instrText>
      </w:r>
      <w:r>
        <w:fldChar w:fldCharType="separate"/>
      </w:r>
      <w:r>
        <w:rPr>
          <w:rFonts w:ascii="Times New Roman" w:hAnsi="Times New Roman" w:eastAsia="Times New Roman" w:cs="Times New Roman"/>
          <w:color w:val="0563C1"/>
          <w:sz w:val="24"/>
          <w:szCs w:val="24"/>
          <w:highlight w:val="yellow"/>
          <w:u w:val="single"/>
        </w:rPr>
        <w:t>https://doi.org/10.1177/09727531231185991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5E88EF4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[115] Macdonald RL, Kelly KM. Antiepileptic drug mechanisms of action. Epilepsia. 1995; 36: S2–S12. </w:t>
      </w:r>
      <w:r>
        <w:fldChar w:fldCharType="begin"/>
      </w:r>
      <w:r>
        <w:instrText xml:space="preserve"> HYPERLINK "https://doi.org/10.1111/j.1528-1157.1995.tb05996.x" \h </w:instrText>
      </w:r>
      <w:r>
        <w:fldChar w:fldCharType="separate"/>
      </w:r>
      <w:r>
        <w:rPr>
          <w:rFonts w:ascii="Times New Roman" w:hAnsi="Times New Roman" w:eastAsia="Times New Roman" w:cs="Times New Roman"/>
          <w:color w:val="0563C1"/>
          <w:sz w:val="24"/>
          <w:szCs w:val="24"/>
          <w:highlight w:val="yellow"/>
          <w:u w:val="single"/>
        </w:rPr>
        <w:t>https://doi.org/10.1111/j.1528-1157.1995.tb05996.x</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64FBB7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[116] Staley K. Molecular mechanisms of epilepsy. Nature Neuroscience. 2015; 18: 367–372. </w:t>
      </w:r>
      <w:r>
        <w:fldChar w:fldCharType="begin"/>
      </w:r>
      <w:r>
        <w:instrText xml:space="preserve"> HYPERLINK "https://doi.org/10.1038/nn.3947" \h </w:instrText>
      </w:r>
      <w:r>
        <w:fldChar w:fldCharType="separate"/>
      </w:r>
      <w:r>
        <w:rPr>
          <w:rFonts w:ascii="Times New Roman" w:hAnsi="Times New Roman" w:eastAsia="Times New Roman" w:cs="Times New Roman"/>
          <w:color w:val="0563C1"/>
          <w:sz w:val="24"/>
          <w:szCs w:val="24"/>
          <w:highlight w:val="yellow"/>
          <w:u w:val="single"/>
        </w:rPr>
        <w:t>https://doi.org/10.1038/nn.3947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BD70A02">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[117] Debanne D, Mylonaki K, Musella ML, Russier M. Voltage-gated ion channels in epilepsies: circuit dysfunctions and treatments. Trends in Pharmacological Sciences. 2024; 45: 1018–1032. </w:t>
      </w:r>
      <w:r>
        <w:fldChar w:fldCharType="begin"/>
      </w:r>
      <w:r>
        <w:instrText xml:space="preserve"> HYPERLINK "https://doi.org/10.1016/j.tips.2024.09.004" \h </w:instrText>
      </w:r>
      <w:r>
        <w:fldChar w:fldCharType="separate"/>
      </w:r>
      <w:r>
        <w:rPr>
          <w:rFonts w:ascii="Times New Roman" w:hAnsi="Times New Roman" w:eastAsia="Times New Roman" w:cs="Times New Roman"/>
          <w:color w:val="0563C1"/>
          <w:sz w:val="24"/>
          <w:szCs w:val="24"/>
          <w:highlight w:val="yellow"/>
          <w:u w:val="single"/>
        </w:rPr>
        <w:t>https://doi.org/10.1016/j.tips.2024.09.004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3A7E9C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[118] Matuz-Mares D, González-Andrade M, Araiza-Villanueva MG, Vilchis-Landeros MM, Vázquez-Meza H. Mitochondrial Calcium: Effects of Its Imbalance in Disease. Antioxidants. 2022; 11: 801. </w:t>
      </w:r>
      <w:r>
        <w:fldChar w:fldCharType="begin"/>
      </w:r>
      <w:r>
        <w:instrText xml:space="preserve"> HYPERLINK "https://doi.org/10.3390/antiox11050801" \h </w:instrText>
      </w:r>
      <w:r>
        <w:fldChar w:fldCharType="separate"/>
      </w:r>
      <w:r>
        <w:rPr>
          <w:rFonts w:ascii="Times New Roman" w:hAnsi="Times New Roman" w:eastAsia="Times New Roman" w:cs="Times New Roman"/>
          <w:color w:val="0563C1"/>
          <w:sz w:val="24"/>
          <w:szCs w:val="24"/>
          <w:highlight w:val="yellow"/>
          <w:u w:val="single"/>
        </w:rPr>
        <w:t>https://doi.org/10.3390/antiox11050801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5BBF9B34">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[119] Kann O, Kovács R, Heinemann U. Metabotropic receptor-mediated Ca2+ signaling elevates mitochondrial Ca2+ and stimulates oxidative metabolism in hippocampal slice cultures. Journal of Neurophysiology. 2003; 90: 613–621.</w:t>
      </w:r>
      <w:r>
        <w:rPr>
          <w:rFonts w:ascii="Times New Roman" w:hAnsi="Times New Roman" w:eastAsia="Times New Roman" w:cs="Times New Roman"/>
          <w:sz w:val="24"/>
          <w:szCs w:val="24"/>
          <w:highlight w:val="yellow"/>
        </w:rPr>
        <w:t xml:space="preserve"> </w:t>
      </w:r>
      <w:r>
        <w:fldChar w:fldCharType="begin"/>
      </w:r>
      <w:r>
        <w:instrText xml:space="preserve"> HYPERLINK "https://doi.org/10.1152/jn.00042.2003" \h </w:instrText>
      </w:r>
      <w:r>
        <w:fldChar w:fldCharType="separate"/>
      </w:r>
      <w:r>
        <w:rPr>
          <w:rFonts w:ascii="Times New Roman" w:hAnsi="Times New Roman" w:eastAsia="Times New Roman" w:cs="Times New Roman"/>
          <w:color w:val="0563C1"/>
          <w:sz w:val="24"/>
          <w:szCs w:val="24"/>
          <w:highlight w:val="yellow"/>
          <w:u w:val="single"/>
        </w:rPr>
        <w:t>https://doi.org/10.1152/jn.00042.2003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60B2110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[120] Kovács R, Schuchmann S, Gabriel S, Kann O, Kardos J, Heinemann U. Free radical-mediated cell damage after experimental status epilepticus in hippocampal slice cultures. Journal of Neurophysiology. 2002; 88: 2909–2918. </w:t>
      </w:r>
      <w:r>
        <w:fldChar w:fldCharType="begin"/>
      </w:r>
      <w:r>
        <w:instrText xml:space="preserve"> HYPERLINK "https://doi.org/10.1152/jn.00149.2002" \h </w:instrText>
      </w:r>
      <w:r>
        <w:fldChar w:fldCharType="separate"/>
      </w:r>
      <w:r>
        <w:rPr>
          <w:rFonts w:ascii="Times New Roman" w:hAnsi="Times New Roman" w:eastAsia="Times New Roman" w:cs="Times New Roman"/>
          <w:color w:val="0563C1"/>
          <w:sz w:val="24"/>
          <w:szCs w:val="24"/>
          <w:highlight w:val="yellow"/>
          <w:u w:val="single"/>
        </w:rPr>
        <w:t>https://doi.org/10.1152/jn.00149.2002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2A440C0A">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[121] Abramov AY, Scorziello A, Duchen MR. Three distinct mechanisms generate oxygen free radicals in neurons and contribute to cell death during anoxia and reoxygenation. The Journal of Neuroscience. 2007; 27: 1129–1138. </w:t>
      </w:r>
      <w:r>
        <w:fldChar w:fldCharType="begin"/>
      </w:r>
      <w:r>
        <w:instrText xml:space="preserve"> HYPERLINK "https://doi.org/10.1523/JNEUROSCI.4468-06.2007" \h </w:instrText>
      </w:r>
      <w:r>
        <w:fldChar w:fldCharType="separate"/>
      </w:r>
      <w:r>
        <w:rPr>
          <w:rFonts w:ascii="Times New Roman" w:hAnsi="Times New Roman" w:eastAsia="Times New Roman" w:cs="Times New Roman"/>
          <w:color w:val="0563C1"/>
          <w:sz w:val="24"/>
          <w:szCs w:val="24"/>
          <w:highlight w:val="yellow"/>
          <w:u w:val="single"/>
        </w:rPr>
        <w:t>https://doi.org/10.1523/JNEUROSCI.4468-06.2007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F8EB4F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[122] Patel M. Mitochondrial dysfunction and oxidative stress: cause and consequence of epileptic seizures. Free Radical Biology Medicine. 2004; 37: 1951–1962.</w:t>
      </w:r>
      <w:r>
        <w:rPr>
          <w:rFonts w:ascii="Times New Roman" w:hAnsi="Times New Roman" w:eastAsia="Times New Roman" w:cs="Times New Roman"/>
          <w:sz w:val="24"/>
          <w:szCs w:val="24"/>
          <w:highlight w:val="yellow"/>
        </w:rPr>
        <w:t xml:space="preserve"> </w:t>
      </w:r>
      <w:r>
        <w:fldChar w:fldCharType="begin"/>
      </w:r>
      <w:r>
        <w:instrText xml:space="preserve"> HYPERLINK "https://doi.org/10.1016/j.freeradbiomed.2004.08.021" \h </w:instrText>
      </w:r>
      <w:r>
        <w:fldChar w:fldCharType="separate"/>
      </w:r>
      <w:r>
        <w:rPr>
          <w:rFonts w:ascii="Times New Roman" w:hAnsi="Times New Roman" w:eastAsia="Times New Roman" w:cs="Times New Roman"/>
          <w:color w:val="0563C1"/>
          <w:sz w:val="24"/>
          <w:szCs w:val="24"/>
          <w:highlight w:val="yellow"/>
          <w:u w:val="single"/>
        </w:rPr>
        <w:t>https://doi.org/10.1016/j.freeradbiomed.2004.08.021</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0C09588">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[123] Devinsky O, Vezzani A, Najjar S, De Lanerolle NC, Rogawski MA. Glia and epilepsy: excitability and inflammation. Trends in Neurosciences. 2013; 36: 174–184</w:t>
      </w:r>
      <w:r>
        <w:rPr>
          <w:rFonts w:ascii="Times New Roman" w:hAnsi="Times New Roman" w:eastAsia="Times New Roman" w:cs="Times New Roman"/>
          <w:sz w:val="24"/>
          <w:szCs w:val="24"/>
          <w:highlight w:val="yellow"/>
        </w:rPr>
        <w:t xml:space="preserve">. </w:t>
      </w:r>
      <w:r>
        <w:fldChar w:fldCharType="begin"/>
      </w:r>
      <w:r>
        <w:instrText xml:space="preserve"> HYPERLINK "https://doi.org/10.1016/j.tins.2012.11.008" \h </w:instrText>
      </w:r>
      <w:r>
        <w:fldChar w:fldCharType="separate"/>
      </w:r>
      <w:r>
        <w:rPr>
          <w:rFonts w:ascii="Times New Roman" w:hAnsi="Times New Roman" w:eastAsia="Times New Roman" w:cs="Times New Roman"/>
          <w:color w:val="0563C1"/>
          <w:sz w:val="24"/>
          <w:szCs w:val="24"/>
          <w:highlight w:val="yellow"/>
          <w:u w:val="single"/>
        </w:rPr>
        <w:t>https://doi.org/10.1016/j.tins.2012.11.008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73578A5">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[124] Bough KJ, Rho JM. Anticonvulsant mechanisms of the ketogenic diet. Epilepsia. 2007; 48: 43–58. </w:t>
      </w:r>
      <w:r>
        <w:fldChar w:fldCharType="begin"/>
      </w:r>
      <w:r>
        <w:instrText xml:space="preserve"> HYPERLINK "https://doi.org/10.1111/j.1528-1167.2007.00915.x" \h </w:instrText>
      </w:r>
      <w:r>
        <w:fldChar w:fldCharType="separate"/>
      </w:r>
      <w:r>
        <w:rPr>
          <w:rFonts w:ascii="Times New Roman" w:hAnsi="Times New Roman" w:eastAsia="Times New Roman" w:cs="Times New Roman"/>
          <w:color w:val="0563C1"/>
          <w:sz w:val="24"/>
          <w:szCs w:val="24"/>
          <w:highlight w:val="yellow"/>
          <w:u w:val="single"/>
        </w:rPr>
        <w:t>https://doi.org/10.1111/j.1528-1167.2007.00915.x</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9621DB2">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[125] Patel MA. Metabolic Paradigm for Epilepsy. Epilepsy Currents. 2018; 18: 318–322. </w:t>
      </w:r>
      <w:r>
        <w:fldChar w:fldCharType="begin"/>
      </w:r>
      <w:r>
        <w:instrText xml:space="preserve"> HYPERLINK "https://doi.org/10.5698/1535-7597.18.5.318" \h </w:instrText>
      </w:r>
      <w:r>
        <w:fldChar w:fldCharType="separate"/>
      </w:r>
      <w:r>
        <w:rPr>
          <w:rFonts w:ascii="Times New Roman" w:hAnsi="Times New Roman" w:eastAsia="Times New Roman" w:cs="Times New Roman"/>
          <w:color w:val="0563C1"/>
          <w:sz w:val="24"/>
          <w:szCs w:val="24"/>
          <w:highlight w:val="yellow"/>
          <w:u w:val="single"/>
        </w:rPr>
        <w:t>https://doi.org/10.5698/1535-7597.18.5.318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541A01A4">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[126] Giménez-Cassina A, Martínez-François JR, Fisher JK, Szlyk B, Polak K, Wiwczar J,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BAD-dependent regulation of fuel metabolism and K(ATP) channel activity confers resistance to epileptic seizures. Neuron. 2012; 74: 719–730. </w:t>
      </w:r>
      <w:r>
        <w:fldChar w:fldCharType="begin"/>
      </w:r>
      <w:r>
        <w:instrText xml:space="preserve"> HYPERLINK "https://doi.org/10.1016/j.neuron.2012.03.032" \h </w:instrText>
      </w:r>
      <w:r>
        <w:fldChar w:fldCharType="separate"/>
      </w:r>
      <w:r>
        <w:rPr>
          <w:rFonts w:ascii="Times New Roman" w:hAnsi="Times New Roman" w:eastAsia="Times New Roman" w:cs="Times New Roman"/>
          <w:color w:val="0563C1"/>
          <w:sz w:val="24"/>
          <w:szCs w:val="24"/>
          <w:highlight w:val="yellow"/>
          <w:u w:val="single"/>
        </w:rPr>
        <w:t>https://doi.org/10.1016/j.neuron.2012.03.032</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04BDD17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[127] Zhang Y, Zhang M, Zhu W, Yu J, Wang Q, Zhang J,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Succinate accumulation induces mitochondrial reactive oxygen species generation and promotes status epilepticus in the kainic acid rat model. Redox Biology. 2020; 28: 101365. </w:t>
      </w:r>
      <w:r>
        <w:fldChar w:fldCharType="begin"/>
      </w:r>
      <w:r>
        <w:instrText xml:space="preserve"> HYPERLINK "https://doi.org/10.1016/j.redox.2019.101365" \h </w:instrText>
      </w:r>
      <w:r>
        <w:fldChar w:fldCharType="separate"/>
      </w:r>
      <w:r>
        <w:rPr>
          <w:rFonts w:ascii="Times New Roman" w:hAnsi="Times New Roman" w:eastAsia="Times New Roman" w:cs="Times New Roman"/>
          <w:color w:val="0563C1"/>
          <w:sz w:val="24"/>
          <w:szCs w:val="24"/>
          <w:highlight w:val="yellow"/>
          <w:u w:val="single"/>
        </w:rPr>
        <w:t>https://doi.org/10.1016/j.redox.2019.101365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01197064">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[128] James AM., Sharpley MS, Manas AR, Frerman FE, Hirst J, Smith RA, Murphy MP. Interaction of the mitochondria-targeted antioxidant MitoQ with phospholipid bilayers and ubiquinone oxidoreductases. The Journal of Biological Chemistry. 2007; 282: 14708–14718. </w:t>
      </w:r>
      <w:r>
        <w:fldChar w:fldCharType="begin"/>
      </w:r>
      <w:r>
        <w:instrText xml:space="preserve"> HYPERLINK "https://doi.org/10.1074/jbc.M611463200" \h </w:instrText>
      </w:r>
      <w:r>
        <w:fldChar w:fldCharType="separate"/>
      </w:r>
      <w:r>
        <w:rPr>
          <w:rFonts w:ascii="Times New Roman" w:hAnsi="Times New Roman" w:eastAsia="Times New Roman" w:cs="Times New Roman"/>
          <w:color w:val="0563C1"/>
          <w:sz w:val="24"/>
          <w:szCs w:val="24"/>
          <w:highlight w:val="yellow"/>
          <w:u w:val="single"/>
        </w:rPr>
        <w:t>https://doi.org/10.1074/jbc.M611463200</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7F95B9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[129] Patai R, Patel K, Csik B, Gulej R, Nagaraja RY, Nagy D,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Aging, mitochondrial dysfunction, and cerebral microhemorrhages: a preclinical evaluation of SS-31 (elamipretide) and development of a high-throughput machine learning-driven imaging pipeline for cerebromicrovascular protection therapeutic screening. GeroScience. 2025; 47: 4871–4887. </w:t>
      </w:r>
      <w:r>
        <w:fldChar w:fldCharType="begin"/>
      </w:r>
      <w:r>
        <w:instrText xml:space="preserve"> HYPERLINK "https://doi.org/10.1007/s11357-025-01634-5" \h </w:instrText>
      </w:r>
      <w:r>
        <w:fldChar w:fldCharType="separate"/>
      </w:r>
      <w:r>
        <w:rPr>
          <w:rFonts w:ascii="Times New Roman" w:hAnsi="Times New Roman" w:eastAsia="Times New Roman" w:cs="Times New Roman"/>
          <w:color w:val="0563C1"/>
          <w:sz w:val="24"/>
          <w:szCs w:val="24"/>
          <w:highlight w:val="yellow"/>
          <w:u w:val="single"/>
        </w:rPr>
        <w:t>https://doi.org/10.1007/s11357-025-01634-5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43C3AC0">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[130] Raza ML, Imam MH, Zehra W, Anwar IB, Mehdi R. Oxidative stress and neuronal alteration: Mitochondrial dysfunction as a key player in intractable epilepsy - a narrative review. Pathology, Research and Practice. 2026; 277: 156285. </w:t>
      </w:r>
      <w:r>
        <w:fldChar w:fldCharType="begin"/>
      </w:r>
      <w:r>
        <w:instrText xml:space="preserve"> HYPERLINK "https://doi.org/10.1016/j.prp.2025.156285" \h </w:instrText>
      </w:r>
      <w:r>
        <w:fldChar w:fldCharType="separate"/>
      </w:r>
      <w:r>
        <w:rPr>
          <w:rFonts w:ascii="Times New Roman" w:hAnsi="Times New Roman" w:eastAsia="Times New Roman" w:cs="Times New Roman"/>
          <w:color w:val="0563C1"/>
          <w:sz w:val="24"/>
          <w:szCs w:val="24"/>
          <w:highlight w:val="yellow"/>
          <w:u w:val="single"/>
        </w:rPr>
        <w:t>https://doi.org/10.1016/j.prp.2025.156285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55A6BD34">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[131] Kowalczyk P, Sulejczak D, Kleczkowska P, Bukowska-Ośko I, Kucia M, Popiel M,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Mitochondrial Oxidative Stress-A Causative Factor and Therapeutic Target in Many Diseases. International Journal of Molecular Sciences. 2021; 22: 13384.</w:t>
      </w:r>
      <w:r>
        <w:rPr>
          <w:rFonts w:ascii="Times New Roman" w:hAnsi="Times New Roman" w:eastAsia="Times New Roman" w:cs="Times New Roman"/>
          <w:sz w:val="24"/>
          <w:szCs w:val="24"/>
          <w:highlight w:val="yellow"/>
        </w:rPr>
        <w:t xml:space="preserve"> </w:t>
      </w:r>
      <w:r>
        <w:fldChar w:fldCharType="begin"/>
      </w:r>
      <w:r>
        <w:instrText xml:space="preserve"> HYPERLINK "https://doi.org/10.3390/ijms222413384" \h </w:instrText>
      </w:r>
      <w:r>
        <w:fldChar w:fldCharType="separate"/>
      </w:r>
      <w:r>
        <w:rPr>
          <w:rFonts w:ascii="Times New Roman" w:hAnsi="Times New Roman" w:eastAsia="Times New Roman" w:cs="Times New Roman"/>
          <w:color w:val="0563C1"/>
          <w:sz w:val="24"/>
          <w:szCs w:val="24"/>
          <w:highlight w:val="yellow"/>
          <w:u w:val="single"/>
        </w:rPr>
        <w:t>https://doi.org/10.3390/ijms222413384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8B54B7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[132] Zhou Z, Arroum T, Luo X, Kang R, Lee YJ, Tang D,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Diverse functions of cytochrome c in cell death and disease. Cell Death and Differentiation. 2024; 31: 387–404. </w:t>
      </w:r>
      <w:r>
        <w:fldChar w:fldCharType="begin"/>
      </w:r>
      <w:r>
        <w:instrText xml:space="preserve"> HYPERLINK "https://doi.org/10.1038/s41418-024-01284-8" \h </w:instrText>
      </w:r>
      <w:r>
        <w:fldChar w:fldCharType="separate"/>
      </w:r>
      <w:r>
        <w:rPr>
          <w:rFonts w:ascii="Times New Roman" w:hAnsi="Times New Roman" w:eastAsia="Times New Roman" w:cs="Times New Roman"/>
          <w:color w:val="0563C1"/>
          <w:sz w:val="24"/>
          <w:szCs w:val="24"/>
          <w:highlight w:val="yellow"/>
          <w:u w:val="single"/>
        </w:rPr>
        <w:t>https://doi.org/10.1038/s41418-024-01284-8</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5E1D947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[133]</w:t>
      </w:r>
      <w:r>
        <w:rPr>
          <w:rFonts w:ascii="Times New Roman" w:hAnsi="Times New Roman" w:eastAsia="Times New Roman" w:cs="Times New Roman"/>
        </w:rPr>
        <w:t xml:space="preserve"> </w:t>
      </w:r>
      <w:r>
        <w:rPr>
          <w:rFonts w:ascii="Times New Roman" w:hAnsi="Times New Roman" w:eastAsia="Times New Roman" w:cs="Times New Roman"/>
          <w:sz w:val="24"/>
          <w:szCs w:val="24"/>
        </w:rPr>
        <w:t xml:space="preserve">Ngadimon IW, Shaikh MF, Mohan D, Cheong WL, Khoo CS. Mapping epilepsy biomarkers: a bibliometric and content analysis. Drug Discovery Today. 2024; 29: 104247. </w:t>
      </w:r>
      <w:r>
        <w:fldChar w:fldCharType="begin"/>
      </w:r>
      <w:r>
        <w:instrText xml:space="preserve"> HYPERLINK "https://doi.org/10.1016/j.drudis.2024.104247" \h </w:instrText>
      </w:r>
      <w:r>
        <w:fldChar w:fldCharType="separate"/>
      </w:r>
      <w:r>
        <w:rPr>
          <w:rFonts w:ascii="Times New Roman" w:hAnsi="Times New Roman" w:eastAsia="Times New Roman" w:cs="Times New Roman"/>
          <w:color w:val="0563C1"/>
          <w:sz w:val="24"/>
          <w:szCs w:val="24"/>
          <w:highlight w:val="yellow"/>
          <w:u w:val="single"/>
        </w:rPr>
        <w:t>https://doi.org/10.1016/j.drudis.2024.104247</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2FD63AF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[134] Korczowska-Łącka I, Hurła M, Banaszek N, Kobylarek D, Szymanowicz O, Kozubski W, Dorszewska J. Selected Biomarkers of Oxidative Stress and Energy Metabolism Disorders in Neurological Diseases. Molecular Neurobiology. 2023; 60: 4132–4149. </w:t>
      </w:r>
      <w:r>
        <w:fldChar w:fldCharType="begin"/>
      </w:r>
      <w:r>
        <w:instrText xml:space="preserve"> HYPERLINK "https://doi.org/10.1007/s12035-023-03329-4" \h </w:instrText>
      </w:r>
      <w:r>
        <w:fldChar w:fldCharType="separate"/>
      </w:r>
      <w:r>
        <w:rPr>
          <w:rFonts w:ascii="Times New Roman" w:hAnsi="Times New Roman" w:eastAsia="Times New Roman" w:cs="Times New Roman"/>
          <w:color w:val="0563C1"/>
          <w:sz w:val="24"/>
          <w:szCs w:val="24"/>
          <w:highlight w:val="yellow"/>
          <w:u w:val="single"/>
        </w:rPr>
        <w:t>https://doi.org/10.1007/s12035-023-03329-4</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48A1722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[135] Almannai M, El-Hattab AW, Azamian MS, Ali M, Scaglia F. Mitochondrial DNA maintenance defects: potential therapeutic strategies. Molecular Genetics and Metabolism. 2022; 137: 40–48. </w:t>
      </w:r>
      <w:r>
        <w:fldChar w:fldCharType="begin"/>
      </w:r>
      <w:r>
        <w:instrText xml:space="preserve"> HYPERLINK "https://doi.org/10.1016/j.ymgme.2022.07.003" \h </w:instrText>
      </w:r>
      <w:r>
        <w:fldChar w:fldCharType="separate"/>
      </w:r>
      <w:r>
        <w:rPr>
          <w:rFonts w:ascii="Times New Roman" w:hAnsi="Times New Roman" w:eastAsia="Times New Roman" w:cs="Times New Roman"/>
          <w:color w:val="0563C1"/>
          <w:sz w:val="24"/>
          <w:szCs w:val="24"/>
          <w:highlight w:val="yellow"/>
          <w:u w:val="single"/>
        </w:rPr>
        <w:t>https://doi.org/10.1016/j.ymgme.2022.07.003</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74A5C44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[136] Schlotterbeck G, Ross A, Dieterle F, Senn H. Metabolic profiling technologies for biomarker discovery in biomedicine and drug development. Pharmacogenomics. 2006; 7: 1055–1075.</w:t>
      </w:r>
    </w:p>
    <w:p w14:paraId="166867EF">
      <w:pPr>
        <w:spacing w:after="0" w:line="240" w:lineRule="auto"/>
        <w:jc w:val="both"/>
        <w:rPr>
          <w:rFonts w:ascii="Times New Roman" w:hAnsi="Times New Roman" w:eastAsia="Times New Roman" w:cs="Times New Roman"/>
          <w:sz w:val="24"/>
          <w:szCs w:val="24"/>
        </w:rPr>
      </w:pPr>
      <w:r>
        <w:fldChar w:fldCharType="begin"/>
      </w:r>
      <w:r>
        <w:instrText xml:space="preserve"> HYPERLINK "https://doi.org/10.2217/14622416.7.7.1055" \h </w:instrText>
      </w:r>
      <w:r>
        <w:fldChar w:fldCharType="separate"/>
      </w:r>
      <w:r>
        <w:rPr>
          <w:rFonts w:ascii="Times New Roman" w:hAnsi="Times New Roman" w:eastAsia="Times New Roman" w:cs="Times New Roman"/>
          <w:color w:val="0563C1"/>
          <w:sz w:val="24"/>
          <w:szCs w:val="24"/>
          <w:highlight w:val="yellow"/>
          <w:u w:val="single"/>
        </w:rPr>
        <w:t>https://doi.org/10.2217/14622416.7.7.1055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rPr>
        <w:t>.</w:t>
      </w:r>
    </w:p>
    <w:p w14:paraId="3E680AE0">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[137] Li C, Wang X, Deng M, Luo Q, Yang C, Gu Z,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Antiepileptic Drug Combinations for Epilepsy: Mechanisms, Clinical Strategies, and Future Prospects. International Journal of Molecular Sciences. 2025; 26: 4035. </w:t>
      </w:r>
      <w:r>
        <w:fldChar w:fldCharType="begin"/>
      </w:r>
      <w:r>
        <w:instrText xml:space="preserve"> HYPERLINK "https://doi.org/10.3390/ijms26094035" \h </w:instrText>
      </w:r>
      <w:r>
        <w:fldChar w:fldCharType="separate"/>
      </w:r>
      <w:r>
        <w:rPr>
          <w:rFonts w:ascii="Times New Roman" w:hAnsi="Times New Roman" w:eastAsia="Times New Roman" w:cs="Times New Roman"/>
          <w:color w:val="0563C1"/>
          <w:sz w:val="24"/>
          <w:szCs w:val="24"/>
          <w:highlight w:val="yellow"/>
          <w:u w:val="single"/>
        </w:rPr>
        <w:t>https://doi.org/10.3390/ijms26094035</w:t>
      </w:r>
      <w:r>
        <w:rPr>
          <w:rFonts w:ascii="Times New Roman" w:hAnsi="Times New Roman" w:eastAsia="Times New Roman" w:cs="Times New Roman"/>
          <w:color w:val="0563C1"/>
          <w:sz w:val="24"/>
          <w:szCs w:val="24"/>
          <w:highlight w:val="yellow"/>
          <w:u w:val="single"/>
        </w:rPr>
        <w:fldChar w:fldCharType="end"/>
      </w:r>
      <w:r>
        <w:rPr>
          <w:rFonts w:ascii="Times New Roman" w:hAnsi="Times New Roman" w:eastAsia="Times New Roman" w:cs="Times New Roman"/>
          <w:sz w:val="24"/>
          <w:szCs w:val="24"/>
          <w:highlight w:val="yellow"/>
        </w:rPr>
        <w:t>.</w:t>
      </w:r>
    </w:p>
    <w:p w14:paraId="3875FF0E">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[138] Finsterer J. Toxicity of Antiepileptic Drugs to Mitochondria. Handbook of Experimental Pharmacology. 2017; 240: 473–488. </w:t>
      </w:r>
      <w:r>
        <w:fldChar w:fldCharType="begin"/>
      </w:r>
      <w:r>
        <w:instrText xml:space="preserve"> HYPERLINK "https://doi.org/10.1007/164_2016_2" \h </w:instrText>
      </w:r>
      <w:r>
        <w:fldChar w:fldCharType="separate"/>
      </w:r>
      <w:r>
        <w:rPr>
          <w:rFonts w:ascii="Times New Roman" w:hAnsi="Times New Roman" w:eastAsia="Times New Roman" w:cs="Times New Roman"/>
          <w:color w:val="1155CC"/>
          <w:sz w:val="24"/>
          <w:szCs w:val="24"/>
          <w:highlight w:val="yellow"/>
          <w:u w:val="single"/>
        </w:rPr>
        <w:t>https://doi.org/10.1007/164_2016_2</w:t>
      </w:r>
      <w:r>
        <w:rPr>
          <w:rFonts w:ascii="Times New Roman" w:hAnsi="Times New Roman" w:eastAsia="Times New Roman" w:cs="Times New Roman"/>
          <w:color w:val="1155CC"/>
          <w:sz w:val="24"/>
          <w:szCs w:val="24"/>
          <w:highlight w:val="yellow"/>
          <w:u w:val="single"/>
        </w:rPr>
        <w:fldChar w:fldCharType="end"/>
      </w:r>
      <w:r>
        <w:rPr>
          <w:rFonts w:ascii="Times New Roman" w:hAnsi="Times New Roman" w:eastAsia="Times New Roman" w:cs="Times New Roman"/>
          <w:sz w:val="24"/>
          <w:szCs w:val="24"/>
          <w:highlight w:val="yellow"/>
        </w:rPr>
        <w:t>.</w:t>
      </w:r>
    </w:p>
    <w:p w14:paraId="21C68119">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[139] Stewart JD, Horvath R, Baruffini E, Ferrero I, Bulst S, Watkins PB, et al. Polymerase γ Gene POLG Determines the Risk of Sodium Valproate-Induced Liver Toxicity. Hepatology. 2010; 52: 1791–1796. </w:t>
      </w:r>
      <w:r>
        <w:fldChar w:fldCharType="begin"/>
      </w:r>
      <w:r>
        <w:instrText xml:space="preserve"> HYPERLINK "https://doi.org/10.1002/hep.23891" \h </w:instrText>
      </w:r>
      <w:r>
        <w:fldChar w:fldCharType="separate"/>
      </w:r>
      <w:r>
        <w:rPr>
          <w:rFonts w:ascii="Times New Roman" w:hAnsi="Times New Roman" w:eastAsia="Times New Roman" w:cs="Times New Roman"/>
          <w:color w:val="1155CC"/>
          <w:sz w:val="24"/>
          <w:szCs w:val="24"/>
          <w:highlight w:val="yellow"/>
          <w:u w:val="single"/>
        </w:rPr>
        <w:t>https://doi.org/10.1002/hep.23891</w:t>
      </w:r>
      <w:r>
        <w:rPr>
          <w:rFonts w:ascii="Times New Roman" w:hAnsi="Times New Roman" w:eastAsia="Times New Roman" w:cs="Times New Roman"/>
          <w:color w:val="1155CC"/>
          <w:sz w:val="24"/>
          <w:szCs w:val="24"/>
          <w:highlight w:val="yellow"/>
          <w:u w:val="single"/>
        </w:rPr>
        <w:fldChar w:fldCharType="end"/>
      </w:r>
      <w:r>
        <w:rPr>
          <w:rFonts w:ascii="Times New Roman" w:hAnsi="Times New Roman" w:eastAsia="Times New Roman" w:cs="Times New Roman"/>
          <w:sz w:val="24"/>
          <w:szCs w:val="24"/>
          <w:highlight w:val="yellow"/>
        </w:rPr>
        <w:t>.</w:t>
      </w:r>
    </w:p>
    <w:p w14:paraId="57535AB9">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[140] Ratnaike TE, Elkhateeb N, Lochmüller A, Gilmartin C, Schon K, Horváth R, et al. Evidence for sodium valproate toxicity in mitochondrial diseases: a systematic analysis. BMJ Neurology Open. 2024; 6: e000650. </w:t>
      </w:r>
      <w:r>
        <w:fldChar w:fldCharType="begin"/>
      </w:r>
      <w:r>
        <w:instrText xml:space="preserve"> HYPERLINK "https://doi.org/10.1136/bmjno-2024-000650" \h </w:instrText>
      </w:r>
      <w:r>
        <w:fldChar w:fldCharType="separate"/>
      </w:r>
      <w:r>
        <w:rPr>
          <w:rFonts w:ascii="Times New Roman" w:hAnsi="Times New Roman" w:eastAsia="Times New Roman" w:cs="Times New Roman"/>
          <w:color w:val="1155CC"/>
          <w:sz w:val="24"/>
          <w:szCs w:val="24"/>
          <w:highlight w:val="yellow"/>
          <w:u w:val="single"/>
        </w:rPr>
        <w:t>https://doi.org/10.1136/bmjno-2024-000650</w:t>
      </w:r>
      <w:r>
        <w:rPr>
          <w:rFonts w:ascii="Times New Roman" w:hAnsi="Times New Roman" w:eastAsia="Times New Roman" w:cs="Times New Roman"/>
          <w:color w:val="1155CC"/>
          <w:sz w:val="24"/>
          <w:szCs w:val="24"/>
          <w:highlight w:val="yellow"/>
          <w:u w:val="single"/>
        </w:rPr>
        <w:fldChar w:fldCharType="end"/>
      </w:r>
      <w:r>
        <w:rPr>
          <w:rFonts w:ascii="Times New Roman" w:hAnsi="Times New Roman" w:eastAsia="Times New Roman" w:cs="Times New Roman"/>
          <w:sz w:val="24"/>
          <w:szCs w:val="24"/>
          <w:highlight w:val="yellow"/>
        </w:rPr>
        <w:t>.</w:t>
      </w:r>
    </w:p>
    <w:p w14:paraId="33CC3F5A">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[141] Ryan K, Backos DS, Reigan P, Patel M. Post-translational oxidative modification and inactivation of mitochondrial complex I in epileptogenesis. The Journal of Neuroscience. 2012; 32: 11250–11258. </w:t>
      </w:r>
      <w:r>
        <w:fldChar w:fldCharType="begin"/>
      </w:r>
      <w:r>
        <w:instrText xml:space="preserve"> HYPERLINK "https://doi.org/10.1523/JNEUROSCI.0907-12.2012" \h </w:instrText>
      </w:r>
      <w:r>
        <w:fldChar w:fldCharType="separate"/>
      </w:r>
      <w:r>
        <w:rPr>
          <w:rFonts w:ascii="Times New Roman" w:hAnsi="Times New Roman" w:eastAsia="Times New Roman" w:cs="Times New Roman"/>
          <w:color w:val="1155CC"/>
          <w:sz w:val="24"/>
          <w:szCs w:val="24"/>
          <w:highlight w:val="yellow"/>
          <w:u w:val="single"/>
        </w:rPr>
        <w:t>https://doi.org/10.1523/JNEUROSCI.0907-12.2012</w:t>
      </w:r>
      <w:r>
        <w:rPr>
          <w:rFonts w:ascii="Times New Roman" w:hAnsi="Times New Roman" w:eastAsia="Times New Roman" w:cs="Times New Roman"/>
          <w:color w:val="1155CC"/>
          <w:sz w:val="24"/>
          <w:szCs w:val="24"/>
          <w:highlight w:val="yellow"/>
          <w:u w:val="single"/>
        </w:rPr>
        <w:fldChar w:fldCharType="end"/>
      </w:r>
      <w:r>
        <w:rPr>
          <w:rFonts w:ascii="Times New Roman" w:hAnsi="Times New Roman" w:eastAsia="Times New Roman" w:cs="Times New Roman"/>
          <w:sz w:val="24"/>
          <w:szCs w:val="24"/>
          <w:highlight w:val="yellow"/>
        </w:rPr>
        <w:t>.</w:t>
      </w:r>
    </w:p>
    <w:p w14:paraId="3DA738D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[142] Mancuso M, Papadopoulou MT, Ng YS, Ardissone A, Bellusci M, Bertini E, et al. Management of seizures in patients with primary mitochondrial diseases: consensus statement from the InterERNs Mitochondrial Working Group. European Journal of Neurology. 2024; 31: e16275. </w:t>
      </w:r>
      <w:r>
        <w:fldChar w:fldCharType="begin"/>
      </w:r>
      <w:r>
        <w:instrText xml:space="preserve"> HYPERLINK "https://doi.org/10.1111/ene.16275" \h </w:instrText>
      </w:r>
      <w:r>
        <w:fldChar w:fldCharType="separate"/>
      </w:r>
      <w:r>
        <w:rPr>
          <w:rFonts w:ascii="Times New Roman" w:hAnsi="Times New Roman" w:eastAsia="Times New Roman" w:cs="Times New Roman"/>
          <w:color w:val="1155CC"/>
          <w:sz w:val="24"/>
          <w:szCs w:val="24"/>
          <w:highlight w:val="yellow"/>
          <w:u w:val="single"/>
        </w:rPr>
        <w:t>https://doi.org/10.1111/ene.16275</w:t>
      </w:r>
      <w:r>
        <w:rPr>
          <w:rFonts w:ascii="Times New Roman" w:hAnsi="Times New Roman" w:eastAsia="Times New Roman" w:cs="Times New Roman"/>
          <w:color w:val="1155CC"/>
          <w:sz w:val="24"/>
          <w:szCs w:val="24"/>
          <w:highlight w:val="yellow"/>
          <w:u w:val="single"/>
        </w:rPr>
        <w:fldChar w:fldCharType="end"/>
      </w:r>
      <w:r>
        <w:rPr>
          <w:rFonts w:ascii="Times New Roman" w:hAnsi="Times New Roman" w:eastAsia="Times New Roman" w:cs="Times New Roman"/>
          <w:sz w:val="24"/>
          <w:szCs w:val="24"/>
          <w:highlight w:val="yellow"/>
        </w:rPr>
        <w:t>.</w:t>
      </w:r>
    </w:p>
    <w:p w14:paraId="533D2F9B">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[143] Zhang X, Zhang B, Tao Z, Liang J. Mitochondrial disease and epilepsy in children. Frontiers in Neurology. 2024; 15: 1499876. </w:t>
      </w:r>
      <w:r>
        <w:fldChar w:fldCharType="begin"/>
      </w:r>
      <w:r>
        <w:instrText xml:space="preserve"> HYPERLINK "https://doi.org/10.3389/fneur.2024.1499876" \h </w:instrText>
      </w:r>
      <w:r>
        <w:fldChar w:fldCharType="separate"/>
      </w:r>
      <w:r>
        <w:rPr>
          <w:rFonts w:ascii="Times New Roman" w:hAnsi="Times New Roman" w:eastAsia="Times New Roman" w:cs="Times New Roman"/>
          <w:color w:val="1155CC"/>
          <w:sz w:val="24"/>
          <w:szCs w:val="24"/>
          <w:highlight w:val="yellow"/>
          <w:u w:val="single"/>
        </w:rPr>
        <w:t>https://doi.org/10.3389/fneur.2024.1499876</w:t>
      </w:r>
      <w:r>
        <w:rPr>
          <w:rFonts w:ascii="Times New Roman" w:hAnsi="Times New Roman" w:eastAsia="Times New Roman" w:cs="Times New Roman"/>
          <w:color w:val="1155CC"/>
          <w:sz w:val="24"/>
          <w:szCs w:val="24"/>
          <w:highlight w:val="yellow"/>
          <w:u w:val="single"/>
        </w:rPr>
        <w:fldChar w:fldCharType="end"/>
      </w:r>
      <w:r>
        <w:rPr>
          <w:rFonts w:ascii="Times New Roman" w:hAnsi="Times New Roman" w:eastAsia="Times New Roman" w:cs="Times New Roman"/>
          <w:sz w:val="24"/>
          <w:szCs w:val="24"/>
          <w:highlight w:val="yellow"/>
        </w:rPr>
        <w:t>.</w:t>
      </w:r>
    </w:p>
    <w:p w14:paraId="6D58256C">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[144] Rimmerman N, Ben-Hail D, Porat Z, Juknat A, Kozela E, Daniels MP, et al. Direct modulation of the outer mitochondrial membrane channel, voltage-dependent anion channel 1 (VDAC1) by cannabidiol: a novel mechanism for cannabinoid-induced cell death. Cell Death and Disease. 2013; 4: e949. </w:t>
      </w:r>
      <w:r>
        <w:fldChar w:fldCharType="begin"/>
      </w:r>
      <w:r>
        <w:instrText xml:space="preserve"> HYPERLINK "https://doi.org/10.1038/cddis.2013.471" \h </w:instrText>
      </w:r>
      <w:r>
        <w:fldChar w:fldCharType="separate"/>
      </w:r>
      <w:r>
        <w:rPr>
          <w:rFonts w:ascii="Times New Roman" w:hAnsi="Times New Roman" w:eastAsia="Times New Roman" w:cs="Times New Roman"/>
          <w:color w:val="1155CC"/>
          <w:sz w:val="24"/>
          <w:szCs w:val="24"/>
          <w:highlight w:val="yellow"/>
          <w:u w:val="single"/>
        </w:rPr>
        <w:t>https://doi.org/10.1038/cddis.2013.471</w:t>
      </w:r>
      <w:r>
        <w:rPr>
          <w:rFonts w:ascii="Times New Roman" w:hAnsi="Times New Roman" w:eastAsia="Times New Roman" w:cs="Times New Roman"/>
          <w:color w:val="1155CC"/>
          <w:sz w:val="24"/>
          <w:szCs w:val="24"/>
          <w:highlight w:val="yellow"/>
          <w:u w:val="single"/>
        </w:rPr>
        <w:fldChar w:fldCharType="end"/>
      </w:r>
      <w:r>
        <w:rPr>
          <w:rFonts w:ascii="Times New Roman" w:hAnsi="Times New Roman" w:eastAsia="Times New Roman" w:cs="Times New Roman"/>
          <w:sz w:val="24"/>
          <w:szCs w:val="24"/>
          <w:highlight w:val="yellow"/>
        </w:rPr>
        <w:t>.</w:t>
      </w:r>
    </w:p>
    <w:p w14:paraId="69A09173">
      <w:pPr>
        <w:spacing w:after="0" w:line="24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[145] Ryan D, Drysdale AJ, Lafourcade C, Pertwee RG, Platt B. Cannabidiol targets mitochondria to regulate intracellular Ca²⁺ levels. The Journal of Neuroscience. 2009; 29: 2053–2063. </w:t>
      </w:r>
      <w:r>
        <w:fldChar w:fldCharType="begin"/>
      </w:r>
      <w:r>
        <w:instrText xml:space="preserve"> HYPERLINK "https://doi.org/10.1523/JNEUROSCI.4212-08.2009" \h </w:instrText>
      </w:r>
      <w:r>
        <w:fldChar w:fldCharType="separate"/>
      </w:r>
      <w:r>
        <w:rPr>
          <w:rFonts w:ascii="Times New Roman" w:hAnsi="Times New Roman" w:eastAsia="Times New Roman" w:cs="Times New Roman"/>
          <w:color w:val="1155CC"/>
          <w:sz w:val="24"/>
          <w:szCs w:val="24"/>
          <w:highlight w:val="yellow"/>
          <w:u w:val="single"/>
        </w:rPr>
        <w:t>https://doi.org/10.1523/JNEUROSCI.4212-08.2009</w:t>
      </w:r>
      <w:r>
        <w:rPr>
          <w:rFonts w:ascii="Times New Roman" w:hAnsi="Times New Roman" w:eastAsia="Times New Roman" w:cs="Times New Roman"/>
          <w:color w:val="1155CC"/>
          <w:sz w:val="24"/>
          <w:szCs w:val="24"/>
          <w:highlight w:val="yellow"/>
          <w:u w:val="single"/>
        </w:rPr>
        <w:fldChar w:fldCharType="end"/>
      </w:r>
      <w:r>
        <w:rPr>
          <w:rFonts w:ascii="Times New Roman" w:hAnsi="Times New Roman" w:eastAsia="Times New Roman" w:cs="Times New Roman"/>
          <w:sz w:val="24"/>
          <w:szCs w:val="24"/>
          <w:highlight w:val="yellow"/>
        </w:rPr>
        <w:t>.</w:t>
      </w:r>
    </w:p>
    <w:p w14:paraId="4FF8D44C">
      <w:pPr>
        <w:spacing w:after="0" w:line="240" w:lineRule="auto"/>
        <w:jc w:val="both"/>
        <w:rPr>
          <w:rFonts w:ascii="Times New Roman" w:hAnsi="Times New Roman" w:eastAsia="Times New Roman" w:cs="Times New Roman"/>
          <w:sz w:val="24"/>
          <w:szCs w:val="24"/>
          <w:highlight w:val="yellow"/>
        </w:rPr>
      </w:pPr>
    </w:p>
    <w:p w14:paraId="17F55A8D">
      <w:pPr>
        <w:spacing w:after="0" w:line="240" w:lineRule="auto"/>
        <w:jc w:val="both"/>
        <w:rPr>
          <w:rFonts w:ascii="Times New Roman" w:hAnsi="Times New Roman" w:eastAsia="Times New Roman" w:cs="Times New Roman"/>
          <w:sz w:val="24"/>
          <w:szCs w:val="24"/>
          <w:highlight w:val="yellow"/>
        </w:rPr>
      </w:pPr>
    </w:p>
    <w:p w14:paraId="3A9F9F20">
      <w:pPr>
        <w:spacing w:after="0" w:line="240" w:lineRule="auto"/>
        <w:jc w:val="both"/>
        <w:rPr>
          <w:rFonts w:ascii="Times New Roman" w:hAnsi="Times New Roman" w:eastAsia="Times New Roman" w:cs="Times New Roman"/>
          <w:sz w:val="24"/>
          <w:szCs w:val="24"/>
          <w:highlight w:val="yellow"/>
        </w:rPr>
      </w:pPr>
    </w:p>
    <w:p w14:paraId="18A8688B">
      <w:pPr>
        <w:spacing w:after="0" w:line="240" w:lineRule="auto"/>
        <w:jc w:val="both"/>
        <w:rPr>
          <w:rFonts w:ascii="Times New Roman" w:hAnsi="Times New Roman" w:eastAsia="Times New Roman" w:cs="Times New Roman"/>
          <w:sz w:val="24"/>
          <w:szCs w:val="24"/>
        </w:rPr>
      </w:pPr>
    </w:p>
    <w:p w14:paraId="0FBF4EC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p>
    <w:sectPr>
      <w:headerReference r:id="rId5" w:type="first"/>
      <w:pgSz w:w="12240" w:h="15840"/>
      <w:pgMar w:top="1418" w:right="851" w:bottom="1418" w:left="851" w:header="283" w:footer="1134" w:gutter="0"/>
      <w:lnNumType w:countBy="1" w:restart="continuous"/>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8F58B84-73DF-48D4-9983-EFA0809003F6}"/>
  </w:font>
  <w:font w:name="Arial">
    <w:panose1 w:val="020B0604020202020204"/>
    <w:charset w:val="01"/>
    <w:family w:val="swiss"/>
    <w:pitch w:val="default"/>
    <w:sig w:usb0="E0002EFF" w:usb1="C000785B" w:usb2="00000009" w:usb3="00000000" w:csb0="400001FF" w:csb1="FFFF0000"/>
    <w:embedRegular r:id="rId2" w:fontKey="{4A0AD3E4-E330-4794-B19B-3B79EE4B72A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1E4519AE-A08C-449D-B0CF-5A0B7BC92DAF}"/>
  </w:font>
  <w:font w:name="Symbol">
    <w:panose1 w:val="05050102010706020507"/>
    <w:charset w:val="02"/>
    <w:family w:val="roman"/>
    <w:pitch w:val="default"/>
    <w:sig w:usb0="00000000" w:usb1="00000000" w:usb2="00000000" w:usb3="00000000" w:csb0="80000000" w:csb1="00000000"/>
    <w:embedRegular r:id="rId4" w:fontKey="{330D98A0-9602-4C92-971C-AB2DF78405FB}"/>
  </w:font>
  <w:font w:name="Calibri">
    <w:panose1 w:val="020F0502020204030204"/>
    <w:charset w:val="00"/>
    <w:family w:val="swiss"/>
    <w:pitch w:val="default"/>
    <w:sig w:usb0="E4002EFF" w:usb1="C000247B" w:usb2="00000009" w:usb3="00000000" w:csb0="200001FF" w:csb1="00000000"/>
    <w:embedRegular r:id="rId5" w:fontKey="{934C8684-183A-4846-91EA-98E6FA33320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0441E">
    <w:pPr>
      <w:pBdr>
        <w:top w:val="none" w:color="auto" w:sz="0" w:space="0"/>
        <w:left w:val="none" w:color="auto" w:sz="0" w:space="0"/>
        <w:bottom w:val="none" w:color="auto" w:sz="0" w:space="0"/>
        <w:right w:val="none" w:color="auto" w:sz="0" w:space="0"/>
        <w:between w:val="none" w:color="auto" w:sz="0" w:space="0"/>
      </w:pBdr>
      <w:tabs>
        <w:tab w:val="center" w:pos="4419"/>
        <w:tab w:val="right" w:pos="8838"/>
      </w:tabs>
      <w:spacing w:after="0" w:line="240" w:lineRule="auto"/>
      <w:rPr>
        <w:color w:val="000000"/>
      </w:rPr>
    </w:pPr>
    <w:r>
      <w:rPr>
        <w:color w:val="000000"/>
      </w:rPr>
      <w:drawing>
        <wp:inline distT="0" distB="0" distL="0" distR="0">
          <wp:extent cx="2521585" cy="5251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
                  <a:srcRect/>
                  <a:stretch>
                    <a:fillRect/>
                  </a:stretch>
                </pic:blipFill>
                <pic:spPr>
                  <a:xfrm>
                    <a:off x="0" y="0"/>
                    <a:ext cx="2521585" cy="52514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38F"/>
    <w:rsid w:val="000269EB"/>
    <w:rsid w:val="00516552"/>
    <w:rsid w:val="005C61C6"/>
    <w:rsid w:val="0067451E"/>
    <w:rsid w:val="007F6B66"/>
    <w:rsid w:val="00883934"/>
    <w:rsid w:val="00AE038F"/>
    <w:rsid w:val="00F149F9"/>
    <w:rsid w:val="48F66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cs="Calibri" w:eastAsiaTheme="minorEastAsia"/>
      <w:sz w:val="22"/>
      <w:szCs w:val="22"/>
      <w:lang w:val="en" w:eastAsia="zh-CN" w:bidi="ar-SA"/>
    </w:rPr>
  </w:style>
  <w:style w:type="paragraph" w:styleId="2">
    <w:name w:val="heading 1"/>
    <w:basedOn w:val="1"/>
    <w:next w:val="1"/>
    <w:qFormat/>
    <w:uiPriority w:val="9"/>
    <w:pPr>
      <w:keepNext/>
      <w:keepLines/>
      <w:spacing w:before="360" w:after="80"/>
      <w:outlineLvl w:val="0"/>
    </w:pPr>
    <w:rPr>
      <w:rFonts w:eastAsia="Calibri"/>
      <w:color w:val="2F5496"/>
      <w:sz w:val="40"/>
      <w:szCs w:val="40"/>
    </w:rPr>
  </w:style>
  <w:style w:type="paragraph" w:styleId="3">
    <w:name w:val="heading 2"/>
    <w:basedOn w:val="1"/>
    <w:next w:val="1"/>
    <w:semiHidden/>
    <w:unhideWhenUsed/>
    <w:qFormat/>
    <w:uiPriority w:val="9"/>
    <w:pPr>
      <w:keepNext/>
      <w:keepLines/>
      <w:spacing w:before="160" w:after="80"/>
      <w:outlineLvl w:val="1"/>
    </w:pPr>
    <w:rPr>
      <w:rFonts w:eastAsia="Calibri"/>
      <w:color w:val="2F5496"/>
      <w:sz w:val="32"/>
      <w:szCs w:val="32"/>
    </w:rPr>
  </w:style>
  <w:style w:type="paragraph" w:styleId="4">
    <w:name w:val="heading 3"/>
    <w:basedOn w:val="1"/>
    <w:next w:val="1"/>
    <w:semiHidden/>
    <w:unhideWhenUsed/>
    <w:qFormat/>
    <w:uiPriority w:val="9"/>
    <w:pPr>
      <w:keepNext/>
      <w:keepLines/>
      <w:spacing w:before="160" w:after="80"/>
      <w:outlineLvl w:val="2"/>
    </w:pPr>
    <w:rPr>
      <w:color w:val="2F5496"/>
      <w:sz w:val="28"/>
      <w:szCs w:val="28"/>
    </w:rPr>
  </w:style>
  <w:style w:type="paragraph" w:styleId="5">
    <w:name w:val="heading 4"/>
    <w:basedOn w:val="1"/>
    <w:next w:val="1"/>
    <w:semiHidden/>
    <w:unhideWhenUsed/>
    <w:qFormat/>
    <w:uiPriority w:val="9"/>
    <w:pPr>
      <w:keepNext/>
      <w:keepLines/>
      <w:spacing w:before="80" w:after="40"/>
      <w:outlineLvl w:val="3"/>
    </w:pPr>
    <w:rPr>
      <w:i/>
      <w:iCs/>
      <w:color w:val="2F5496"/>
    </w:rPr>
  </w:style>
  <w:style w:type="paragraph" w:styleId="6">
    <w:name w:val="heading 5"/>
    <w:basedOn w:val="1"/>
    <w:next w:val="1"/>
    <w:semiHidden/>
    <w:unhideWhenUsed/>
    <w:qFormat/>
    <w:uiPriority w:val="9"/>
    <w:pPr>
      <w:keepNext/>
      <w:keepLines/>
      <w:spacing w:before="80" w:after="40"/>
      <w:outlineLvl w:val="4"/>
    </w:pPr>
    <w:rPr>
      <w:color w:val="2F5496"/>
    </w:rPr>
  </w:style>
  <w:style w:type="paragraph" w:styleId="7">
    <w:name w:val="heading 6"/>
    <w:basedOn w:val="1"/>
    <w:next w:val="1"/>
    <w:semiHidden/>
    <w:unhideWhenUsed/>
    <w:qFormat/>
    <w:uiPriority w:val="9"/>
    <w:pPr>
      <w:keepNext/>
      <w:keepLines/>
      <w:spacing w:before="40" w:after="0"/>
      <w:outlineLvl w:val="5"/>
    </w:pPr>
    <w:rPr>
      <w:i/>
      <w:iCs/>
      <w:color w:val="58585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Subtitle"/>
    <w:basedOn w:val="1"/>
    <w:next w:val="1"/>
    <w:qFormat/>
    <w:uiPriority w:val="11"/>
    <w:rPr>
      <w:color w:val="585858"/>
      <w:sz w:val="28"/>
      <w:szCs w:val="28"/>
    </w:rPr>
  </w:style>
  <w:style w:type="paragraph" w:styleId="9">
    <w:name w:val="Title"/>
    <w:basedOn w:val="1"/>
    <w:next w:val="1"/>
    <w:qFormat/>
    <w:uiPriority w:val="10"/>
    <w:pPr>
      <w:spacing w:after="80" w:line="240" w:lineRule="auto"/>
    </w:pPr>
    <w:rPr>
      <w:rFonts w:eastAsia="Calibri"/>
      <w:sz w:val="56"/>
      <w:szCs w:val="56"/>
    </w:rPr>
  </w:style>
  <w:style w:type="character" w:styleId="12">
    <w:name w:val="line number"/>
    <w:basedOn w:val="11"/>
    <w:semiHidden/>
    <w:unhideWhenUsed/>
    <w:qFormat/>
    <w:uiPriority w:val="99"/>
  </w:style>
  <w:style w:type="character" w:styleId="13">
    <w:name w:val="Hyperlink"/>
    <w:basedOn w:val="11"/>
    <w:semiHidden/>
    <w:unhideWhenUsed/>
    <w:qFormat/>
    <w:uiPriority w:val="99"/>
    <w:rPr>
      <w:color w:val="0000FF"/>
      <w:u w:val="single"/>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55" w:type="dxa"/>
        <w:left w:w="55" w:type="dxa"/>
        <w:bottom w:w="55" w:type="dxa"/>
        <w:right w:w="55" w:type="dxa"/>
      </w:tblCellMar>
    </w:tblPr>
  </w:style>
  <w:style w:type="table" w:customStyle="1" w:styleId="16">
    <w:name w:val="_Style 13"/>
    <w:basedOn w:val="14"/>
    <w:qFormat/>
    <w:uiPriority w:val="0"/>
    <w:tblPr>
      <w:tblCellMar>
        <w:top w:w="55" w:type="dxa"/>
        <w:left w:w="55" w:type="dxa"/>
        <w:bottom w:w="55" w:type="dxa"/>
        <w:right w:w="55" w:type="dxa"/>
      </w:tblCellMar>
    </w:tblPr>
  </w:style>
  <w:style w:type="table" w:customStyle="1" w:styleId="17">
    <w:name w:val="_Style 14"/>
    <w:basedOn w:val="14"/>
    <w:qFormat/>
    <w:uiPriority w:val="0"/>
    <w:tblPr>
      <w:tblCellMar>
        <w:top w:w="55" w:type="dxa"/>
        <w:left w:w="55" w:type="dxa"/>
        <w:bottom w:w="55" w:type="dxa"/>
        <w:right w:w="5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MBRq+wYhHQSFvDM+n4hzXIqsA==">CgMxLjAyDWguODRwZ3BybWVlM2Q4AHIhMTRiN01vRkUwLTFlUTJ0Nno5OVYzNF81ZnJUdjlsSEF0</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10699</Words>
  <Characters>77290</Characters>
  <Lines>690</Lines>
  <Paragraphs>194</Paragraphs>
  <TotalTime>0</TotalTime>
  <ScaleCrop>false</ScaleCrop>
  <LinksUpToDate>false</LinksUpToDate>
  <CharactersWithSpaces>87604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2026-04-29T03:26:00Z</dcterms:created>
  <dc:creator>储锦华</dc:creator>
  <cp:lastModifiedBy>chujinhua</cp:lastModifiedBy>
  <cp:lastPrinted>2026-04-29T03:26:00Z</cp:lastPrinted>
  <dcterms:modified xsi:type="dcterms:W3CDTF">2026-04-30T07:17:59Z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eyJoZGlkIjoiMmI5ZjVlYTFlNGYzYzc0ODBkNTM4OTQ4YjE0MzYwMzEifQ==</vt:lpwstr>
  </property>
  <property fmtid="{D5CDD505-2E9C-101B-9397-08002B2CF9AE}" pid="3" name="KSOProductBuildVer">
    <vt:lpwstr>2052-12.1.0.25862</vt:lpwstr>
  </property>
  <property fmtid="{D5CDD505-2E9C-101B-9397-08002B2CF9AE}" pid="4" name="ICV">
    <vt:lpwstr>67162D6BD6EE481C85BB2BB98BF8B66A_12</vt:lpwstr>
  </property>
</Properties>
</file>