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F9E99D" w14:textId="77777777" w:rsidR="004922C8" w:rsidRDefault="00605271">
      <w:pPr>
        <w:pStyle w:val="Articletype"/>
        <w:rPr>
          <w:rFonts w:eastAsia="宋体"/>
          <w:b/>
          <w:bCs/>
          <w:sz w:val="28"/>
          <w:szCs w:val="28"/>
        </w:rPr>
      </w:pPr>
      <w:r>
        <w:rPr>
          <w:shd w:val="clear" w:color="auto" w:fill="FFFFFF"/>
        </w:rPr>
        <w:t>Original Research</w:t>
      </w:r>
    </w:p>
    <w:p w14:paraId="7BF32B99" w14:textId="6538F21E" w:rsidR="004922C8" w:rsidRPr="0092332C" w:rsidRDefault="00605271">
      <w:pPr>
        <w:spacing w:line="360" w:lineRule="auto"/>
        <w:rPr>
          <w:rFonts w:ascii="Times New Roman" w:eastAsia="宋体" w:hAnsi="Times New Roman" w:cs="Times New Roman"/>
          <w:b/>
          <w:bCs/>
          <w:sz w:val="36"/>
          <w:szCs w:val="36"/>
        </w:rPr>
      </w:pPr>
      <w:r w:rsidRPr="0092332C">
        <w:rPr>
          <w:rFonts w:ascii="Times New Roman" w:eastAsia="宋体" w:hAnsi="Times New Roman" w:cs="Times New Roman"/>
          <w:b/>
          <w:bCs/>
          <w:sz w:val="36"/>
          <w:szCs w:val="36"/>
        </w:rPr>
        <w:t xml:space="preserve">Screening and </w:t>
      </w:r>
      <w:r>
        <w:rPr>
          <w:rFonts w:ascii="Times New Roman" w:eastAsia="宋体" w:hAnsi="Times New Roman" w:cs="Times New Roman"/>
          <w:b/>
          <w:bCs/>
          <w:sz w:val="36"/>
          <w:szCs w:val="36"/>
        </w:rPr>
        <w:t>P</w:t>
      </w:r>
      <w:r w:rsidRPr="0092332C">
        <w:rPr>
          <w:rFonts w:ascii="Times New Roman" w:eastAsia="宋体" w:hAnsi="Times New Roman" w:cs="Times New Roman"/>
          <w:b/>
          <w:bCs/>
          <w:sz w:val="36"/>
          <w:szCs w:val="36"/>
        </w:rPr>
        <w:t xml:space="preserve">renatal </w:t>
      </w:r>
      <w:r>
        <w:rPr>
          <w:rFonts w:ascii="Times New Roman" w:eastAsia="宋体" w:hAnsi="Times New Roman" w:cs="Times New Roman"/>
          <w:b/>
          <w:bCs/>
          <w:sz w:val="36"/>
          <w:szCs w:val="36"/>
        </w:rPr>
        <w:t>D</w:t>
      </w:r>
      <w:r w:rsidRPr="0092332C">
        <w:rPr>
          <w:rFonts w:ascii="Times New Roman" w:eastAsia="宋体" w:hAnsi="Times New Roman" w:cs="Times New Roman"/>
          <w:b/>
          <w:bCs/>
          <w:sz w:val="36"/>
          <w:szCs w:val="36"/>
        </w:rPr>
        <w:t xml:space="preserve">iagnosis of </w:t>
      </w:r>
      <w:r>
        <w:rPr>
          <w:rFonts w:ascii="Times New Roman" w:eastAsia="宋体" w:hAnsi="Times New Roman" w:cs="Times New Roman"/>
          <w:b/>
          <w:bCs/>
          <w:sz w:val="36"/>
          <w:szCs w:val="36"/>
        </w:rPr>
        <w:t>S</w:t>
      </w:r>
      <w:r w:rsidRPr="0092332C">
        <w:rPr>
          <w:rFonts w:ascii="Times New Roman" w:eastAsia="宋体" w:hAnsi="Times New Roman" w:cs="Times New Roman"/>
          <w:b/>
          <w:bCs/>
          <w:sz w:val="36"/>
          <w:szCs w:val="36"/>
        </w:rPr>
        <w:t xml:space="preserve">pinal </w:t>
      </w:r>
      <w:r>
        <w:rPr>
          <w:rFonts w:ascii="Times New Roman" w:eastAsia="宋体" w:hAnsi="Times New Roman" w:cs="Times New Roman"/>
          <w:b/>
          <w:bCs/>
          <w:sz w:val="36"/>
          <w:szCs w:val="36"/>
        </w:rPr>
        <w:t>M</w:t>
      </w:r>
      <w:r w:rsidRPr="0092332C">
        <w:rPr>
          <w:rFonts w:ascii="Times New Roman" w:eastAsia="宋体" w:hAnsi="Times New Roman" w:cs="Times New Roman"/>
          <w:b/>
          <w:bCs/>
          <w:sz w:val="36"/>
          <w:szCs w:val="36"/>
        </w:rPr>
        <w:t xml:space="preserve">uscular </w:t>
      </w:r>
      <w:r>
        <w:rPr>
          <w:rFonts w:ascii="Times New Roman" w:eastAsia="宋体" w:hAnsi="Times New Roman" w:cs="Times New Roman"/>
          <w:b/>
          <w:bCs/>
          <w:sz w:val="36"/>
          <w:szCs w:val="36"/>
        </w:rPr>
        <w:t>A</w:t>
      </w:r>
      <w:r w:rsidRPr="0092332C">
        <w:rPr>
          <w:rFonts w:ascii="Times New Roman" w:eastAsia="宋体" w:hAnsi="Times New Roman" w:cs="Times New Roman"/>
          <w:b/>
          <w:bCs/>
          <w:sz w:val="36"/>
          <w:szCs w:val="36"/>
        </w:rPr>
        <w:t xml:space="preserve">trophy </w:t>
      </w:r>
      <w:r>
        <w:rPr>
          <w:rFonts w:ascii="Times New Roman" w:eastAsia="宋体" w:hAnsi="Times New Roman" w:cs="Times New Roman"/>
          <w:b/>
          <w:bCs/>
          <w:sz w:val="36"/>
          <w:szCs w:val="36"/>
        </w:rPr>
        <w:t xml:space="preserve">in 13,500 Pregnant Women </w:t>
      </w:r>
      <w:r w:rsidRPr="0092332C">
        <w:rPr>
          <w:rFonts w:ascii="Times New Roman" w:eastAsia="宋体" w:hAnsi="Times New Roman" w:cs="Times New Roman"/>
          <w:b/>
          <w:bCs/>
          <w:sz w:val="36"/>
          <w:szCs w:val="36"/>
        </w:rPr>
        <w:t xml:space="preserve">in </w:t>
      </w:r>
      <w:r>
        <w:rPr>
          <w:rFonts w:ascii="Times New Roman" w:eastAsia="宋体" w:hAnsi="Times New Roman" w:cs="Times New Roman"/>
          <w:b/>
          <w:bCs/>
          <w:sz w:val="36"/>
          <w:szCs w:val="36"/>
        </w:rPr>
        <w:t xml:space="preserve">the </w:t>
      </w:r>
      <w:proofErr w:type="spellStart"/>
      <w:r w:rsidRPr="0092332C">
        <w:rPr>
          <w:rFonts w:ascii="Times New Roman" w:eastAsia="宋体" w:hAnsi="Times New Roman" w:cs="Times New Roman"/>
          <w:b/>
          <w:bCs/>
          <w:sz w:val="36"/>
          <w:szCs w:val="36"/>
        </w:rPr>
        <w:t>Changzhi</w:t>
      </w:r>
      <w:proofErr w:type="spellEnd"/>
      <w:r w:rsidRPr="0092332C">
        <w:rPr>
          <w:rFonts w:ascii="Times New Roman" w:eastAsia="宋体" w:hAnsi="Times New Roman" w:cs="Times New Roman"/>
          <w:b/>
          <w:bCs/>
          <w:sz w:val="36"/>
          <w:szCs w:val="36"/>
        </w:rPr>
        <w:t xml:space="preserve"> area</w:t>
      </w:r>
    </w:p>
    <w:p w14:paraId="24666357" w14:textId="77777777" w:rsidR="004922C8" w:rsidRDefault="00605271">
      <w:pPr>
        <w:pStyle w:val="Authornames"/>
        <w:rPr>
          <w:rFonts w:eastAsiaTheme="minorEastAsia"/>
          <w:vertAlign w:val="superscript"/>
          <w:lang w:eastAsia="zh-CN"/>
        </w:rPr>
      </w:pPr>
      <w:r w:rsidRPr="00A31907">
        <w:t>Min Zhang</w:t>
      </w:r>
      <w:r w:rsidRPr="00A31907">
        <w:rPr>
          <w:rFonts w:eastAsiaTheme="minorEastAsia"/>
          <w:vertAlign w:val="superscript"/>
          <w:lang w:eastAsia="zh-CN"/>
        </w:rPr>
        <w:t>1</w:t>
      </w:r>
      <w:r w:rsidRPr="00A31907">
        <w:rPr>
          <w:rFonts w:eastAsia="宋体"/>
          <w:lang w:eastAsia="zh-CN"/>
        </w:rPr>
        <w:t xml:space="preserve">, </w:t>
      </w:r>
      <w:r w:rsidRPr="00A31907">
        <w:t>Jing Guan</w:t>
      </w:r>
      <w:r w:rsidRPr="00A31907">
        <w:rPr>
          <w:rFonts w:eastAsiaTheme="minorEastAsia"/>
          <w:vertAlign w:val="superscript"/>
          <w:lang w:eastAsia="zh-CN"/>
        </w:rPr>
        <w:t>1</w:t>
      </w:r>
      <w:r w:rsidRPr="00A31907">
        <w:t>, Fei Liang</w:t>
      </w:r>
      <w:r w:rsidRPr="00A31907">
        <w:rPr>
          <w:rFonts w:eastAsiaTheme="minorEastAsia"/>
          <w:vertAlign w:val="superscript"/>
          <w:lang w:eastAsia="zh-CN"/>
        </w:rPr>
        <w:t>1</w:t>
      </w:r>
      <w:r w:rsidRPr="00A31907">
        <w:t xml:space="preserve">, </w:t>
      </w:r>
      <w:proofErr w:type="spellStart"/>
      <w:r w:rsidRPr="00A31907">
        <w:t>Huiyi</w:t>
      </w:r>
      <w:proofErr w:type="spellEnd"/>
      <w:r w:rsidRPr="00A31907">
        <w:t xml:space="preserve"> Shen</w:t>
      </w:r>
      <w:r w:rsidRPr="00A31907">
        <w:rPr>
          <w:rFonts w:eastAsiaTheme="minorEastAsia"/>
          <w:vertAlign w:val="superscript"/>
          <w:lang w:eastAsia="zh-CN"/>
        </w:rPr>
        <w:t>1</w:t>
      </w:r>
      <w:r w:rsidRPr="00A31907">
        <w:t xml:space="preserve">, </w:t>
      </w:r>
      <w:proofErr w:type="spellStart"/>
      <w:r w:rsidRPr="00A31907">
        <w:t>Xiaoze</w:t>
      </w:r>
      <w:proofErr w:type="spellEnd"/>
      <w:r w:rsidRPr="00A31907">
        <w:t xml:space="preserve"> Li</w:t>
      </w:r>
      <w:proofErr w:type="gramStart"/>
      <w:r w:rsidRPr="00A31907">
        <w:rPr>
          <w:rFonts w:eastAsiaTheme="minorEastAsia"/>
          <w:vertAlign w:val="superscript"/>
          <w:lang w:eastAsia="zh-CN"/>
        </w:rPr>
        <w:t>1</w:t>
      </w:r>
      <w:r w:rsidRPr="00A31907">
        <w:rPr>
          <w:rFonts w:eastAsiaTheme="minorEastAsia" w:hint="eastAsia"/>
          <w:vertAlign w:val="superscript"/>
          <w:lang w:eastAsia="zh-CN"/>
        </w:rPr>
        <w:t>,</w:t>
      </w:r>
      <w:r w:rsidRPr="00A31907">
        <w:t>*</w:t>
      </w:r>
      <w:proofErr w:type="gramEnd"/>
    </w:p>
    <w:p w14:paraId="06FDCE3C" w14:textId="77777777" w:rsidR="004922C8" w:rsidRDefault="004922C8">
      <w:pPr>
        <w:pStyle w:val="Authornames"/>
      </w:pPr>
    </w:p>
    <w:p w14:paraId="51DD8E2A" w14:textId="77777777" w:rsidR="004922C8" w:rsidRDefault="00605271">
      <w:pPr>
        <w:pStyle w:val="Affiliation"/>
        <w:rPr>
          <w:rFonts w:eastAsia="黑体"/>
        </w:rPr>
      </w:pPr>
      <w:r>
        <w:rPr>
          <w:rFonts w:eastAsia="黑体"/>
          <w:vertAlign w:val="superscript"/>
          <w:lang w:eastAsia="zh-CN"/>
        </w:rPr>
        <w:t>1</w:t>
      </w:r>
      <w:r>
        <w:rPr>
          <w:rFonts w:eastAsia="黑体"/>
        </w:rPr>
        <w:t xml:space="preserve">Department of Medical Genetics, </w:t>
      </w:r>
      <w:proofErr w:type="spellStart"/>
      <w:r>
        <w:rPr>
          <w:rFonts w:eastAsia="黑体"/>
        </w:rPr>
        <w:t>Changzhi</w:t>
      </w:r>
      <w:proofErr w:type="spellEnd"/>
      <w:r>
        <w:rPr>
          <w:rFonts w:eastAsia="黑体"/>
        </w:rPr>
        <w:t xml:space="preserve"> Maternal and Child Health Hospital, 046000 </w:t>
      </w:r>
      <w:bookmarkStart w:id="0" w:name="OLE_LINK3"/>
      <w:proofErr w:type="spellStart"/>
      <w:r>
        <w:rPr>
          <w:rFonts w:eastAsia="黑体"/>
        </w:rPr>
        <w:t>Changzhi</w:t>
      </w:r>
      <w:bookmarkEnd w:id="0"/>
      <w:proofErr w:type="spellEnd"/>
      <w:r>
        <w:rPr>
          <w:rFonts w:eastAsia="黑体"/>
        </w:rPr>
        <w:t>, Shanxi, China</w:t>
      </w:r>
    </w:p>
    <w:p w14:paraId="3BA3CE34" w14:textId="77777777" w:rsidR="004922C8" w:rsidRDefault="004922C8">
      <w:pPr>
        <w:pStyle w:val="Affiliation"/>
        <w:rPr>
          <w:rFonts w:eastAsia="黑体"/>
        </w:rPr>
      </w:pPr>
    </w:p>
    <w:p w14:paraId="162A7EC7" w14:textId="77777777" w:rsidR="004922C8" w:rsidRDefault="00605271">
      <w:pPr>
        <w:pStyle w:val="E-mail"/>
        <w:rPr>
          <w:rFonts w:eastAsia="黑体"/>
        </w:rPr>
      </w:pPr>
      <w:r>
        <w:rPr>
          <w:rFonts w:eastAsia="黑体" w:hint="eastAsia"/>
        </w:rPr>
        <w:t>*</w:t>
      </w:r>
      <w:r>
        <w:rPr>
          <w:rFonts w:eastAsia="黑体"/>
        </w:rPr>
        <w:t xml:space="preserve">Correspondence: </w:t>
      </w:r>
      <w:bookmarkStart w:id="1" w:name="OLE_LINK12"/>
      <w:r>
        <w:fldChar w:fldCharType="begin"/>
      </w:r>
      <w:r>
        <w:instrText xml:space="preserve"> HYPERLINK "mailto:13403554760@163.com" </w:instrText>
      </w:r>
      <w:r>
        <w:fldChar w:fldCharType="separate"/>
      </w:r>
      <w:r>
        <w:rPr>
          <w:rFonts w:eastAsia="黑体"/>
        </w:rPr>
        <w:t>13403554760@163.com</w:t>
      </w:r>
      <w:r>
        <w:rPr>
          <w:rFonts w:eastAsia="黑体"/>
        </w:rPr>
        <w:fldChar w:fldCharType="end"/>
      </w:r>
      <w:bookmarkEnd w:id="1"/>
      <w:r>
        <w:rPr>
          <w:rFonts w:eastAsiaTheme="minorEastAsia" w:hint="eastAsia"/>
        </w:rPr>
        <w:t xml:space="preserve"> (</w:t>
      </w:r>
      <w:proofErr w:type="spellStart"/>
      <w:r>
        <w:rPr>
          <w:rFonts w:eastAsia="黑体"/>
        </w:rPr>
        <w:t>Xiaoze</w:t>
      </w:r>
      <w:proofErr w:type="spellEnd"/>
      <w:r>
        <w:rPr>
          <w:rFonts w:eastAsia="黑体"/>
        </w:rPr>
        <w:t xml:space="preserve"> Li</w:t>
      </w:r>
      <w:r>
        <w:rPr>
          <w:rFonts w:eastAsia="黑体" w:hint="eastAsia"/>
        </w:rPr>
        <w:t>)</w:t>
      </w:r>
    </w:p>
    <w:p w14:paraId="774E629E" w14:textId="77777777" w:rsidR="004922C8" w:rsidRDefault="004922C8">
      <w:pPr>
        <w:pStyle w:val="E-mail"/>
        <w:rPr>
          <w:rFonts w:eastAsia="黑体"/>
        </w:rPr>
      </w:pPr>
    </w:p>
    <w:p w14:paraId="152A4ECC" w14:textId="77777777" w:rsidR="004922C8" w:rsidRDefault="00605271">
      <w:pPr>
        <w:pStyle w:val="E-mail"/>
        <w:rPr>
          <w:rFonts w:eastAsia="黑体"/>
        </w:rPr>
      </w:pPr>
      <w:r>
        <w:t>ORCID:</w:t>
      </w:r>
    </w:p>
    <w:p w14:paraId="131DA448" w14:textId="45DB0720" w:rsidR="004922C8" w:rsidRDefault="0092332C">
      <w:pPr>
        <w:pStyle w:val="E-mail"/>
        <w:rPr>
          <w:rFonts w:eastAsia="宋体"/>
          <w:lang w:eastAsia="zh-CN"/>
        </w:rPr>
      </w:pPr>
      <w:r>
        <w:rPr>
          <w:rFonts w:eastAsia="宋体" w:hint="eastAsia"/>
          <w:lang w:eastAsia="zh-CN"/>
        </w:rPr>
        <w:t>0009-0005-6068-9537</w:t>
      </w:r>
      <w:r>
        <w:rPr>
          <w:rFonts w:eastAsia="宋体"/>
          <w:lang w:eastAsia="zh-CN"/>
        </w:rPr>
        <w:t xml:space="preserve"> </w:t>
      </w:r>
      <w:r>
        <w:rPr>
          <w:rFonts w:eastAsia="宋体" w:hint="eastAsia"/>
          <w:lang w:eastAsia="zh-CN"/>
        </w:rPr>
        <w:t>(</w:t>
      </w:r>
      <w:proofErr w:type="spellStart"/>
      <w:r>
        <w:rPr>
          <w:rFonts w:eastAsia="宋体" w:hint="eastAsia"/>
          <w:lang w:eastAsia="zh-CN"/>
        </w:rPr>
        <w:t>Xiaoze</w:t>
      </w:r>
      <w:proofErr w:type="spellEnd"/>
      <w:r>
        <w:rPr>
          <w:rFonts w:eastAsia="宋体" w:hint="eastAsia"/>
          <w:lang w:eastAsia="zh-CN"/>
        </w:rPr>
        <w:t xml:space="preserve"> Li</w:t>
      </w:r>
      <w:r>
        <w:rPr>
          <w:rFonts w:eastAsia="宋体"/>
          <w:lang w:eastAsia="zh-CN"/>
        </w:rPr>
        <w:t>)</w:t>
      </w:r>
    </w:p>
    <w:p w14:paraId="7EAD24EC" w14:textId="77777777" w:rsidR="0092332C" w:rsidRDefault="0092332C">
      <w:pPr>
        <w:pStyle w:val="E-mail"/>
        <w:rPr>
          <w:rFonts w:eastAsia="黑体"/>
        </w:rPr>
      </w:pPr>
    </w:p>
    <w:p w14:paraId="73340C29" w14:textId="77777777" w:rsidR="004922C8" w:rsidRDefault="00605271">
      <w:pPr>
        <w:pStyle w:val="Academiceditor"/>
        <w:rPr>
          <w:rFonts w:eastAsia="黑体"/>
        </w:rPr>
      </w:pPr>
      <w:r>
        <w:rPr>
          <w:rFonts w:eastAsia="黑体"/>
        </w:rPr>
        <w:t xml:space="preserve">Academic Editor: </w:t>
      </w:r>
      <w:bookmarkStart w:id="2" w:name="OLE_LINK5"/>
      <w:bookmarkStart w:id="3" w:name="OLE_LINK4"/>
      <w:r>
        <w:rPr>
          <w:rFonts w:eastAsia="黑体"/>
        </w:rPr>
        <w:t>Stefania Carlucci</w:t>
      </w:r>
      <w:bookmarkEnd w:id="2"/>
      <w:bookmarkEnd w:id="3"/>
    </w:p>
    <w:p w14:paraId="2EC36EF7" w14:textId="77777777" w:rsidR="004922C8" w:rsidRDefault="004922C8">
      <w:pPr>
        <w:pStyle w:val="Academiceditor"/>
        <w:rPr>
          <w:rFonts w:eastAsia="黑体"/>
        </w:rPr>
      </w:pPr>
    </w:p>
    <w:p w14:paraId="1A84CD21" w14:textId="77777777" w:rsidR="004922C8" w:rsidRDefault="00605271">
      <w:pPr>
        <w:pStyle w:val="Historytime"/>
        <w:rPr>
          <w:shd w:val="clear" w:color="auto" w:fill="FFFFFF"/>
        </w:rPr>
      </w:pPr>
      <w:r>
        <w:rPr>
          <w:shd w:val="clear" w:color="auto" w:fill="FFFFFF"/>
        </w:rPr>
        <w:t>Submitted: 24 November 2025</w:t>
      </w:r>
    </w:p>
    <w:p w14:paraId="73BE24D5" w14:textId="77777777" w:rsidR="004922C8" w:rsidRDefault="00605271">
      <w:pPr>
        <w:pStyle w:val="Historytime"/>
        <w:rPr>
          <w:shd w:val="clear" w:color="auto" w:fill="FFFFFF"/>
        </w:rPr>
      </w:pPr>
      <w:r>
        <w:rPr>
          <w:shd w:val="clear" w:color="auto" w:fill="FFFFFF"/>
        </w:rPr>
        <w:t>Revised: 2 February 2026</w:t>
      </w:r>
    </w:p>
    <w:p w14:paraId="6097E1E8" w14:textId="77777777" w:rsidR="004922C8" w:rsidRDefault="00605271">
      <w:pPr>
        <w:pStyle w:val="Historytime"/>
        <w:rPr>
          <w:shd w:val="clear" w:color="auto" w:fill="FFFFFF"/>
        </w:rPr>
      </w:pPr>
      <w:r>
        <w:rPr>
          <w:shd w:val="clear" w:color="auto" w:fill="FFFFFF"/>
        </w:rPr>
        <w:t>Accepted: 27 February 2026</w:t>
      </w:r>
    </w:p>
    <w:p w14:paraId="3ADC7EA0" w14:textId="77777777" w:rsidR="004922C8" w:rsidRDefault="004922C8">
      <w:pPr>
        <w:spacing w:line="360" w:lineRule="auto"/>
        <w:rPr>
          <w:rFonts w:ascii="Times New Roman" w:eastAsia="黑体" w:hAnsi="Times New Roman" w:cs="Times New Roman"/>
          <w:bCs/>
          <w:kern w:val="0"/>
          <w:sz w:val="24"/>
        </w:rPr>
      </w:pPr>
    </w:p>
    <w:p w14:paraId="37F28549" w14:textId="77777777" w:rsidR="004922C8" w:rsidRPr="0092332C" w:rsidRDefault="00605271" w:rsidP="0092332C">
      <w:pPr>
        <w:pStyle w:val="Frontmatter"/>
        <w:spacing w:before="180" w:after="180"/>
        <w:rPr>
          <w:rFonts w:eastAsia="宋体"/>
        </w:rPr>
      </w:pPr>
      <w:r w:rsidRPr="0092332C">
        <w:rPr>
          <w:rFonts w:eastAsia="宋体"/>
        </w:rPr>
        <w:t>Abstract</w:t>
      </w:r>
    </w:p>
    <w:p w14:paraId="26511061" w14:textId="363F4A62" w:rsidR="004922C8" w:rsidRPr="0092332C" w:rsidRDefault="00605271" w:rsidP="0092332C">
      <w:pPr>
        <w:pStyle w:val="Abstract"/>
        <w:rPr>
          <w:rFonts w:eastAsia="宋体"/>
        </w:rPr>
      </w:pPr>
      <w:r w:rsidRPr="0092332C">
        <w:rPr>
          <w:rFonts w:eastAsia="宋体"/>
        </w:rPr>
        <w:t xml:space="preserve">Background: Spinal muscular atrophy (SMA) is a fatal autosomal recessive hereditary neuromuscular disorder. Definitive treatment remains limited, and the carrier frequency in the general population is relatively high. This study aims to determine the carrier frequency of SMA and to characterized mutation types in the survival motor neuron 1 (SMN1) gene among pregnant women in the </w:t>
      </w:r>
      <w:proofErr w:type="spellStart"/>
      <w:r w:rsidRPr="0092332C">
        <w:rPr>
          <w:rFonts w:eastAsia="宋体"/>
        </w:rPr>
        <w:t>Changzhi</w:t>
      </w:r>
      <w:proofErr w:type="spellEnd"/>
      <w:r w:rsidRPr="0092332C">
        <w:rPr>
          <w:rFonts w:eastAsia="宋体"/>
        </w:rPr>
        <w:t xml:space="preserve"> area. It also evaluates the clinical value of large-scale carrier screening combined with prenatal diagnosis.</w:t>
      </w:r>
      <w:r w:rsidRPr="0092332C">
        <w:rPr>
          <w:rFonts w:eastAsia="宋体" w:hint="eastAsia"/>
        </w:rPr>
        <w:t xml:space="preserve"> </w:t>
      </w:r>
      <w:r w:rsidRPr="0092332C">
        <w:rPr>
          <w:rFonts w:eastAsia="宋体"/>
        </w:rPr>
        <w:t xml:space="preserve">Methods: Real-time fluorescence quantitative </w:t>
      </w:r>
      <w:r w:rsidR="00F540C5">
        <w:t>polymerase chain reaction</w:t>
      </w:r>
      <w:r w:rsidR="00F540C5">
        <w:rPr>
          <w:rFonts w:eastAsia="宋体"/>
        </w:rPr>
        <w:t xml:space="preserve"> (</w:t>
      </w:r>
      <w:r w:rsidR="00F540C5" w:rsidRPr="0092332C">
        <w:rPr>
          <w:rFonts w:eastAsia="宋体"/>
        </w:rPr>
        <w:t>PCR</w:t>
      </w:r>
      <w:r w:rsidR="00F540C5">
        <w:rPr>
          <w:rFonts w:eastAsia="宋体"/>
        </w:rPr>
        <w:t xml:space="preserve">) </w:t>
      </w:r>
      <w:r w:rsidRPr="0092332C">
        <w:rPr>
          <w:rFonts w:eastAsia="宋体"/>
        </w:rPr>
        <w:t>was used to detect the copy numbers of exon 7 (E7) and exon 8 (E8) of the SMN1 gene in pregnant women for carrier screening, with simultaneous testing of their spouses. For couples in which both partners were carriers, invasive prenatal diagnosis of high-risk fetuses was performed using multiplex ligation-dependent probe amplification (MLPA) on amniotic fluid or on chorionic villous sampling. PCR–melting curve analysis was used to recheck some initially positive pregnant women to exclude false positive results and to compare the accuracy of the detection reagents.</w:t>
      </w:r>
      <w:r w:rsidRPr="0092332C">
        <w:rPr>
          <w:rFonts w:eastAsia="宋体" w:hint="eastAsia"/>
        </w:rPr>
        <w:t xml:space="preserve"> </w:t>
      </w:r>
      <w:r w:rsidRPr="0092332C">
        <w:rPr>
          <w:rFonts w:eastAsia="宋体"/>
        </w:rPr>
        <w:t xml:space="preserve">Results: Among 13,500 pregnant women, a total of 338 SMA carriers were identified, corresponding to a carrier frequency of 1/40 (2.5%). The distribution of mutation types was as follows: 217 cases (64.20%) of E7+E8 heterozygous deletion, 43 cases (12.72%) of E7 heterozygous deletion, 77 cases (22.78%) of E8 heterozygous deletion, and 1 case (0.30%) of E8 homozygous deletion. A total of four couples in which both partners were SMA carriers were identified. This study employed Tianlong and </w:t>
      </w:r>
      <w:proofErr w:type="spellStart"/>
      <w:r w:rsidRPr="0092332C">
        <w:rPr>
          <w:rFonts w:eastAsia="宋体"/>
        </w:rPr>
        <w:t>Wushishi</w:t>
      </w:r>
      <w:proofErr w:type="spellEnd"/>
      <w:r w:rsidRPr="0092332C">
        <w:rPr>
          <w:rFonts w:eastAsia="宋体"/>
        </w:rPr>
        <w:t xml:space="preserve"> reagents for clinical screening. The Tianlong reagent showed higher accuracy and concordance in the detection of SMN1 E7 and E8 copy numbers. The SMA carrier frequency in the </w:t>
      </w:r>
      <w:proofErr w:type="spellStart"/>
      <w:r w:rsidRPr="0092332C">
        <w:rPr>
          <w:rFonts w:eastAsia="宋体"/>
        </w:rPr>
        <w:t>Changzhi</w:t>
      </w:r>
      <w:proofErr w:type="spellEnd"/>
      <w:r w:rsidRPr="0092332C">
        <w:rPr>
          <w:rFonts w:eastAsia="宋体"/>
        </w:rPr>
        <w:t xml:space="preserve"> area was higher than that in the Gansu and Jiangsu regions (</w:t>
      </w:r>
      <w:r w:rsidRPr="0092332C">
        <w:t>χ</w:t>
      </w:r>
      <w:r w:rsidRPr="0092332C">
        <w:rPr>
          <w:rFonts w:eastAsia="宋体"/>
        </w:rPr>
        <w:t xml:space="preserve">² = 10.868 and 17.015, respectively; </w:t>
      </w:r>
      <w:r w:rsidRPr="0092332C">
        <w:t>P</w:t>
      </w:r>
      <w:r w:rsidRPr="0092332C">
        <w:rPr>
          <w:rFonts w:eastAsia="宋体"/>
        </w:rPr>
        <w:t xml:space="preserve"> &lt; 0.05). However, no statistically significant difference was observed compared with the Shenzhen (</w:t>
      </w:r>
      <w:r w:rsidRPr="0092332C">
        <w:t>P</w:t>
      </w:r>
      <w:r w:rsidRPr="0092332C">
        <w:rPr>
          <w:rFonts w:eastAsia="宋体"/>
        </w:rPr>
        <w:t xml:space="preserve"> &gt; 0.05).</w:t>
      </w:r>
      <w:r w:rsidRPr="0092332C">
        <w:rPr>
          <w:rFonts w:eastAsia="宋体" w:hint="eastAsia"/>
        </w:rPr>
        <w:t xml:space="preserve"> </w:t>
      </w:r>
      <w:r w:rsidRPr="0092332C">
        <w:rPr>
          <w:rFonts w:eastAsia="宋体"/>
        </w:rPr>
        <w:t xml:space="preserve">Conclusions: The SMA carrier frequency in the </w:t>
      </w:r>
      <w:proofErr w:type="spellStart"/>
      <w:r w:rsidRPr="0092332C">
        <w:rPr>
          <w:rFonts w:eastAsia="宋体"/>
        </w:rPr>
        <w:t>Changzhi</w:t>
      </w:r>
      <w:proofErr w:type="spellEnd"/>
      <w:r w:rsidRPr="0092332C">
        <w:rPr>
          <w:rFonts w:eastAsia="宋体"/>
        </w:rPr>
        <w:t xml:space="preserve"> region </w:t>
      </w:r>
      <w:r w:rsidRPr="0092332C">
        <w:rPr>
          <w:rFonts w:eastAsia="宋体"/>
        </w:rPr>
        <w:lastRenderedPageBreak/>
        <w:t>was 2.50%, with E7+E8 heterozygous deletion as the predominant mutation type. Large-scale SMA gene screening in pregnant women, together with early diagnosis in high-risk groups, may support prevention strategies. This study did not include a formal cost-benefit analysis. The discussion of economic significance is merely descriptive, and the conclusions should be interpreted with caution.</w:t>
      </w:r>
    </w:p>
    <w:p w14:paraId="1DDD0EBD" w14:textId="77777777" w:rsidR="004922C8" w:rsidRPr="0092332C" w:rsidRDefault="00605271" w:rsidP="0092332C">
      <w:pPr>
        <w:pStyle w:val="Frontmatter"/>
        <w:spacing w:before="180" w:after="180"/>
        <w:rPr>
          <w:rFonts w:eastAsia="宋体"/>
        </w:rPr>
      </w:pPr>
      <w:r w:rsidRPr="0092332C">
        <w:rPr>
          <w:rFonts w:eastAsia="宋体"/>
        </w:rPr>
        <w:t>Keywords</w:t>
      </w:r>
    </w:p>
    <w:p w14:paraId="271C83E4" w14:textId="77777777" w:rsidR="004922C8" w:rsidRPr="0092332C" w:rsidRDefault="00605271" w:rsidP="0092332C">
      <w:pPr>
        <w:pStyle w:val="Keywords"/>
        <w:rPr>
          <w:rFonts w:eastAsia="宋体"/>
        </w:rPr>
      </w:pPr>
      <w:r w:rsidRPr="0092332C">
        <w:rPr>
          <w:rFonts w:eastAsia="宋体"/>
        </w:rPr>
        <w:t xml:space="preserve">spinal muscular atrophy; </w:t>
      </w:r>
      <w:bookmarkStart w:id="4" w:name="OLE_LINK22"/>
      <w:r w:rsidRPr="0092332C">
        <w:rPr>
          <w:rFonts w:eastAsia="宋体"/>
        </w:rPr>
        <w:t>SMN1</w:t>
      </w:r>
      <w:bookmarkEnd w:id="4"/>
      <w:r w:rsidRPr="0092332C">
        <w:rPr>
          <w:rFonts w:eastAsia="宋体"/>
        </w:rPr>
        <w:t xml:space="preserve"> gene; carrier screening; prenatal diagnosis; mutation type</w:t>
      </w:r>
    </w:p>
    <w:p w14:paraId="345C69B0" w14:textId="77777777" w:rsidR="004922C8" w:rsidRDefault="004922C8">
      <w:pPr>
        <w:pStyle w:val="Keywords"/>
        <w:rPr>
          <w:rFonts w:eastAsia="宋体"/>
        </w:rPr>
      </w:pPr>
    </w:p>
    <w:p w14:paraId="2BF55006" w14:textId="77777777" w:rsidR="004922C8" w:rsidRDefault="00605271">
      <w:pPr>
        <w:pStyle w:val="1"/>
        <w:rPr>
          <w:rFonts w:eastAsia="宋体"/>
          <w:shd w:val="clear" w:color="auto" w:fill="FFFFFF"/>
        </w:rPr>
      </w:pPr>
      <w:r>
        <w:rPr>
          <w:rFonts w:eastAsia="宋体"/>
          <w:shd w:val="clear" w:color="auto" w:fill="FFFFFF"/>
        </w:rPr>
        <w:t>1. Introduction</w:t>
      </w:r>
    </w:p>
    <w:p w14:paraId="0BFC7DB3" w14:textId="77777777" w:rsidR="004922C8" w:rsidRDefault="00605271">
      <w:pPr>
        <w:pStyle w:val="Text"/>
        <w:ind w:firstLine="420"/>
        <w:rPr>
          <w:rFonts w:eastAsia="宋体"/>
          <w:shd w:val="clear" w:color="auto" w:fill="FFFFFF"/>
        </w:rPr>
      </w:pPr>
      <w:r>
        <w:rPr>
          <w:rFonts w:eastAsia="宋体"/>
          <w:shd w:val="clear" w:color="auto" w:fill="FFFFFF"/>
        </w:rPr>
        <w:t>Spinal muscular atrophy (SMA) is an autosomal recessive neuromuscular disease characterized by degeneration of anterior horn cells in the spinal cord. Clinically, it presents with symmetric proximal limb muscle weakness and atrophy that gradually progress, and severe cases may involve the respiratory muscles, leading to death [1]. The global incidence of SMA is approximately 1/</w:t>
      </w:r>
      <w:r w:rsidRPr="0092332C">
        <w:rPr>
          <w:rFonts w:eastAsia="宋体"/>
          <w:shd w:val="clear" w:color="auto" w:fill="FFFFFF"/>
        </w:rPr>
        <w:t>6000</w:t>
      </w:r>
      <w:r>
        <w:rPr>
          <w:rFonts w:eastAsia="宋体"/>
          <w:shd w:val="clear" w:color="auto" w:fill="FFFFFF"/>
        </w:rPr>
        <w:t xml:space="preserve">–1/10,000, and the carrier frequency of the pathogenic gene in the general population ranges from 1/38 to 1/70, making it the second most lethal autosomal recessive disease in children, with an overall carrier frequency of about 1/50 [2]. The pathogenic gene for SMA is the survival motor neuron (SMN) gene, which is located in the 5q13 chromosomal region and includes two highly homologous inverted repeat sequences, </w:t>
      </w:r>
      <w:r>
        <w:rPr>
          <w:rFonts w:eastAsia="宋体"/>
          <w:i/>
          <w:iCs/>
          <w:shd w:val="clear" w:color="auto" w:fill="FFFFFF"/>
        </w:rPr>
        <w:t>SMN1</w:t>
      </w:r>
      <w:r>
        <w:rPr>
          <w:rFonts w:eastAsia="宋体"/>
          <w:shd w:val="clear" w:color="auto" w:fill="FFFFFF"/>
        </w:rPr>
        <w:t xml:space="preserve"> and </w:t>
      </w:r>
      <w:r>
        <w:rPr>
          <w:rFonts w:eastAsia="宋体"/>
          <w:i/>
          <w:shd w:val="clear" w:color="auto" w:fill="FFFFFF"/>
        </w:rPr>
        <w:t>SMN2</w:t>
      </w:r>
      <w:r>
        <w:rPr>
          <w:rFonts w:eastAsia="宋体"/>
          <w:shd w:val="clear" w:color="auto" w:fill="FFFFFF"/>
        </w:rPr>
        <w:t xml:space="preserve"> [3]. </w:t>
      </w:r>
      <w:r>
        <w:rPr>
          <w:rFonts w:eastAsia="宋体"/>
          <w:i/>
          <w:iCs/>
          <w:shd w:val="clear" w:color="auto" w:fill="FFFFFF"/>
        </w:rPr>
        <w:t>SMN1</w:t>
      </w:r>
      <w:r>
        <w:rPr>
          <w:rFonts w:eastAsia="宋体"/>
          <w:shd w:val="clear" w:color="auto" w:fill="FFFFFF"/>
        </w:rPr>
        <w:t xml:space="preserve"> is the primary pathogenic gene and encodes the full-length functional SMN protein, whereas </w:t>
      </w:r>
      <w:r>
        <w:rPr>
          <w:rFonts w:eastAsia="宋体"/>
          <w:i/>
          <w:shd w:val="clear" w:color="auto" w:fill="FFFFFF"/>
        </w:rPr>
        <w:t>SMN2</w:t>
      </w:r>
      <w:r>
        <w:rPr>
          <w:rFonts w:eastAsia="宋体"/>
          <w:shd w:val="clear" w:color="auto" w:fill="FFFFFF"/>
        </w:rPr>
        <w:t xml:space="preserve"> is a modifier gene, with only 10%–20% of its transcripts producing functional protein. The copy number of </w:t>
      </w:r>
      <w:r>
        <w:rPr>
          <w:rFonts w:eastAsia="宋体"/>
          <w:i/>
          <w:shd w:val="clear" w:color="auto" w:fill="FFFFFF"/>
        </w:rPr>
        <w:t>SMN2</w:t>
      </w:r>
      <w:r>
        <w:rPr>
          <w:rFonts w:eastAsia="宋体"/>
          <w:shd w:val="clear" w:color="auto" w:fill="FFFFFF"/>
        </w:rPr>
        <w:t xml:space="preserve"> is closely associated with disease severity [4]. Clinical data show that more than 95% of SMA cases are caused by homozygous deletion of </w:t>
      </w:r>
      <w:r>
        <w:rPr>
          <w:rFonts w:eastAsia="宋体"/>
          <w:i/>
          <w:iCs/>
          <w:shd w:val="clear" w:color="auto" w:fill="FFFFFF"/>
        </w:rPr>
        <w:t>SMN1</w:t>
      </w:r>
      <w:r>
        <w:rPr>
          <w:rFonts w:eastAsia="宋体"/>
          <w:shd w:val="clear" w:color="auto" w:fill="FFFFFF"/>
        </w:rPr>
        <w:t xml:space="preserve"> exon 7 (E7) or combined homozygous deletion of E7+E8, while the remaining fewer than 5% are compound heterozygous mutations consisting of E7 heterozygous deletion and point mutations [5].</w:t>
      </w:r>
    </w:p>
    <w:p w14:paraId="706EF485" w14:textId="77777777" w:rsidR="004922C8" w:rsidRDefault="00605271">
      <w:pPr>
        <w:pStyle w:val="Text"/>
        <w:ind w:firstLine="420"/>
        <w:rPr>
          <w:rFonts w:eastAsia="宋体"/>
          <w:shd w:val="clear" w:color="auto" w:fill="FFFFFF"/>
        </w:rPr>
      </w:pPr>
      <w:r>
        <w:rPr>
          <w:rFonts w:eastAsia="宋体"/>
          <w:shd w:val="clear" w:color="auto" w:fill="FFFFFF"/>
        </w:rPr>
        <w:t xml:space="preserve">Given the severe clinical manifestations, lack of curative treatment, high carrier frequency, and clearly defined pathogenic gene of SMA, both the American College of Medical Genetics and Genomics (ACMG) and the American College of Obstetricians and Gynecologists (ACOG) recommend routine SMA carrier screening for all pregnant women and prenatal diagnosis for high-risk fetuses [6,7]. In China, with the promotion of prenatal screening and diagnostic technologies, regional SMA carrier screening has gradually been implemented; however, data on carrier frequency and prenatal diagnosis outcomes in southern Shanxi, particularly in the </w:t>
      </w:r>
      <w:proofErr w:type="spellStart"/>
      <w:r>
        <w:rPr>
          <w:rFonts w:eastAsia="宋体"/>
          <w:shd w:val="clear" w:color="auto" w:fill="FFFFFF"/>
        </w:rPr>
        <w:t>Changzhi</w:t>
      </w:r>
      <w:proofErr w:type="spellEnd"/>
      <w:r>
        <w:rPr>
          <w:rFonts w:eastAsia="宋体"/>
          <w:shd w:val="clear" w:color="auto" w:fill="FFFFFF"/>
        </w:rPr>
        <w:t xml:space="preserve"> region, remain limited. As a typical industrial and agricultural city in southern Shanxi, </w:t>
      </w:r>
      <w:proofErr w:type="spellStart"/>
      <w:r>
        <w:rPr>
          <w:rFonts w:eastAsia="宋体"/>
          <w:shd w:val="clear" w:color="auto" w:fill="FFFFFF"/>
        </w:rPr>
        <w:t>Changzhi</w:t>
      </w:r>
      <w:proofErr w:type="spellEnd"/>
      <w:r>
        <w:rPr>
          <w:rFonts w:eastAsia="宋体"/>
          <w:shd w:val="clear" w:color="auto" w:fill="FFFFFF"/>
        </w:rPr>
        <w:t xml:space="preserve"> has a stable population structure and a large population of women of reproductive age, making regional genetic disease screening in this area representative. Previous studies have demonstrated ethnic and regional differences in SMA carrier frequency, with a carrier frequency of approximately 1/94 in southern China and 1/88 in northern China [8]. However, specific data for the </w:t>
      </w:r>
      <w:proofErr w:type="spellStart"/>
      <w:r>
        <w:rPr>
          <w:rFonts w:eastAsia="宋体"/>
          <w:shd w:val="clear" w:color="auto" w:fill="FFFFFF"/>
        </w:rPr>
        <w:t>Changzhi</w:t>
      </w:r>
      <w:proofErr w:type="spellEnd"/>
      <w:r>
        <w:rPr>
          <w:rFonts w:eastAsia="宋体"/>
          <w:shd w:val="clear" w:color="auto" w:fill="FFFFFF"/>
        </w:rPr>
        <w:t xml:space="preserve"> region are lacking, which limits the development of targeted prevention and control strategies.</w:t>
      </w:r>
    </w:p>
    <w:p w14:paraId="166D8CE9" w14:textId="77777777" w:rsidR="004922C8" w:rsidRDefault="00605271">
      <w:pPr>
        <w:pStyle w:val="Text"/>
        <w:ind w:firstLine="420"/>
        <w:rPr>
          <w:rFonts w:eastAsia="宋体"/>
          <w:shd w:val="clear" w:color="auto" w:fill="FFFFFF"/>
        </w:rPr>
      </w:pPr>
      <w:r>
        <w:rPr>
          <w:rFonts w:eastAsia="宋体"/>
          <w:shd w:val="clear" w:color="auto" w:fill="FFFFFF"/>
        </w:rPr>
        <w:t>This study conducted SMA carrier screening among 13,500 pregnant women to clarify the local carrier frequency and mutation type characteristics, thereby providing a scientific basis for the formulation of targeted prevention and control strategies.</w:t>
      </w:r>
    </w:p>
    <w:p w14:paraId="03C38EA8" w14:textId="77777777" w:rsidR="004922C8" w:rsidRDefault="00605271">
      <w:pPr>
        <w:pStyle w:val="1"/>
        <w:rPr>
          <w:rFonts w:eastAsia="宋体"/>
          <w:shd w:val="clear" w:color="auto" w:fill="FFFFFF"/>
        </w:rPr>
      </w:pPr>
      <w:r>
        <w:rPr>
          <w:rFonts w:eastAsia="宋体"/>
          <w:shd w:val="clear" w:color="auto" w:fill="FFFFFF"/>
        </w:rPr>
        <w:lastRenderedPageBreak/>
        <w:t>2. Data and Methods</w:t>
      </w:r>
    </w:p>
    <w:p w14:paraId="00446581" w14:textId="77777777" w:rsidR="004922C8" w:rsidRDefault="00605271">
      <w:pPr>
        <w:pStyle w:val="2"/>
        <w:rPr>
          <w:rFonts w:eastAsia="宋体"/>
          <w:shd w:val="clear" w:color="auto" w:fill="FFFFFF"/>
        </w:rPr>
      </w:pPr>
      <w:r>
        <w:rPr>
          <w:rFonts w:eastAsia="宋体"/>
          <w:shd w:val="clear" w:color="auto" w:fill="FFFFFF"/>
        </w:rPr>
        <w:t xml:space="preserve">2.1 General </w:t>
      </w:r>
      <w:proofErr w:type="spellStart"/>
      <w:r>
        <w:rPr>
          <w:rFonts w:eastAsia="宋体"/>
          <w:shd w:val="clear" w:color="auto" w:fill="FFFFFF"/>
        </w:rPr>
        <w:t>lnformation</w:t>
      </w:r>
      <w:proofErr w:type="spellEnd"/>
    </w:p>
    <w:p w14:paraId="5AF6A841" w14:textId="77777777" w:rsidR="004922C8" w:rsidRDefault="00605271">
      <w:pPr>
        <w:pStyle w:val="Text"/>
        <w:ind w:firstLine="420"/>
        <w:rPr>
          <w:rFonts w:eastAsia="宋体"/>
          <w:shd w:val="clear" w:color="auto" w:fill="FFFFFF"/>
        </w:rPr>
      </w:pPr>
      <w:r>
        <w:rPr>
          <w:rFonts w:eastAsia="宋体"/>
          <w:shd w:val="clear" w:color="auto" w:fill="FFFFFF"/>
        </w:rPr>
        <w:t xml:space="preserve">A total of 13,500 pregnant women who underwent routine prenatal examinations at </w:t>
      </w:r>
      <w:proofErr w:type="spellStart"/>
      <w:r>
        <w:rPr>
          <w:rFonts w:eastAsia="宋体"/>
          <w:shd w:val="clear" w:color="auto" w:fill="FFFFFF"/>
        </w:rPr>
        <w:t>Changzhi</w:t>
      </w:r>
      <w:proofErr w:type="spellEnd"/>
      <w:r>
        <w:rPr>
          <w:rFonts w:eastAsia="宋体"/>
          <w:shd w:val="clear" w:color="auto" w:fill="FFFFFF"/>
        </w:rPr>
        <w:t xml:space="preserve"> Maternal and Child Health Hospital from July 2024 to March 2025 were enrolled. The inclusion criteria were as follows: (1) age 18–45 years; (2) singleton pregnancy; and (3) residence in </w:t>
      </w:r>
      <w:proofErr w:type="spellStart"/>
      <w:r>
        <w:rPr>
          <w:rFonts w:eastAsia="宋体"/>
          <w:shd w:val="clear" w:color="auto" w:fill="FFFFFF"/>
        </w:rPr>
        <w:t>Changzhi</w:t>
      </w:r>
      <w:proofErr w:type="spellEnd"/>
      <w:r>
        <w:rPr>
          <w:rFonts w:eastAsia="宋体"/>
          <w:shd w:val="clear" w:color="auto" w:fill="FFFFFF"/>
        </w:rPr>
        <w:t xml:space="preserve"> City. The exclusion criteria were as follows: (1) multiple pregnancies; (2) a previous diagnosis of genetic diseases or a history of pregnancy termination due to genetic diseases; (3) refusal of spouse screening or prenatal diagnosis; and (4) incomplete clinical data.</w:t>
      </w:r>
    </w:p>
    <w:p w14:paraId="2C940C80" w14:textId="77777777" w:rsidR="004922C8" w:rsidRDefault="00605271">
      <w:pPr>
        <w:pStyle w:val="Text"/>
        <w:ind w:firstLine="420"/>
        <w:rPr>
          <w:rFonts w:eastAsia="宋体"/>
          <w:shd w:val="clear" w:color="auto" w:fill="FFFFFF"/>
        </w:rPr>
      </w:pPr>
      <w:r>
        <w:rPr>
          <w:rFonts w:eastAsia="宋体"/>
          <w:shd w:val="clear" w:color="auto" w:fill="FFFFFF"/>
        </w:rPr>
        <w:t xml:space="preserve">This study adopted a precision-oriented proportional estimation design based on a previously reported SMA carrier frequency of 1/88 </w:t>
      </w:r>
      <w:r>
        <w:rPr>
          <w:shd w:val="clear" w:color="auto" w:fill="FFFFFF"/>
        </w:rPr>
        <w:t>(</w:t>
      </w:r>
      <w:r>
        <w:rPr>
          <w:i/>
          <w:shd w:val="clear" w:color="auto" w:fill="FFFFFF"/>
        </w:rPr>
        <w:t>p</w:t>
      </w:r>
      <w:r>
        <w:rPr>
          <w:rFonts w:eastAsia="宋体"/>
          <w:shd w:val="clear" w:color="auto" w:fill="FFFFFF"/>
        </w:rPr>
        <w:t xml:space="preserve"> = </w:t>
      </w:r>
      <w:r>
        <w:rPr>
          <w:shd w:val="clear" w:color="auto" w:fill="FFFFFF"/>
        </w:rPr>
        <w:t>0.0114)</w:t>
      </w:r>
      <w:r>
        <w:rPr>
          <w:rFonts w:eastAsia="宋体"/>
          <w:shd w:val="clear" w:color="auto" w:fill="FFFFFF"/>
        </w:rPr>
        <w:t xml:space="preserve"> in northern China. With α = 0.05 </w:t>
      </w:r>
      <w:r>
        <w:rPr>
          <w:shd w:val="clear" w:color="auto" w:fill="FFFFFF"/>
        </w:rPr>
        <w:t>(Z</w:t>
      </w:r>
      <w:r>
        <w:rPr>
          <w:rFonts w:eastAsia="宋体"/>
          <w:shd w:val="clear" w:color="auto" w:fill="FFFFFF"/>
        </w:rPr>
        <w:t xml:space="preserve"> = </w:t>
      </w:r>
      <w:r>
        <w:rPr>
          <w:shd w:val="clear" w:color="auto" w:fill="FFFFFF"/>
        </w:rPr>
        <w:t>1.96</w:t>
      </w:r>
      <w:r>
        <w:rPr>
          <w:rFonts w:eastAsia="宋体"/>
          <w:shd w:val="clear" w:color="auto" w:fill="FFFFFF"/>
        </w:rPr>
        <w:t xml:space="preserve">) and an allowable error of </w:t>
      </w:r>
      <w:r>
        <w:rPr>
          <w:shd w:val="clear" w:color="auto" w:fill="FFFFFF"/>
        </w:rPr>
        <w:t>d</w:t>
      </w:r>
      <w:r>
        <w:rPr>
          <w:rFonts w:eastAsia="宋体"/>
          <w:shd w:val="clear" w:color="auto" w:fill="FFFFFF"/>
        </w:rPr>
        <w:t xml:space="preserve"> = ±0.002, the required minimum sample size was calculated using the formula n = Z</w:t>
      </w:r>
      <w:r>
        <w:rPr>
          <w:rFonts w:eastAsia="宋体"/>
          <w:shd w:val="clear" w:color="auto" w:fill="FFFFFF"/>
          <w:vertAlign w:val="superscript"/>
        </w:rPr>
        <w:t>2</w:t>
      </w:r>
      <w:r>
        <w:rPr>
          <w:rFonts w:eastAsia="宋体"/>
          <w:shd w:val="clear" w:color="auto" w:fill="FFFFFF"/>
        </w:rPr>
        <w:t xml:space="preserve"> </w:t>
      </w:r>
      <w:r w:rsidRPr="0092332C">
        <w:rPr>
          <w:rFonts w:eastAsia="宋体"/>
          <w:shd w:val="clear" w:color="auto" w:fill="FFFFFF"/>
        </w:rPr>
        <w:t xml:space="preserve">× </w:t>
      </w:r>
      <w:r w:rsidRPr="0092332C">
        <w:rPr>
          <w:rFonts w:eastAsia="宋体"/>
          <w:i/>
          <w:iCs/>
          <w:shd w:val="clear" w:color="auto" w:fill="FFFFFF"/>
        </w:rPr>
        <w:t>p</w:t>
      </w:r>
      <w:r w:rsidRPr="0092332C">
        <w:rPr>
          <w:rFonts w:eastAsia="宋体"/>
          <w:shd w:val="clear" w:color="auto" w:fill="FFFFFF"/>
        </w:rPr>
        <w:t xml:space="preserve"> × (1 − </w:t>
      </w:r>
      <w:r w:rsidRPr="0092332C">
        <w:rPr>
          <w:rFonts w:eastAsia="宋体"/>
          <w:i/>
          <w:iCs/>
          <w:shd w:val="clear" w:color="auto" w:fill="FFFFFF"/>
        </w:rPr>
        <w:t>p</w:t>
      </w:r>
      <w:r w:rsidRPr="0092332C">
        <w:rPr>
          <w:rFonts w:eastAsia="宋体"/>
          <w:shd w:val="clear" w:color="auto" w:fill="FFFFFF"/>
        </w:rPr>
        <w:t>)</w:t>
      </w:r>
      <w:r>
        <w:rPr>
          <w:rFonts w:eastAsia="宋体"/>
          <w:shd w:val="clear" w:color="auto" w:fill="FFFFFF"/>
        </w:rPr>
        <w:t xml:space="preserve"> / d</w:t>
      </w:r>
      <w:r>
        <w:rPr>
          <w:rFonts w:eastAsia="宋体"/>
          <w:shd w:val="clear" w:color="auto" w:fill="FFFFFF"/>
          <w:vertAlign w:val="superscript"/>
        </w:rPr>
        <w:t>2</w:t>
      </w:r>
      <w:r>
        <w:rPr>
          <w:rFonts w:eastAsia="宋体"/>
          <w:shd w:val="clear" w:color="auto" w:fill="FFFFFF"/>
        </w:rPr>
        <w:t xml:space="preserve"> as 10,800 cases. Considering a 10% loss to follow-up frequency, 13,500 cases were ultimately included, with a statistical power of &gt;90%.</w:t>
      </w:r>
    </w:p>
    <w:p w14:paraId="46B04B3D" w14:textId="77777777" w:rsidR="004922C8" w:rsidRDefault="00605271">
      <w:pPr>
        <w:pStyle w:val="2"/>
        <w:rPr>
          <w:rFonts w:eastAsia="宋体"/>
          <w:shd w:val="clear" w:color="auto" w:fill="FFFFFF"/>
        </w:rPr>
      </w:pPr>
      <w:r>
        <w:rPr>
          <w:rFonts w:eastAsia="宋体"/>
          <w:shd w:val="clear" w:color="auto" w:fill="FFFFFF"/>
        </w:rPr>
        <w:t>2.2 Methods</w:t>
      </w:r>
    </w:p>
    <w:p w14:paraId="74433A99" w14:textId="77777777" w:rsidR="004922C8" w:rsidRDefault="00605271">
      <w:pPr>
        <w:pStyle w:val="3"/>
        <w:rPr>
          <w:rFonts w:eastAsia="宋体"/>
          <w:shd w:val="clear" w:color="auto" w:fill="FFFFFF"/>
        </w:rPr>
      </w:pPr>
      <w:r>
        <w:rPr>
          <w:rFonts w:eastAsia="宋体"/>
          <w:shd w:val="clear" w:color="auto" w:fill="FFFFFF"/>
        </w:rPr>
        <w:t>2.2.1 Main Reagents and Instruments</w:t>
      </w:r>
    </w:p>
    <w:p w14:paraId="25CEFA12" w14:textId="50013616" w:rsidR="004922C8" w:rsidRDefault="00605271">
      <w:pPr>
        <w:pStyle w:val="Text"/>
        <w:ind w:firstLine="420"/>
        <w:rPr>
          <w:rFonts w:eastAsia="宋体"/>
          <w:shd w:val="clear" w:color="auto" w:fill="FFFFFF"/>
        </w:rPr>
      </w:pPr>
      <w:r>
        <w:rPr>
          <w:rFonts w:eastAsia="宋体"/>
          <w:shd w:val="clear" w:color="auto" w:fill="FFFFFF"/>
        </w:rPr>
        <w:t xml:space="preserve">Real-time fluorescence quantitative </w:t>
      </w:r>
      <w:r w:rsidR="0092332C">
        <w:t>polymerase chain reaction</w:t>
      </w:r>
      <w:r w:rsidR="0092332C">
        <w:rPr>
          <w:rFonts w:eastAsia="宋体"/>
          <w:shd w:val="clear" w:color="auto" w:fill="FFFFFF"/>
        </w:rPr>
        <w:t xml:space="preserve"> (</w:t>
      </w:r>
      <w:r w:rsidRPr="00122285">
        <w:rPr>
          <w:rFonts w:eastAsia="宋体"/>
          <w:shd w:val="clear" w:color="auto" w:fill="FFFFFF"/>
        </w:rPr>
        <w:t>PCR</w:t>
      </w:r>
      <w:r w:rsidR="0092332C" w:rsidRPr="00122285">
        <w:rPr>
          <w:rFonts w:eastAsia="宋体"/>
          <w:shd w:val="clear" w:color="auto" w:fill="FFFFFF"/>
        </w:rPr>
        <w:t>)</w:t>
      </w:r>
      <w:r>
        <w:rPr>
          <w:rFonts w:eastAsia="宋体"/>
          <w:shd w:val="clear" w:color="auto" w:fill="FFFFFF"/>
        </w:rPr>
        <w:t xml:space="preserve"> kit (Shanghai </w:t>
      </w:r>
      <w:proofErr w:type="spellStart"/>
      <w:r>
        <w:rPr>
          <w:rFonts w:eastAsia="宋体"/>
          <w:shd w:val="clear" w:color="auto" w:fill="FFFFFF"/>
        </w:rPr>
        <w:t>Wuseshi</w:t>
      </w:r>
      <w:proofErr w:type="spellEnd"/>
      <w:r>
        <w:rPr>
          <w:rFonts w:eastAsia="宋体"/>
          <w:shd w:val="clear" w:color="auto" w:fill="FFFFFF"/>
        </w:rPr>
        <w:t xml:space="preserve"> Medical Technology Co., Ltd., National Medical Device Registration No. 20153402293, batch number: </w:t>
      </w:r>
      <w:r>
        <w:rPr>
          <w:shd w:val="clear" w:color="auto" w:fill="FFFFFF"/>
        </w:rPr>
        <w:t>20240601</w:t>
      </w:r>
      <w:r>
        <w:rPr>
          <w:rFonts w:eastAsia="宋体" w:hint="eastAsia"/>
          <w:shd w:val="clear" w:color="auto" w:fill="FFFFFF"/>
          <w:lang w:eastAsia="zh-CN"/>
        </w:rPr>
        <w:t>, China</w:t>
      </w:r>
      <w:r>
        <w:rPr>
          <w:rFonts w:eastAsia="宋体"/>
          <w:shd w:val="clear" w:color="auto" w:fill="FFFFFF"/>
        </w:rPr>
        <w:t>); PCR–</w:t>
      </w:r>
      <w:bookmarkStart w:id="5" w:name="OLE_LINK10"/>
      <w:bookmarkStart w:id="6" w:name="OLE_LINK11"/>
      <w:r>
        <w:rPr>
          <w:rFonts w:eastAsia="宋体"/>
          <w:shd w:val="clear" w:color="auto" w:fill="FFFFFF"/>
        </w:rPr>
        <w:t>melting curve</w:t>
      </w:r>
      <w:bookmarkEnd w:id="5"/>
      <w:bookmarkEnd w:id="6"/>
      <w:r>
        <w:rPr>
          <w:rFonts w:eastAsia="宋体"/>
          <w:shd w:val="clear" w:color="auto" w:fill="FFFFFF"/>
        </w:rPr>
        <w:t xml:space="preserve"> detection kit (Suzhou Tianlong Biotechnology Co., Ltd., National Medical Device Registration No. 20213400937, batch number: </w:t>
      </w:r>
      <w:r>
        <w:rPr>
          <w:shd w:val="clear" w:color="auto" w:fill="FFFFFF"/>
        </w:rPr>
        <w:t>20240528</w:t>
      </w:r>
      <w:r>
        <w:rPr>
          <w:rFonts w:eastAsia="宋体"/>
          <w:shd w:val="clear" w:color="auto" w:fill="FFFFFF"/>
        </w:rPr>
        <w:t xml:space="preserve">); multiplex ligation-dependent probe amplification (MLPA) kit (MRC-Holland, Netherlands); third-generation sequencer (Beijing Berry and Kang Medical Laboratory Co., Ltd., batch number: P021C2-202404). Third-generation sequencer (Beijing Berry and Kang Medical Laboratory Co., Ltd., model: </w:t>
      </w:r>
      <w:proofErr w:type="spellStart"/>
      <w:r>
        <w:rPr>
          <w:rFonts w:eastAsia="宋体"/>
          <w:shd w:val="clear" w:color="auto" w:fill="FFFFFF"/>
        </w:rPr>
        <w:t>Revolocity</w:t>
      </w:r>
      <w:proofErr w:type="spellEnd"/>
      <w:r>
        <w:rPr>
          <w:rFonts w:eastAsia="宋体"/>
          <w:shd w:val="clear" w:color="auto" w:fill="FFFFFF"/>
        </w:rPr>
        <w:t>, origin: Beijing, China)</w:t>
      </w:r>
      <w:r>
        <w:rPr>
          <w:rFonts w:eastAsia="宋体"/>
          <w:shd w:val="clear" w:color="auto" w:fill="FFFFFF"/>
          <w:lang w:eastAsia="zh-CN"/>
        </w:rPr>
        <w:t xml:space="preserve">; </w:t>
      </w:r>
      <w:r>
        <w:rPr>
          <w:rFonts w:eastAsia="宋体"/>
          <w:shd w:val="clear" w:color="auto" w:fill="FFFFFF"/>
        </w:rPr>
        <w:t xml:space="preserve">Fluorescence quantitative PCR instrument (Roche Diagnostic Products Ltd., model: </w:t>
      </w:r>
      <w:proofErr w:type="spellStart"/>
      <w:r>
        <w:rPr>
          <w:rFonts w:eastAsia="宋体"/>
          <w:shd w:val="clear" w:color="auto" w:fill="FFFFFF"/>
        </w:rPr>
        <w:t>LightCycler</w:t>
      </w:r>
      <w:proofErr w:type="spellEnd"/>
      <w:r>
        <w:rPr>
          <w:rFonts w:eastAsia="宋体"/>
          <w:shd w:val="clear" w:color="auto" w:fill="FFFFFF"/>
        </w:rPr>
        <w:t xml:space="preserve"> 480 II, origin: Basel, Switzerland)</w:t>
      </w:r>
      <w:r>
        <w:rPr>
          <w:rFonts w:eastAsia="宋体"/>
          <w:shd w:val="clear" w:color="auto" w:fill="FFFFFF"/>
          <w:lang w:eastAsia="zh-CN"/>
        </w:rPr>
        <w:t xml:space="preserve">; </w:t>
      </w:r>
      <w:proofErr w:type="spellStart"/>
      <w:r>
        <w:rPr>
          <w:rFonts w:eastAsia="宋体"/>
          <w:shd w:val="clear" w:color="auto" w:fill="FFFFFF"/>
        </w:rPr>
        <w:t>NanoDrop</w:t>
      </w:r>
      <w:proofErr w:type="spellEnd"/>
      <w:r>
        <w:rPr>
          <w:rFonts w:eastAsia="宋体"/>
          <w:shd w:val="clear" w:color="auto" w:fill="FFFFFF"/>
        </w:rPr>
        <w:t xml:space="preserve"> 2000 spectrophotometer (Thermo Fisher Scientific, Inc., model: </w:t>
      </w:r>
      <w:proofErr w:type="spellStart"/>
      <w:r>
        <w:rPr>
          <w:rFonts w:eastAsia="宋体"/>
          <w:shd w:val="clear" w:color="auto" w:fill="FFFFFF"/>
        </w:rPr>
        <w:t>NanoDrop</w:t>
      </w:r>
      <w:proofErr w:type="spellEnd"/>
      <w:r>
        <w:rPr>
          <w:rFonts w:eastAsia="宋体"/>
          <w:shd w:val="clear" w:color="auto" w:fill="FFFFFF"/>
        </w:rPr>
        <w:t xml:space="preserve"> 2000, origin: Wilmington, DE, USA).</w:t>
      </w:r>
    </w:p>
    <w:p w14:paraId="082C69AF" w14:textId="77777777" w:rsidR="004922C8" w:rsidRDefault="00605271">
      <w:pPr>
        <w:pStyle w:val="Text"/>
        <w:ind w:firstLine="420"/>
        <w:rPr>
          <w:rFonts w:eastAsia="宋体"/>
          <w:shd w:val="clear" w:color="auto" w:fill="FFFFFF"/>
        </w:rPr>
      </w:pPr>
      <w:r>
        <w:rPr>
          <w:rFonts w:eastAsia="宋体"/>
          <w:shd w:val="clear" w:color="auto" w:fill="FFFFFF"/>
        </w:rPr>
        <w:t xml:space="preserve">Both the Shanghai </w:t>
      </w:r>
      <w:proofErr w:type="spellStart"/>
      <w:r>
        <w:rPr>
          <w:rFonts w:eastAsia="宋体"/>
          <w:shd w:val="clear" w:color="auto" w:fill="FFFFFF"/>
        </w:rPr>
        <w:t>Wuseshi</w:t>
      </w:r>
      <w:proofErr w:type="spellEnd"/>
      <w:r>
        <w:rPr>
          <w:rFonts w:eastAsia="宋体"/>
          <w:shd w:val="clear" w:color="auto" w:fill="FFFFFF"/>
        </w:rPr>
        <w:t xml:space="preserve"> real-time fluorescence quantitative PCR kit and the Suzhou Tianlong PCR–dissolution curve detection kit </w:t>
      </w:r>
      <w:proofErr w:type="gramStart"/>
      <w:r>
        <w:rPr>
          <w:rFonts w:eastAsia="宋体"/>
          <w:shd w:val="clear" w:color="auto" w:fill="FFFFFF"/>
        </w:rPr>
        <w:t>are</w:t>
      </w:r>
      <w:proofErr w:type="gramEnd"/>
      <w:r>
        <w:rPr>
          <w:rFonts w:eastAsia="宋体"/>
          <w:shd w:val="clear" w:color="auto" w:fill="FFFFFF"/>
        </w:rPr>
        <w:t xml:space="preserve"> commonly used clinical kits approved by the National Medical Products Administration. The former is based on probe technology, whereas the latter adopts the dissolution curve method. The technical principles of the two reagents complement each other and were used to compare performance differences between different detection techniques in clinical screening. Two commercial reagent kits were selected for head-to-head comparison to provide a basis for reagent selection in clinical screening and to avoid potential detection bias associated with the use of a single reagent.</w:t>
      </w:r>
    </w:p>
    <w:p w14:paraId="2ADF1A85" w14:textId="77777777" w:rsidR="004922C8" w:rsidRDefault="00605271">
      <w:pPr>
        <w:pStyle w:val="3"/>
        <w:rPr>
          <w:rFonts w:eastAsia="宋体"/>
          <w:shd w:val="clear" w:color="auto" w:fill="FFFFFF"/>
        </w:rPr>
      </w:pPr>
      <w:r>
        <w:rPr>
          <w:rFonts w:eastAsia="宋体"/>
          <w:shd w:val="clear" w:color="auto" w:fill="FFFFFF"/>
        </w:rPr>
        <w:t>2.2.2 Sample Collection and DNA Extraction</w:t>
      </w:r>
    </w:p>
    <w:p w14:paraId="15150FBB" w14:textId="77777777" w:rsidR="004922C8" w:rsidRDefault="00605271">
      <w:pPr>
        <w:pStyle w:val="Text"/>
        <w:ind w:firstLine="420"/>
        <w:rPr>
          <w:rFonts w:eastAsia="宋体"/>
          <w:shd w:val="clear" w:color="auto" w:fill="FFFFFF"/>
        </w:rPr>
      </w:pPr>
      <w:r>
        <w:rPr>
          <w:rFonts w:eastAsia="宋体"/>
          <w:shd w:val="clear" w:color="auto" w:fill="FFFFFF"/>
        </w:rPr>
        <w:t>Peripheral venous blood (5 mL) was collected from pregnant women at 6 to 14 weeks using EDTA anticoagulant tubes. For individuals with initial positive results, 5 mL of peripheral venous blood was simultaneously collected from their spouses. For high-risk pregnant women in whom both partners were carriers, 10 mL of amniotic fluid was collected by amniocentesis at 16–22 weeks of gestation, or 5 mg of chorionic villus tissue was obtained by chorionic villus sampling at 10–14 weeks of gestation. Genomic DNA was extracted using a magnetic bead–based DNA extraction kit (</w:t>
      </w:r>
      <w:proofErr w:type="spellStart"/>
      <w:r>
        <w:rPr>
          <w:rFonts w:eastAsia="宋体"/>
          <w:shd w:val="clear" w:color="auto" w:fill="FFFFFF"/>
        </w:rPr>
        <w:t>Tiangen</w:t>
      </w:r>
      <w:proofErr w:type="spellEnd"/>
      <w:r>
        <w:rPr>
          <w:rFonts w:eastAsia="宋体"/>
          <w:shd w:val="clear" w:color="auto" w:fill="FFFFFF"/>
        </w:rPr>
        <w:t xml:space="preserve"> Biotech Co., Ltd., Beijing). DNA concentration (≥50 ng/</w:t>
      </w:r>
      <w:proofErr w:type="spellStart"/>
      <w:r>
        <w:rPr>
          <w:rFonts w:eastAsia="宋体"/>
          <w:shd w:val="clear" w:color="auto" w:fill="FFFFFF"/>
        </w:rPr>
        <w:t>μL</w:t>
      </w:r>
      <w:proofErr w:type="spellEnd"/>
      <w:r>
        <w:rPr>
          <w:rFonts w:eastAsia="宋体"/>
          <w:shd w:val="clear" w:color="auto" w:fill="FFFFFF"/>
        </w:rPr>
        <w:t xml:space="preserve">) and purity (A260/A280 = 1.8–2.0) were assessed using a </w:t>
      </w:r>
      <w:proofErr w:type="spellStart"/>
      <w:r>
        <w:rPr>
          <w:rFonts w:eastAsia="宋体"/>
          <w:shd w:val="clear" w:color="auto" w:fill="FFFFFF"/>
        </w:rPr>
        <w:t>NanoDrop</w:t>
      </w:r>
      <w:proofErr w:type="spellEnd"/>
      <w:r>
        <w:rPr>
          <w:rFonts w:eastAsia="宋体"/>
          <w:shd w:val="clear" w:color="auto" w:fill="FFFFFF"/>
        </w:rPr>
        <w:t xml:space="preserve"> 2000 spectrophotometer, and qualified samples were stored at −20 °C for subsequent use.</w:t>
      </w:r>
    </w:p>
    <w:p w14:paraId="640924C4" w14:textId="77777777" w:rsidR="004922C8" w:rsidRDefault="00605271">
      <w:pPr>
        <w:pStyle w:val="3"/>
        <w:rPr>
          <w:rFonts w:eastAsia="宋体"/>
          <w:shd w:val="clear" w:color="auto" w:fill="FFFFFF"/>
        </w:rPr>
      </w:pPr>
      <w:r>
        <w:rPr>
          <w:rFonts w:eastAsia="宋体"/>
          <w:shd w:val="clear" w:color="auto" w:fill="FFFFFF"/>
        </w:rPr>
        <w:lastRenderedPageBreak/>
        <w:t xml:space="preserve">2.2.3 </w:t>
      </w:r>
      <w:proofErr w:type="spellStart"/>
      <w:r>
        <w:rPr>
          <w:rFonts w:eastAsia="宋体"/>
          <w:shd w:val="clear" w:color="auto" w:fill="FFFFFF"/>
        </w:rPr>
        <w:t>lnitial</w:t>
      </w:r>
      <w:proofErr w:type="spellEnd"/>
      <w:r>
        <w:rPr>
          <w:rFonts w:eastAsia="宋体"/>
          <w:shd w:val="clear" w:color="auto" w:fill="FFFFFF"/>
        </w:rPr>
        <w:t xml:space="preserve"> Screening of </w:t>
      </w:r>
      <w:r>
        <w:rPr>
          <w:rFonts w:eastAsia="宋体"/>
          <w:iCs/>
          <w:shd w:val="clear" w:color="auto" w:fill="FFFFFF"/>
        </w:rPr>
        <w:t>SMN1</w:t>
      </w:r>
      <w:r>
        <w:rPr>
          <w:rFonts w:eastAsia="宋体"/>
          <w:shd w:val="clear" w:color="auto" w:fill="FFFFFF"/>
        </w:rPr>
        <w:t xml:space="preserve"> Gene</w:t>
      </w:r>
    </w:p>
    <w:p w14:paraId="661ABF77" w14:textId="77777777" w:rsidR="004922C8" w:rsidRDefault="00605271">
      <w:pPr>
        <w:pStyle w:val="Text"/>
        <w:ind w:firstLine="420"/>
        <w:rPr>
          <w:rFonts w:eastAsia="宋体"/>
          <w:shd w:val="clear" w:color="auto" w:fill="FFFFFF"/>
        </w:rPr>
      </w:pPr>
      <w:r>
        <w:rPr>
          <w:rFonts w:eastAsia="宋体"/>
          <w:shd w:val="clear" w:color="auto" w:fill="FFFFFF"/>
        </w:rPr>
        <w:t xml:space="preserve">Real-time fluorescence quantitative PCR was used to detect the copy numbers of </w:t>
      </w:r>
      <w:r>
        <w:rPr>
          <w:rFonts w:eastAsia="宋体"/>
          <w:i/>
          <w:iCs/>
          <w:shd w:val="clear" w:color="auto" w:fill="FFFFFF"/>
        </w:rPr>
        <w:t>SMN1</w:t>
      </w:r>
      <w:r>
        <w:rPr>
          <w:rFonts w:eastAsia="宋体"/>
          <w:shd w:val="clear" w:color="auto" w:fill="FFFFFF"/>
        </w:rPr>
        <w:t xml:space="preserve"> gene E7 and E8. The primer sequences for </w:t>
      </w:r>
      <w:r>
        <w:rPr>
          <w:rFonts w:eastAsia="宋体"/>
          <w:i/>
          <w:iCs/>
          <w:shd w:val="clear" w:color="auto" w:fill="FFFFFF"/>
        </w:rPr>
        <w:t>SMN1</w:t>
      </w:r>
      <w:r>
        <w:rPr>
          <w:rFonts w:eastAsia="宋体"/>
          <w:shd w:val="clear" w:color="auto" w:fill="FFFFFF"/>
        </w:rPr>
        <w:t xml:space="preserve"> gene E7 and E8 were as follows: E7 upstream, 5′-TGGCTGCTGTTGCTGTTCTTC-3′; downstream, 5′-CCTGCTGCTCTTCTTCTTCTC-3′; E8 upstream, 5′-GAGCTTCAACTGCATTTGGCT-3′; downstream, 5′-TTGAAAGGCACTCCGGACC-3′. The reaction system (20 </w:t>
      </w:r>
      <w:proofErr w:type="spellStart"/>
      <w:r>
        <w:rPr>
          <w:rFonts w:eastAsia="宋体"/>
          <w:shd w:val="clear" w:color="auto" w:fill="FFFFFF"/>
        </w:rPr>
        <w:t>μL</w:t>
      </w:r>
      <w:proofErr w:type="spellEnd"/>
      <w:r>
        <w:rPr>
          <w:rFonts w:eastAsia="宋体"/>
          <w:shd w:val="clear" w:color="auto" w:fill="FFFFFF"/>
        </w:rPr>
        <w:t xml:space="preserve">) included 10 </w:t>
      </w:r>
      <w:proofErr w:type="spellStart"/>
      <w:r>
        <w:rPr>
          <w:rFonts w:eastAsia="宋体"/>
          <w:shd w:val="clear" w:color="auto" w:fill="FFFFFF"/>
        </w:rPr>
        <w:t>μL</w:t>
      </w:r>
      <w:proofErr w:type="spellEnd"/>
      <w:r>
        <w:rPr>
          <w:rFonts w:eastAsia="宋体"/>
          <w:shd w:val="clear" w:color="auto" w:fill="FFFFFF"/>
        </w:rPr>
        <w:t xml:space="preserve"> of 2× PCR Master Mix, 0.5 </w:t>
      </w:r>
      <w:proofErr w:type="spellStart"/>
      <w:r>
        <w:rPr>
          <w:rFonts w:eastAsia="宋体"/>
          <w:shd w:val="clear" w:color="auto" w:fill="FFFFFF"/>
        </w:rPr>
        <w:t>μL</w:t>
      </w:r>
      <w:proofErr w:type="spellEnd"/>
      <w:r>
        <w:rPr>
          <w:rFonts w:eastAsia="宋体"/>
          <w:shd w:val="clear" w:color="auto" w:fill="FFFFFF"/>
        </w:rPr>
        <w:t xml:space="preserve"> of each upstream and downstream primer, 0.3 </w:t>
      </w:r>
      <w:proofErr w:type="spellStart"/>
      <w:r>
        <w:rPr>
          <w:rFonts w:eastAsia="宋体"/>
          <w:shd w:val="clear" w:color="auto" w:fill="FFFFFF"/>
        </w:rPr>
        <w:t>μL</w:t>
      </w:r>
      <w:proofErr w:type="spellEnd"/>
      <w:r>
        <w:rPr>
          <w:rFonts w:eastAsia="宋体"/>
          <w:shd w:val="clear" w:color="auto" w:fill="FFFFFF"/>
        </w:rPr>
        <w:t xml:space="preserve"> of probe, 2 </w:t>
      </w:r>
      <w:proofErr w:type="spellStart"/>
      <w:r>
        <w:rPr>
          <w:rFonts w:eastAsia="宋体"/>
          <w:shd w:val="clear" w:color="auto" w:fill="FFFFFF"/>
        </w:rPr>
        <w:t>μL</w:t>
      </w:r>
      <w:proofErr w:type="spellEnd"/>
      <w:r>
        <w:rPr>
          <w:rFonts w:eastAsia="宋体"/>
          <w:shd w:val="clear" w:color="auto" w:fill="FFFFFF"/>
        </w:rPr>
        <w:t xml:space="preserve"> of DNA template, and 6.7 </w:t>
      </w:r>
      <w:proofErr w:type="spellStart"/>
      <w:r>
        <w:rPr>
          <w:rFonts w:eastAsia="宋体"/>
          <w:shd w:val="clear" w:color="auto" w:fill="FFFFFF"/>
        </w:rPr>
        <w:t>μL</w:t>
      </w:r>
      <w:proofErr w:type="spellEnd"/>
      <w:r>
        <w:rPr>
          <w:rFonts w:eastAsia="宋体"/>
          <w:shd w:val="clear" w:color="auto" w:fill="FFFFFF"/>
        </w:rPr>
        <w:t xml:space="preserve"> of nuclease-free water. The reaction conditions were as follows: pre-denaturation at 95 °C for 10 min, followed by 40 cycles of denaturation at 95 °C for 15 s and annealing/extension at 60 °C for 60 s. Human ribosomal protein P0 (RPP40) was used as an internal reference, and the </w:t>
      </w:r>
      <w:r>
        <w:rPr>
          <w:rFonts w:eastAsia="宋体"/>
          <w:i/>
          <w:iCs/>
          <w:shd w:val="clear" w:color="auto" w:fill="FFFFFF"/>
        </w:rPr>
        <w:t>SMN1</w:t>
      </w:r>
      <w:r>
        <w:rPr>
          <w:rFonts w:eastAsia="宋体"/>
          <w:shd w:val="clear" w:color="auto" w:fill="FFFFFF"/>
        </w:rPr>
        <w:t xml:space="preserve"> gene copy number was calculated based on the cycle threshold (Ct) value.</w:t>
      </w:r>
    </w:p>
    <w:p w14:paraId="2B302CF8" w14:textId="77777777" w:rsidR="004922C8" w:rsidRDefault="00605271">
      <w:pPr>
        <w:pStyle w:val="3"/>
        <w:rPr>
          <w:rFonts w:eastAsia="宋体"/>
          <w:shd w:val="clear" w:color="auto" w:fill="FFFFFF"/>
        </w:rPr>
      </w:pPr>
      <w:r>
        <w:rPr>
          <w:rFonts w:eastAsia="宋体"/>
          <w:shd w:val="clear" w:color="auto" w:fill="FFFFFF"/>
        </w:rPr>
        <w:t>2.2.4 Recheck and Validation of Positive Samples</w:t>
      </w:r>
    </w:p>
    <w:p w14:paraId="361685C1" w14:textId="77777777" w:rsidR="004922C8" w:rsidRDefault="00605271">
      <w:pPr>
        <w:pStyle w:val="Text"/>
        <w:ind w:firstLine="420"/>
        <w:rPr>
          <w:rFonts w:eastAsia="宋体"/>
          <w:shd w:val="clear" w:color="auto" w:fill="FFFFFF"/>
          <w:lang w:eastAsia="zh-CN"/>
        </w:rPr>
      </w:pPr>
      <w:r>
        <w:rPr>
          <w:rFonts w:eastAsia="宋体"/>
          <w:shd w:val="clear" w:color="auto" w:fill="FFFFFF"/>
        </w:rPr>
        <w:t xml:space="preserve">Samples from 884 pregnant women who were initially screened as positive using the five-color assay were selected for re-examination with the Tianlong reagent. Specific primers were used to amplify the E7 and E8 regions of the </w:t>
      </w:r>
      <w:r>
        <w:rPr>
          <w:rFonts w:eastAsia="宋体"/>
          <w:i/>
          <w:iCs/>
          <w:shd w:val="clear" w:color="auto" w:fill="FFFFFF"/>
        </w:rPr>
        <w:t>SMN1</w:t>
      </w:r>
      <w:r>
        <w:rPr>
          <w:rFonts w:eastAsia="宋体"/>
          <w:shd w:val="clear" w:color="auto" w:fill="FFFFFF"/>
        </w:rPr>
        <w:t xml:space="preserve"> gene, and melting curves were generated to determine copy number status based on differences in melting temperature, thereby excluding false-positive results.</w:t>
      </w:r>
    </w:p>
    <w:p w14:paraId="00A652DE" w14:textId="11D90FFC" w:rsidR="004922C8" w:rsidRDefault="00605271">
      <w:pPr>
        <w:pStyle w:val="Text"/>
        <w:ind w:firstLine="420"/>
        <w:rPr>
          <w:rFonts w:eastAsia="宋体"/>
          <w:shd w:val="clear" w:color="auto" w:fill="FFFFFF"/>
        </w:rPr>
      </w:pPr>
      <w:r>
        <w:rPr>
          <w:rFonts w:eastAsia="宋体"/>
          <w:shd w:val="clear" w:color="auto" w:fill="FFFFFF"/>
        </w:rPr>
        <w:t xml:space="preserve">Third-generation sequencing validation: Third-generation sequencing was performed in 248 initially positive individuals (including four couples in which both partners were carriers) and their family members, covering the full-length </w:t>
      </w:r>
      <w:r>
        <w:rPr>
          <w:rFonts w:eastAsia="宋体"/>
          <w:i/>
          <w:iCs/>
          <w:shd w:val="clear" w:color="auto" w:fill="FFFFFF"/>
        </w:rPr>
        <w:t>SMN1</w:t>
      </w:r>
      <w:r>
        <w:rPr>
          <w:rFonts w:eastAsia="宋体"/>
          <w:shd w:val="clear" w:color="auto" w:fill="FFFFFF"/>
        </w:rPr>
        <w:t xml:space="preserve"> gene and flanking regions to exclude point mutations, insertions/deletions, and other mutation types. The sequencing depth was ≥30×, Q30 was ≥90%, and reads with duplicate sequences or alignment quality &lt;20 were filtered out. An </w:t>
      </w:r>
      <w:r>
        <w:rPr>
          <w:rFonts w:eastAsia="宋体"/>
          <w:i/>
          <w:iCs/>
          <w:shd w:val="clear" w:color="auto" w:fill="FFFFFF"/>
        </w:rPr>
        <w:t>SMN1</w:t>
      </w:r>
      <w:r>
        <w:rPr>
          <w:rFonts w:eastAsia="宋体"/>
          <w:shd w:val="clear" w:color="auto" w:fill="FFFFFF"/>
        </w:rPr>
        <w:t>/</w:t>
      </w:r>
      <w:r>
        <w:rPr>
          <w:rFonts w:eastAsia="宋体"/>
          <w:i/>
          <w:iCs/>
          <w:shd w:val="clear" w:color="auto" w:fill="FFFFFF"/>
        </w:rPr>
        <w:t>SMN2</w:t>
      </w:r>
      <w:r>
        <w:rPr>
          <w:rFonts w:eastAsia="宋体"/>
          <w:shd w:val="clear" w:color="auto" w:fill="FFFFFF"/>
        </w:rPr>
        <w:t>-specific bioinformatics analysis workflow was used to distinguish the copy numbers of homologous genes.</w:t>
      </w:r>
    </w:p>
    <w:p w14:paraId="07C5BB16" w14:textId="77777777" w:rsidR="004922C8" w:rsidRDefault="00605271">
      <w:pPr>
        <w:pStyle w:val="3"/>
        <w:rPr>
          <w:rFonts w:eastAsia="宋体"/>
          <w:shd w:val="clear" w:color="auto" w:fill="FFFFFF"/>
        </w:rPr>
      </w:pPr>
      <w:r>
        <w:rPr>
          <w:rFonts w:eastAsia="宋体"/>
          <w:shd w:val="clear" w:color="auto" w:fill="FFFFFF"/>
        </w:rPr>
        <w:t>2.2.5 Prenatal Diagnosis of High-Risk Fetuses</w:t>
      </w:r>
    </w:p>
    <w:p w14:paraId="6870C1C7" w14:textId="77777777" w:rsidR="004922C8" w:rsidRDefault="00605271">
      <w:pPr>
        <w:pStyle w:val="Text"/>
        <w:ind w:firstLine="420"/>
        <w:rPr>
          <w:rFonts w:eastAsia="宋体"/>
          <w:shd w:val="clear" w:color="auto" w:fill="FFFFFF"/>
        </w:rPr>
      </w:pPr>
      <w:r>
        <w:rPr>
          <w:rFonts w:eastAsia="宋体"/>
          <w:shd w:val="clear" w:color="auto" w:fill="FFFFFF"/>
        </w:rPr>
        <w:t xml:space="preserve">The P021-C2 kit was used, covering </w:t>
      </w:r>
      <w:r>
        <w:rPr>
          <w:rFonts w:eastAsia="宋体"/>
          <w:i/>
          <w:iCs/>
          <w:shd w:val="clear" w:color="auto" w:fill="FFFFFF"/>
        </w:rPr>
        <w:t>SMN</w:t>
      </w:r>
      <w:r>
        <w:rPr>
          <w:rFonts w:eastAsia="宋体"/>
          <w:shd w:val="clear" w:color="auto" w:fill="FFFFFF"/>
        </w:rPr>
        <w:t>1/</w:t>
      </w:r>
      <w:r>
        <w:rPr>
          <w:rFonts w:eastAsia="宋体"/>
          <w:i/>
          <w:iCs/>
          <w:shd w:val="clear" w:color="auto" w:fill="FFFFFF"/>
        </w:rPr>
        <w:t>SMN2</w:t>
      </w:r>
      <w:r>
        <w:rPr>
          <w:rFonts w:eastAsia="宋体"/>
          <w:shd w:val="clear" w:color="auto" w:fill="FFFFFF"/>
        </w:rPr>
        <w:t xml:space="preserve"> genes E1-E9 and flanking</w:t>
      </w:r>
      <w:r w:rsidRPr="00A31907">
        <w:rPr>
          <w:rFonts w:eastAsia="宋体"/>
          <w:shd w:val="clear" w:color="auto" w:fill="FFFFFF"/>
        </w:rPr>
        <w:t>.</w:t>
      </w:r>
      <w:r>
        <w:rPr>
          <w:rFonts w:eastAsia="宋体"/>
          <w:shd w:val="clear" w:color="auto" w:fill="FFFFFF"/>
        </w:rPr>
        <w:t xml:space="preserve"> The quantitative thresholds for copy number were as follows: </w:t>
      </w:r>
      <w:r>
        <w:rPr>
          <w:rFonts w:ascii="宋体" w:eastAsia="宋体" w:hAnsi="宋体" w:cs="宋体" w:hint="eastAsia"/>
          <w:shd w:val="clear" w:color="auto" w:fill="FFFFFF"/>
        </w:rPr>
        <w:t>①</w:t>
      </w:r>
      <w:r>
        <w:rPr>
          <w:rFonts w:eastAsia="宋体"/>
          <w:shd w:val="clear" w:color="auto" w:fill="FFFFFF"/>
        </w:rPr>
        <w:t xml:space="preserve"> E7-related pathogenic deletion (E7 homozygous deletion or E7+E8 homozygous deletion); </w:t>
      </w:r>
      <w:r>
        <w:rPr>
          <w:rFonts w:ascii="宋体" w:eastAsia="宋体" w:hAnsi="宋体" w:cs="宋体" w:hint="eastAsia"/>
          <w:shd w:val="clear" w:color="auto" w:fill="FFFFFF"/>
        </w:rPr>
        <w:t>②</w:t>
      </w:r>
      <w:r>
        <w:rPr>
          <w:rFonts w:eastAsia="宋体"/>
          <w:shd w:val="clear" w:color="auto" w:fill="FFFFFF"/>
        </w:rPr>
        <w:t xml:space="preserve"> isolated E8 deletion or unclear clinical significance (E8 homozygous deletion without E7 deletion); and </w:t>
      </w:r>
      <w:r>
        <w:rPr>
          <w:rFonts w:ascii="宋体" w:eastAsia="宋体" w:hAnsi="宋体" w:cs="宋体" w:hint="eastAsia"/>
          <w:shd w:val="clear" w:color="auto" w:fill="FFFFFF"/>
        </w:rPr>
        <w:t>③</w:t>
      </w:r>
      <w:r>
        <w:rPr>
          <w:rFonts w:eastAsia="宋体"/>
          <w:shd w:val="clear" w:color="auto" w:fill="FFFFFF"/>
        </w:rPr>
        <w:t xml:space="preserve"> no deletion (copy number = 2). For high-risk pregnant women in whom both partners resulted heterozygous for </w:t>
      </w:r>
      <w:r>
        <w:rPr>
          <w:rFonts w:eastAsia="宋体"/>
          <w:i/>
          <w:iCs/>
          <w:shd w:val="clear" w:color="auto" w:fill="FFFFFF"/>
        </w:rPr>
        <w:t>SMN</w:t>
      </w:r>
      <w:r>
        <w:rPr>
          <w:rFonts w:eastAsia="宋体"/>
          <w:shd w:val="clear" w:color="auto" w:fill="FFFFFF"/>
        </w:rPr>
        <w:t xml:space="preserve">1 gene deletion, prenatal diagnosis was performed using MLPA. The MLPA reaction system was established according to the kit instructions, and following denaturation, hybridization, ligation, and amplification, capillary electrophoresis was used to analyze the fragment lengths of the products, clarify the copy numbers and mutation types of </w:t>
      </w:r>
      <w:r>
        <w:rPr>
          <w:rFonts w:eastAsia="宋体"/>
          <w:i/>
          <w:iCs/>
          <w:shd w:val="clear" w:color="auto" w:fill="FFFFFF"/>
        </w:rPr>
        <w:t>SMN</w:t>
      </w:r>
      <w:r>
        <w:rPr>
          <w:rFonts w:eastAsia="宋体"/>
          <w:shd w:val="clear" w:color="auto" w:fill="FFFFFF"/>
        </w:rPr>
        <w:t>1 gene E7 and E8 in the fetus, and determine whether the fetus was affected by SMA.</w:t>
      </w:r>
    </w:p>
    <w:p w14:paraId="48C6CF5A" w14:textId="77777777" w:rsidR="004922C8" w:rsidRDefault="00605271">
      <w:pPr>
        <w:pStyle w:val="2"/>
        <w:rPr>
          <w:rFonts w:eastAsia="宋体"/>
          <w:shd w:val="clear" w:color="auto" w:fill="FFFFFF"/>
        </w:rPr>
      </w:pPr>
      <w:r>
        <w:rPr>
          <w:rFonts w:eastAsia="宋体"/>
          <w:shd w:val="clear" w:color="auto" w:fill="FFFFFF"/>
        </w:rPr>
        <w:t>2.3 Follow-Up</w:t>
      </w:r>
    </w:p>
    <w:p w14:paraId="3798E77F" w14:textId="77777777" w:rsidR="004922C8" w:rsidRDefault="00605271">
      <w:pPr>
        <w:pStyle w:val="Text"/>
        <w:ind w:firstLine="420"/>
        <w:rPr>
          <w:rFonts w:eastAsia="宋体"/>
          <w:shd w:val="clear" w:color="auto" w:fill="FFFFFF"/>
        </w:rPr>
      </w:pPr>
      <w:r>
        <w:rPr>
          <w:rFonts w:eastAsia="宋体"/>
          <w:shd w:val="clear" w:color="auto" w:fill="FFFFFF"/>
        </w:rPr>
        <w:t>All screened individuals were followed up until delivery, and pregnancy outcomes were recorded. High-risk fetuses and newborns were followed up until 6 months of age. The Alberta Infant Motor Scale (AIMS)</w:t>
      </w:r>
      <w:r>
        <w:rPr>
          <w:rFonts w:eastAsia="宋体"/>
          <w:smallCaps/>
          <w:shd w:val="clear" w:color="auto" w:fill="FFFFFF"/>
        </w:rPr>
        <w:t xml:space="preserve"> </w:t>
      </w:r>
      <w:r>
        <w:rPr>
          <w:rFonts w:eastAsia="宋体"/>
          <w:iCs/>
          <w:smallCaps/>
          <w:shd w:val="clear" w:color="auto" w:fill="FFFFFF"/>
        </w:rPr>
        <w:t>[</w:t>
      </w:r>
      <w:r>
        <w:rPr>
          <w:rFonts w:eastAsia="宋体"/>
          <w:shd w:val="clear" w:color="auto" w:fill="FFFFFF"/>
        </w:rPr>
        <w:t xml:space="preserve">9] was used to assess motor function, and electromyography and </w:t>
      </w:r>
      <w:r>
        <w:rPr>
          <w:rFonts w:eastAsia="宋体"/>
          <w:i/>
          <w:iCs/>
          <w:shd w:val="clear" w:color="auto" w:fill="FFFFFF"/>
        </w:rPr>
        <w:t>SMN2</w:t>
      </w:r>
      <w:r>
        <w:rPr>
          <w:rFonts w:eastAsia="宋体"/>
          <w:shd w:val="clear" w:color="auto" w:fill="FFFFFF"/>
        </w:rPr>
        <w:t xml:space="preserve"> copy number detection were performed in carrier newborns. Adverse events, including respiratory tract infections and feeding difficulties, were recorded during follow-up.</w:t>
      </w:r>
    </w:p>
    <w:p w14:paraId="7FF5BA17" w14:textId="77777777" w:rsidR="004922C8" w:rsidRDefault="00605271">
      <w:pPr>
        <w:pStyle w:val="2"/>
        <w:rPr>
          <w:rFonts w:eastAsia="宋体"/>
          <w:shd w:val="clear" w:color="auto" w:fill="FFFFFF"/>
        </w:rPr>
      </w:pPr>
      <w:r>
        <w:rPr>
          <w:rFonts w:eastAsia="宋体"/>
          <w:shd w:val="clear" w:color="auto" w:fill="FFFFFF"/>
        </w:rPr>
        <w:lastRenderedPageBreak/>
        <w:t>2.4 Statistical Analysis</w:t>
      </w:r>
    </w:p>
    <w:p w14:paraId="095CD2DF" w14:textId="77777777" w:rsidR="004922C8" w:rsidRDefault="00605271">
      <w:pPr>
        <w:pStyle w:val="Text"/>
        <w:ind w:firstLine="420"/>
        <w:rPr>
          <w:rFonts w:eastAsia="宋体"/>
          <w:shd w:val="clear" w:color="auto" w:fill="FFFFFF"/>
        </w:rPr>
      </w:pPr>
      <w:r w:rsidRPr="00122285">
        <w:rPr>
          <w:rFonts w:eastAsia="宋体"/>
          <w:shd w:val="clear" w:color="auto" w:fill="FFFFFF"/>
        </w:rPr>
        <w:t>SPSS 26.0 software</w:t>
      </w:r>
      <w:r>
        <w:rPr>
          <w:rFonts w:eastAsia="宋体"/>
          <w:shd w:val="clear" w:color="auto" w:fill="FFFFFF"/>
        </w:rPr>
        <w:t xml:space="preserve"> was used for statistical analysis. Count data were expressed as cases (%), and intergroup comparisons were performed using the χ</w:t>
      </w:r>
      <w:r>
        <w:rPr>
          <w:rFonts w:eastAsia="宋体"/>
          <w:shd w:val="clear" w:color="auto" w:fill="FFFFFF"/>
          <w:vertAlign w:val="superscript"/>
        </w:rPr>
        <w:t>2</w:t>
      </w:r>
      <w:r>
        <w:rPr>
          <w:rFonts w:eastAsia="宋体"/>
          <w:shd w:val="clear" w:color="auto" w:fill="FFFFFF"/>
        </w:rPr>
        <w:t xml:space="preserve"> test. Using MLPA results as the gold standard, all initially screened positive samples were verified. Meanwhile, 10% of the initially screened negative samples were randomly selected for MLPA verification to avoid verification bias. Sensitivity was calculated as true positives /</w:t>
      </w:r>
      <w:r>
        <w:rPr>
          <w:rFonts w:eastAsia="宋体"/>
          <w:shd w:val="clear" w:color="auto" w:fill="FFFFFF"/>
          <w:lang w:eastAsia="zh-CN"/>
        </w:rPr>
        <w:t xml:space="preserve"> </w:t>
      </w:r>
      <w:r>
        <w:rPr>
          <w:rFonts w:eastAsia="宋体"/>
          <w:shd w:val="clear" w:color="auto" w:fill="FFFFFF"/>
        </w:rPr>
        <w:t>(true positives + false negatives) × 100%, specificity as true negatives /</w:t>
      </w:r>
      <w:r>
        <w:rPr>
          <w:rFonts w:eastAsia="宋体"/>
          <w:shd w:val="clear" w:color="auto" w:fill="FFFFFF"/>
          <w:lang w:eastAsia="zh-CN"/>
        </w:rPr>
        <w:t xml:space="preserve"> </w:t>
      </w:r>
      <w:r>
        <w:rPr>
          <w:rFonts w:eastAsia="宋体"/>
          <w:shd w:val="clear" w:color="auto" w:fill="FFFFFF"/>
        </w:rPr>
        <w:t>(true negatives + false positives) × 100%, positive predictive value (PPV) as true positives /</w:t>
      </w:r>
      <w:r>
        <w:rPr>
          <w:rFonts w:eastAsia="宋体"/>
          <w:shd w:val="clear" w:color="auto" w:fill="FFFFFF"/>
          <w:lang w:eastAsia="zh-CN"/>
        </w:rPr>
        <w:t xml:space="preserve"> </w:t>
      </w:r>
      <w:r>
        <w:rPr>
          <w:rFonts w:eastAsia="宋体"/>
          <w:shd w:val="clear" w:color="auto" w:fill="FFFFFF"/>
        </w:rPr>
        <w:t>(true positives + false positives) × 100%, and negative predictive value (NPV) as true negatives /</w:t>
      </w:r>
      <w:r>
        <w:rPr>
          <w:rFonts w:eastAsia="宋体"/>
          <w:shd w:val="clear" w:color="auto" w:fill="FFFFFF"/>
          <w:lang w:eastAsia="zh-CN"/>
        </w:rPr>
        <w:t xml:space="preserve"> </w:t>
      </w:r>
      <w:r>
        <w:rPr>
          <w:rFonts w:eastAsia="宋体"/>
          <w:shd w:val="clear" w:color="auto" w:fill="FFFFFF"/>
        </w:rPr>
        <w:t xml:space="preserve">(true negatives + false negatives) × 100%. The 95% confidence interval (CI) was calculated using the normal approximation method, and </w:t>
      </w:r>
      <w:r>
        <w:rPr>
          <w:i/>
          <w:iCs/>
          <w:shd w:val="clear" w:color="auto" w:fill="FFFFFF"/>
        </w:rPr>
        <w:t>p</w:t>
      </w:r>
      <w:r>
        <w:rPr>
          <w:rFonts w:eastAsia="宋体"/>
          <w:shd w:val="clear" w:color="auto" w:fill="FFFFFF"/>
        </w:rPr>
        <w:t xml:space="preserve"> &lt; 0.05 was considered statistically significant.</w:t>
      </w:r>
    </w:p>
    <w:p w14:paraId="49125920" w14:textId="77777777" w:rsidR="004922C8" w:rsidRDefault="00605271">
      <w:pPr>
        <w:pStyle w:val="1"/>
        <w:rPr>
          <w:rFonts w:eastAsia="宋体"/>
          <w:shd w:val="clear" w:color="auto" w:fill="FFFFFF"/>
        </w:rPr>
      </w:pPr>
      <w:r>
        <w:rPr>
          <w:rFonts w:eastAsia="宋体"/>
          <w:shd w:val="clear" w:color="auto" w:fill="FFFFFF"/>
        </w:rPr>
        <w:t>3. Results</w:t>
      </w:r>
    </w:p>
    <w:p w14:paraId="5FF20F98" w14:textId="77777777" w:rsidR="004922C8" w:rsidRDefault="00605271">
      <w:pPr>
        <w:pStyle w:val="2"/>
        <w:rPr>
          <w:rFonts w:eastAsia="宋体"/>
          <w:shd w:val="clear" w:color="auto" w:fill="FFFFFF"/>
        </w:rPr>
      </w:pPr>
      <w:r>
        <w:rPr>
          <w:rFonts w:eastAsia="宋体"/>
          <w:shd w:val="clear" w:color="auto" w:fill="FFFFFF"/>
        </w:rPr>
        <w:t>3.1 Standardized Flowchart</w:t>
      </w:r>
    </w:p>
    <w:p w14:paraId="644D146E" w14:textId="77777777" w:rsidR="004922C8" w:rsidRDefault="00605271">
      <w:pPr>
        <w:pStyle w:val="Text"/>
        <w:ind w:firstLine="420"/>
        <w:rPr>
          <w:rFonts w:eastAsia="宋体"/>
          <w:shd w:val="clear" w:color="auto" w:fill="FFFFFF"/>
        </w:rPr>
      </w:pPr>
      <w:r>
        <w:rPr>
          <w:rFonts w:eastAsia="宋体"/>
          <w:shd w:val="clear" w:color="auto" w:fill="FFFFFF"/>
        </w:rPr>
        <w:t>Fig. 1 shows the study standardized flowchart.</w:t>
      </w:r>
    </w:p>
    <w:p w14:paraId="3ADAF48D" w14:textId="77777777" w:rsidR="004922C8" w:rsidRDefault="004922C8">
      <w:pPr>
        <w:pStyle w:val="Text"/>
        <w:ind w:firstLine="422"/>
        <w:rPr>
          <w:rFonts w:eastAsia="宋体"/>
          <w:b/>
          <w:bCs/>
          <w:shd w:val="clear" w:color="auto" w:fill="FFFFFF"/>
        </w:rPr>
      </w:pPr>
    </w:p>
    <w:p w14:paraId="7C15B479" w14:textId="77777777" w:rsidR="004922C8" w:rsidRDefault="00605271">
      <w:pPr>
        <w:pStyle w:val="Figure"/>
      </w:pPr>
      <w:r>
        <w:rPr>
          <w:noProof/>
        </w:rPr>
        <w:drawing>
          <wp:inline distT="0" distB="0" distL="114300" distR="114300" wp14:anchorId="2BDE9861" wp14:editId="158884AD">
            <wp:extent cx="5575935" cy="3220720"/>
            <wp:effectExtent l="0" t="0" r="5715" b="17780"/>
            <wp:docPr id="8" name="图片 8" descr="9ec856c19cf6dc1e757fe2de9fcbc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ec856c19cf6dc1e757fe2de9fcbc7ba"/>
                    <pic:cNvPicPr>
                      <a:picLocks noChangeAspect="1"/>
                    </pic:cNvPicPr>
                  </pic:nvPicPr>
                  <pic:blipFill>
                    <a:blip r:embed="rId8"/>
                    <a:stretch>
                      <a:fillRect/>
                    </a:stretch>
                  </pic:blipFill>
                  <pic:spPr>
                    <a:xfrm>
                      <a:off x="0" y="0"/>
                      <a:ext cx="5575935" cy="3220720"/>
                    </a:xfrm>
                    <a:prstGeom prst="rect">
                      <a:avLst/>
                    </a:prstGeom>
                  </pic:spPr>
                </pic:pic>
              </a:graphicData>
            </a:graphic>
          </wp:inline>
        </w:drawing>
      </w:r>
    </w:p>
    <w:p w14:paraId="5034E90E" w14:textId="0934BA36" w:rsidR="004922C8" w:rsidRDefault="00605271">
      <w:pPr>
        <w:pStyle w:val="Figurecaption"/>
        <w:rPr>
          <w:rFonts w:eastAsia="宋体"/>
          <w:b/>
          <w:shd w:val="clear" w:color="auto" w:fill="FFFFFF"/>
        </w:rPr>
      </w:pPr>
      <w:r w:rsidRPr="00122285">
        <w:rPr>
          <w:b/>
          <w:shd w:val="clear" w:color="auto" w:fill="FFFFFF"/>
        </w:rPr>
        <w:t>Fig. 1</w:t>
      </w:r>
      <w:r w:rsidRPr="00122285">
        <w:rPr>
          <w:rFonts w:eastAsia="宋体"/>
          <w:b/>
          <w:shd w:val="clear" w:color="auto" w:fill="FFFFFF"/>
        </w:rPr>
        <w:t>. CONSORT flowchart.</w:t>
      </w:r>
      <w:r w:rsidRPr="00122285">
        <w:rPr>
          <w:rFonts w:eastAsia="宋体"/>
          <w:shd w:val="clear" w:color="auto" w:fill="FFFFFF"/>
        </w:rPr>
        <w:t xml:space="preserve"> </w:t>
      </w:r>
      <w:r w:rsidRPr="00122285">
        <w:rPr>
          <w:rFonts w:eastAsia="宋体"/>
          <w:i/>
          <w:iCs/>
          <w:shd w:val="clear" w:color="auto" w:fill="FFFFFF"/>
        </w:rPr>
        <w:t>SMN1</w:t>
      </w:r>
      <w:r w:rsidRPr="00122285">
        <w:rPr>
          <w:rFonts w:eastAsia="宋体"/>
          <w:shd w:val="clear" w:color="auto" w:fill="FFFFFF"/>
        </w:rPr>
        <w:t xml:space="preserve">, survival motor neuron 1; PCR, </w:t>
      </w:r>
      <w:r w:rsidR="00F540C5" w:rsidRPr="00122285">
        <w:t>polymerase chain reaction</w:t>
      </w:r>
      <w:r w:rsidRPr="00122285">
        <w:rPr>
          <w:rFonts w:eastAsia="宋体"/>
          <w:shd w:val="clear" w:color="auto" w:fill="FFFFFF"/>
        </w:rPr>
        <w:t>; MLPA, multiplex ligation-dependent probe amplification; SMA, spinal muscular atrophy.</w:t>
      </w:r>
    </w:p>
    <w:p w14:paraId="5A8E92B0" w14:textId="77777777" w:rsidR="004922C8" w:rsidRDefault="004922C8">
      <w:pPr>
        <w:pStyle w:val="Figurecaption"/>
        <w:rPr>
          <w:rFonts w:eastAsia="宋体"/>
          <w:shd w:val="clear" w:color="auto" w:fill="FFFFFF"/>
        </w:rPr>
      </w:pPr>
    </w:p>
    <w:p w14:paraId="1541B378" w14:textId="77777777" w:rsidR="004922C8" w:rsidRDefault="004922C8">
      <w:pPr>
        <w:pStyle w:val="Figurecaption"/>
        <w:rPr>
          <w:rFonts w:eastAsia="宋体"/>
          <w:shd w:val="clear" w:color="auto" w:fill="FFFFFF"/>
        </w:rPr>
      </w:pPr>
    </w:p>
    <w:p w14:paraId="18DDAC88" w14:textId="77777777" w:rsidR="004922C8" w:rsidRDefault="00605271">
      <w:pPr>
        <w:pStyle w:val="2"/>
        <w:rPr>
          <w:rFonts w:eastAsia="宋体"/>
          <w:shd w:val="clear" w:color="auto" w:fill="FFFFFF"/>
        </w:rPr>
      </w:pPr>
      <w:r>
        <w:rPr>
          <w:rFonts w:eastAsia="宋体"/>
          <w:shd w:val="clear" w:color="auto" w:fill="FFFFFF"/>
        </w:rPr>
        <w:t>3.2 Results of SMA Carrier Screening in Pregnant Women</w:t>
      </w:r>
    </w:p>
    <w:p w14:paraId="0B30AD35" w14:textId="77777777" w:rsidR="004922C8" w:rsidRDefault="00605271">
      <w:pPr>
        <w:pStyle w:val="Text"/>
        <w:ind w:firstLine="420"/>
        <w:rPr>
          <w:rFonts w:eastAsia="宋体"/>
          <w:shd w:val="clear" w:color="auto" w:fill="FFFFFF"/>
        </w:rPr>
      </w:pPr>
      <w:r>
        <w:rPr>
          <w:rFonts w:eastAsia="宋体"/>
          <w:shd w:val="clear" w:color="auto" w:fill="FFFFFF"/>
        </w:rPr>
        <w:t>Among 13,500 pregnant women, a total of 338 SMA carriers were detected, with a carrier frequency of 1/40 (2.50%). Mutation type distribution: 217 cases (64.20%) of E7+E8 heterozygous deletion, 43 cases (12.72%) of E7 heterozygous deletion, 77 cases (22.78%) of E8 heterozygous deletion, and 1 case (0.30%) of E8 homozygous deletion. The pregnant woman with E8 homozygous deletion underwent further third-generation sequencing, after testing, E7 point mutation was found. Clinical follow-up until delivery showed that the newborn had no SMA-related symptoms, which was considered a rare asymptomatic carrier (</w:t>
      </w:r>
      <w:r>
        <w:rPr>
          <w:shd w:val="clear" w:color="auto" w:fill="FFFFFF"/>
        </w:rPr>
        <w:t>Table 1</w:t>
      </w:r>
      <w:r>
        <w:rPr>
          <w:rFonts w:eastAsia="宋体"/>
          <w:shd w:val="clear" w:color="auto" w:fill="FFFFFF"/>
        </w:rPr>
        <w:t xml:space="preserve">, </w:t>
      </w:r>
      <w:r>
        <w:rPr>
          <w:shd w:val="clear" w:color="auto" w:fill="FFFFFF"/>
        </w:rPr>
        <w:t>Fig. 2</w:t>
      </w:r>
      <w:r>
        <w:rPr>
          <w:rFonts w:eastAsia="宋体"/>
          <w:shd w:val="clear" w:color="auto" w:fill="FFFFFF"/>
        </w:rPr>
        <w:t>).</w:t>
      </w:r>
    </w:p>
    <w:p w14:paraId="6D48CE4C" w14:textId="77777777" w:rsidR="004922C8" w:rsidRDefault="004922C8">
      <w:pPr>
        <w:pStyle w:val="Text"/>
        <w:ind w:firstLine="420"/>
        <w:rPr>
          <w:rFonts w:eastAsia="宋体"/>
          <w:shd w:val="clear" w:color="auto" w:fill="FFFFFF"/>
        </w:rPr>
      </w:pPr>
    </w:p>
    <w:p w14:paraId="65718EE3" w14:textId="77777777" w:rsidR="004922C8" w:rsidRDefault="00605271">
      <w:pPr>
        <w:pStyle w:val="Tablecaption"/>
        <w:spacing w:before="360" w:after="360"/>
        <w:rPr>
          <w:rFonts w:eastAsia="宋体"/>
          <w:bCs/>
        </w:rPr>
      </w:pPr>
      <w:r>
        <w:rPr>
          <w:shd w:val="clear" w:color="auto" w:fill="FFFFFF"/>
        </w:rPr>
        <w:t>Table 1</w:t>
      </w:r>
      <w:r>
        <w:rPr>
          <w:rFonts w:eastAsia="宋体"/>
          <w:shd w:val="clear" w:color="auto" w:fill="FFFFFF"/>
        </w:rPr>
        <w:t>.</w:t>
      </w:r>
      <w:r>
        <w:rPr>
          <w:shd w:val="clear" w:color="auto" w:fill="FFFFFF"/>
        </w:rPr>
        <w:t xml:space="preserve"> </w:t>
      </w:r>
      <w:r>
        <w:rPr>
          <w:rFonts w:eastAsia="宋体"/>
          <w:shd w:val="clear" w:color="auto" w:fill="FFFFFF"/>
        </w:rPr>
        <w:t>Results of SMA carrier screening in pregnant women.</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4"/>
        <w:gridCol w:w="2953"/>
        <w:gridCol w:w="3357"/>
      </w:tblGrid>
      <w:tr w:rsidR="004922C8" w14:paraId="2652D8DE" w14:textId="77777777">
        <w:trPr>
          <w:trHeight w:val="362"/>
        </w:trPr>
        <w:tc>
          <w:tcPr>
            <w:tcW w:w="1722" w:type="pct"/>
            <w:vAlign w:val="center"/>
          </w:tcPr>
          <w:p w14:paraId="508382FD" w14:textId="77777777" w:rsidR="004922C8" w:rsidRDefault="00605271">
            <w:pPr>
              <w:pStyle w:val="Tablebody"/>
              <w:jc w:val="left"/>
              <w:rPr>
                <w:rFonts w:eastAsia="宋体"/>
              </w:rPr>
            </w:pPr>
            <w:r>
              <w:rPr>
                <w:rFonts w:eastAsia="宋体"/>
              </w:rPr>
              <w:t>Item</w:t>
            </w:r>
          </w:p>
        </w:tc>
        <w:tc>
          <w:tcPr>
            <w:tcW w:w="1534" w:type="pct"/>
            <w:vAlign w:val="center"/>
          </w:tcPr>
          <w:p w14:paraId="60450CA9" w14:textId="77777777" w:rsidR="004922C8" w:rsidRDefault="00605271">
            <w:pPr>
              <w:pStyle w:val="Tablebody"/>
              <w:jc w:val="center"/>
              <w:rPr>
                <w:rFonts w:eastAsia="宋体"/>
              </w:rPr>
            </w:pPr>
            <w:r>
              <w:rPr>
                <w:rFonts w:eastAsia="宋体"/>
              </w:rPr>
              <w:t>Number of cases</w:t>
            </w:r>
          </w:p>
        </w:tc>
        <w:tc>
          <w:tcPr>
            <w:tcW w:w="1744" w:type="pct"/>
            <w:vAlign w:val="center"/>
          </w:tcPr>
          <w:p w14:paraId="540386AF" w14:textId="77777777" w:rsidR="004922C8" w:rsidRDefault="00605271">
            <w:pPr>
              <w:pStyle w:val="Tablebody"/>
              <w:jc w:val="center"/>
              <w:rPr>
                <w:rFonts w:eastAsia="宋体"/>
              </w:rPr>
            </w:pPr>
            <w:r>
              <w:rPr>
                <w:rFonts w:eastAsia="宋体"/>
              </w:rPr>
              <w:t>Composition ratio (%)</w:t>
            </w:r>
          </w:p>
        </w:tc>
      </w:tr>
      <w:tr w:rsidR="004922C8" w14:paraId="229D2EBC" w14:textId="77777777">
        <w:trPr>
          <w:trHeight w:val="362"/>
        </w:trPr>
        <w:tc>
          <w:tcPr>
            <w:tcW w:w="1722" w:type="pct"/>
            <w:vAlign w:val="center"/>
          </w:tcPr>
          <w:p w14:paraId="535688B3" w14:textId="77777777" w:rsidR="004922C8" w:rsidRDefault="00605271">
            <w:pPr>
              <w:pStyle w:val="Tablebody"/>
              <w:jc w:val="left"/>
              <w:rPr>
                <w:lang w:val="pt-BR"/>
              </w:rPr>
            </w:pPr>
            <w:r>
              <w:rPr>
                <w:i/>
                <w:iCs/>
                <w:shd w:val="clear" w:color="auto" w:fill="FFFFFF"/>
                <w:lang w:val="pt-BR"/>
              </w:rPr>
              <w:t>SMN</w:t>
            </w:r>
            <w:r>
              <w:rPr>
                <w:shd w:val="clear" w:color="auto" w:fill="FFFFFF"/>
                <w:lang w:val="pt-BR"/>
              </w:rPr>
              <w:t>1 gene E7+E8 heterozygous deletion</w:t>
            </w:r>
          </w:p>
        </w:tc>
        <w:tc>
          <w:tcPr>
            <w:tcW w:w="1534" w:type="pct"/>
            <w:vAlign w:val="center"/>
          </w:tcPr>
          <w:p w14:paraId="39C722E1" w14:textId="77777777" w:rsidR="004922C8" w:rsidRDefault="00605271">
            <w:pPr>
              <w:pStyle w:val="Tablebody"/>
              <w:jc w:val="center"/>
              <w:rPr>
                <w:rFonts w:eastAsia="宋体"/>
              </w:rPr>
            </w:pPr>
            <w:r>
              <w:t>217</w:t>
            </w:r>
          </w:p>
        </w:tc>
        <w:tc>
          <w:tcPr>
            <w:tcW w:w="1744" w:type="pct"/>
            <w:vAlign w:val="center"/>
          </w:tcPr>
          <w:p w14:paraId="2791E223" w14:textId="77777777" w:rsidR="004922C8" w:rsidRDefault="00605271">
            <w:pPr>
              <w:pStyle w:val="Tablebody"/>
              <w:jc w:val="center"/>
              <w:rPr>
                <w:rFonts w:eastAsia="宋体"/>
              </w:rPr>
            </w:pPr>
            <w:r>
              <w:t>64.20</w:t>
            </w:r>
          </w:p>
        </w:tc>
      </w:tr>
      <w:tr w:rsidR="004922C8" w14:paraId="38B6E5D0" w14:textId="77777777">
        <w:tc>
          <w:tcPr>
            <w:tcW w:w="1722" w:type="pct"/>
            <w:vAlign w:val="center"/>
          </w:tcPr>
          <w:p w14:paraId="0316A9DC" w14:textId="77777777" w:rsidR="004922C8" w:rsidRDefault="00605271">
            <w:pPr>
              <w:pStyle w:val="Tablebody"/>
              <w:jc w:val="left"/>
              <w:rPr>
                <w:lang w:val="pt-BR"/>
              </w:rPr>
            </w:pPr>
            <w:r>
              <w:rPr>
                <w:i/>
                <w:iCs/>
                <w:shd w:val="clear" w:color="auto" w:fill="FFFFFF"/>
                <w:lang w:val="pt-BR"/>
              </w:rPr>
              <w:t>SMN</w:t>
            </w:r>
            <w:r>
              <w:rPr>
                <w:shd w:val="clear" w:color="auto" w:fill="FFFFFF"/>
                <w:lang w:val="pt-BR"/>
              </w:rPr>
              <w:t>1 gene E7 heterozygous deletion</w:t>
            </w:r>
          </w:p>
        </w:tc>
        <w:tc>
          <w:tcPr>
            <w:tcW w:w="1534" w:type="pct"/>
            <w:vAlign w:val="center"/>
          </w:tcPr>
          <w:p w14:paraId="177EFBF2" w14:textId="77777777" w:rsidR="004922C8" w:rsidRDefault="00605271">
            <w:pPr>
              <w:pStyle w:val="Tablebody"/>
              <w:jc w:val="center"/>
              <w:rPr>
                <w:rFonts w:eastAsia="宋体"/>
              </w:rPr>
            </w:pPr>
            <w:r>
              <w:rPr>
                <w:rFonts w:eastAsia="宋体"/>
              </w:rPr>
              <w:t>43</w:t>
            </w:r>
          </w:p>
        </w:tc>
        <w:tc>
          <w:tcPr>
            <w:tcW w:w="1744" w:type="pct"/>
            <w:vAlign w:val="center"/>
          </w:tcPr>
          <w:p w14:paraId="7D942E08" w14:textId="77777777" w:rsidR="004922C8" w:rsidRDefault="00605271">
            <w:pPr>
              <w:pStyle w:val="Tablebody"/>
              <w:jc w:val="center"/>
              <w:rPr>
                <w:rFonts w:eastAsia="宋体"/>
              </w:rPr>
            </w:pPr>
            <w:r>
              <w:t>12.72</w:t>
            </w:r>
          </w:p>
        </w:tc>
      </w:tr>
      <w:tr w:rsidR="004922C8" w14:paraId="369A2E9A" w14:textId="77777777">
        <w:tc>
          <w:tcPr>
            <w:tcW w:w="1722" w:type="pct"/>
            <w:vAlign w:val="center"/>
          </w:tcPr>
          <w:p w14:paraId="5B9B2E9C" w14:textId="77777777" w:rsidR="004922C8" w:rsidRDefault="00605271">
            <w:pPr>
              <w:pStyle w:val="Tablebody"/>
              <w:jc w:val="left"/>
              <w:rPr>
                <w:lang w:val="pt-BR"/>
              </w:rPr>
            </w:pPr>
            <w:r>
              <w:rPr>
                <w:i/>
                <w:iCs/>
                <w:shd w:val="clear" w:color="auto" w:fill="FFFFFF"/>
                <w:lang w:val="pt-BR"/>
              </w:rPr>
              <w:t>SMN</w:t>
            </w:r>
            <w:r>
              <w:rPr>
                <w:shd w:val="clear" w:color="auto" w:fill="FFFFFF"/>
                <w:lang w:val="pt-BR"/>
              </w:rPr>
              <w:t>1 gene E8 heterozygous deletion</w:t>
            </w:r>
          </w:p>
        </w:tc>
        <w:tc>
          <w:tcPr>
            <w:tcW w:w="1534" w:type="pct"/>
            <w:vAlign w:val="center"/>
          </w:tcPr>
          <w:p w14:paraId="6B57EC8A" w14:textId="77777777" w:rsidR="004922C8" w:rsidRDefault="00605271">
            <w:pPr>
              <w:pStyle w:val="Tablebody"/>
              <w:jc w:val="center"/>
              <w:rPr>
                <w:rFonts w:eastAsia="宋体"/>
              </w:rPr>
            </w:pPr>
            <w:r>
              <w:rPr>
                <w:rFonts w:eastAsia="宋体"/>
              </w:rPr>
              <w:t>77</w:t>
            </w:r>
          </w:p>
        </w:tc>
        <w:tc>
          <w:tcPr>
            <w:tcW w:w="1744" w:type="pct"/>
            <w:vAlign w:val="center"/>
          </w:tcPr>
          <w:p w14:paraId="271A4A1E" w14:textId="77777777" w:rsidR="004922C8" w:rsidRDefault="00605271">
            <w:pPr>
              <w:pStyle w:val="Tablebody"/>
              <w:jc w:val="center"/>
              <w:rPr>
                <w:rFonts w:eastAsia="宋体"/>
              </w:rPr>
            </w:pPr>
            <w:r>
              <w:rPr>
                <w:rFonts w:eastAsia="宋体"/>
              </w:rPr>
              <w:t>22.78</w:t>
            </w:r>
          </w:p>
        </w:tc>
      </w:tr>
      <w:tr w:rsidR="004922C8" w14:paraId="7E380438" w14:textId="77777777">
        <w:trPr>
          <w:trHeight w:val="300"/>
        </w:trPr>
        <w:tc>
          <w:tcPr>
            <w:tcW w:w="1722" w:type="pct"/>
            <w:vAlign w:val="center"/>
          </w:tcPr>
          <w:p w14:paraId="53FA8B48" w14:textId="77777777" w:rsidR="004922C8" w:rsidRDefault="00605271">
            <w:pPr>
              <w:pStyle w:val="Tablebody"/>
              <w:jc w:val="left"/>
              <w:rPr>
                <w:lang w:val="pt-BR"/>
              </w:rPr>
            </w:pPr>
            <w:r>
              <w:rPr>
                <w:i/>
                <w:shd w:val="clear" w:color="auto" w:fill="FFFFFF"/>
                <w:lang w:val="pt-BR"/>
              </w:rPr>
              <w:t>SMN1</w:t>
            </w:r>
            <w:r>
              <w:rPr>
                <w:shd w:val="clear" w:color="auto" w:fill="FFFFFF"/>
                <w:lang w:val="pt-BR"/>
              </w:rPr>
              <w:t xml:space="preserve"> gene E8 homozygous deletion</w:t>
            </w:r>
          </w:p>
        </w:tc>
        <w:tc>
          <w:tcPr>
            <w:tcW w:w="1534" w:type="pct"/>
            <w:vAlign w:val="center"/>
          </w:tcPr>
          <w:p w14:paraId="4DBE31FB" w14:textId="77777777" w:rsidR="004922C8" w:rsidRDefault="00605271">
            <w:pPr>
              <w:pStyle w:val="Tablebody"/>
              <w:jc w:val="center"/>
              <w:rPr>
                <w:rFonts w:eastAsia="宋体"/>
              </w:rPr>
            </w:pPr>
            <w:r>
              <w:rPr>
                <w:rFonts w:eastAsia="宋体"/>
              </w:rPr>
              <w:t>1</w:t>
            </w:r>
          </w:p>
        </w:tc>
        <w:tc>
          <w:tcPr>
            <w:tcW w:w="1744" w:type="pct"/>
            <w:vAlign w:val="center"/>
          </w:tcPr>
          <w:p w14:paraId="14904872" w14:textId="77777777" w:rsidR="004922C8" w:rsidRDefault="00605271">
            <w:pPr>
              <w:pStyle w:val="Tablebody"/>
              <w:jc w:val="center"/>
              <w:rPr>
                <w:rFonts w:eastAsia="宋体"/>
              </w:rPr>
            </w:pPr>
            <w:r>
              <w:rPr>
                <w:rFonts w:eastAsia="宋体"/>
              </w:rPr>
              <w:t>0.30</w:t>
            </w:r>
          </w:p>
        </w:tc>
      </w:tr>
      <w:tr w:rsidR="004922C8" w14:paraId="4A84C20A" w14:textId="77777777">
        <w:tc>
          <w:tcPr>
            <w:tcW w:w="1722" w:type="pct"/>
            <w:vAlign w:val="center"/>
          </w:tcPr>
          <w:p w14:paraId="4606CB22" w14:textId="77777777" w:rsidR="004922C8" w:rsidRDefault="00605271">
            <w:pPr>
              <w:pStyle w:val="Tablebody"/>
              <w:jc w:val="left"/>
              <w:rPr>
                <w:rFonts w:eastAsia="宋体"/>
              </w:rPr>
            </w:pPr>
            <w:r>
              <w:rPr>
                <w:rFonts w:eastAsia="宋体"/>
              </w:rPr>
              <w:t>Total</w:t>
            </w:r>
          </w:p>
        </w:tc>
        <w:tc>
          <w:tcPr>
            <w:tcW w:w="1534" w:type="pct"/>
            <w:vAlign w:val="center"/>
          </w:tcPr>
          <w:p w14:paraId="0DABBBAF" w14:textId="77777777" w:rsidR="004922C8" w:rsidRDefault="00605271">
            <w:pPr>
              <w:pStyle w:val="Tablebody"/>
              <w:jc w:val="center"/>
              <w:rPr>
                <w:rFonts w:eastAsia="宋体"/>
              </w:rPr>
            </w:pPr>
            <w:r>
              <w:t>338</w:t>
            </w:r>
          </w:p>
        </w:tc>
        <w:tc>
          <w:tcPr>
            <w:tcW w:w="1744" w:type="pct"/>
            <w:vAlign w:val="center"/>
          </w:tcPr>
          <w:p w14:paraId="104BE45F" w14:textId="77777777" w:rsidR="004922C8" w:rsidRDefault="00605271">
            <w:pPr>
              <w:pStyle w:val="Tablebody"/>
              <w:jc w:val="center"/>
              <w:rPr>
                <w:rFonts w:eastAsia="宋体"/>
              </w:rPr>
            </w:pPr>
            <w:r>
              <w:t>100.00</w:t>
            </w:r>
          </w:p>
        </w:tc>
      </w:tr>
    </w:tbl>
    <w:p w14:paraId="634F0539" w14:textId="77777777" w:rsidR="004922C8" w:rsidRDefault="00605271">
      <w:pPr>
        <w:pStyle w:val="Tablefooter"/>
        <w:rPr>
          <w:rFonts w:eastAsia="宋体"/>
          <w:shd w:val="clear" w:color="auto" w:fill="FFFFFF"/>
        </w:rPr>
      </w:pPr>
      <w:r w:rsidRPr="00A31907">
        <w:rPr>
          <w:shd w:val="clear" w:color="auto" w:fill="FFFFFF"/>
          <w:lang w:val="pt-BR"/>
        </w:rPr>
        <w:t xml:space="preserve">E7, </w:t>
      </w:r>
      <w:r w:rsidRPr="00A31907">
        <w:rPr>
          <w:rFonts w:eastAsia="宋体"/>
          <w:shd w:val="clear" w:color="auto" w:fill="FFFFFF"/>
        </w:rPr>
        <w:t>exon 7; E8, exon 8.</w:t>
      </w:r>
    </w:p>
    <w:p w14:paraId="2E6BD4A1" w14:textId="77777777" w:rsidR="004922C8" w:rsidRDefault="004922C8">
      <w:pPr>
        <w:pStyle w:val="Tablefooter"/>
        <w:rPr>
          <w:rFonts w:eastAsia="宋体"/>
          <w:shd w:val="clear" w:color="auto" w:fill="FFFFFF"/>
        </w:rPr>
      </w:pPr>
    </w:p>
    <w:p w14:paraId="00EF272C" w14:textId="77777777" w:rsidR="004922C8" w:rsidRDefault="004922C8">
      <w:pPr>
        <w:pStyle w:val="Tablefooter"/>
        <w:rPr>
          <w:rFonts w:eastAsia="宋体"/>
        </w:rPr>
      </w:pPr>
    </w:p>
    <w:p w14:paraId="6214D5F1" w14:textId="77777777" w:rsidR="004922C8" w:rsidRDefault="00605271">
      <w:pPr>
        <w:pStyle w:val="Figure"/>
        <w:rPr>
          <w:rFonts w:eastAsia="宋体"/>
          <w:sz w:val="24"/>
          <w:shd w:val="clear" w:color="auto" w:fill="FFFFFF"/>
          <w:lang w:eastAsia="zh-CN"/>
        </w:rPr>
      </w:pPr>
      <w:r>
        <w:rPr>
          <w:rFonts w:eastAsia="宋体" w:hint="eastAsia"/>
          <w:noProof/>
          <w:sz w:val="24"/>
          <w:shd w:val="clear" w:color="auto" w:fill="FFFFFF"/>
          <w:lang w:eastAsia="zh-CN"/>
        </w:rPr>
        <w:drawing>
          <wp:inline distT="0" distB="0" distL="114300" distR="114300" wp14:anchorId="3156A69B" wp14:editId="64426644">
            <wp:extent cx="5194935" cy="3634740"/>
            <wp:effectExtent l="0" t="0" r="5715" b="3810"/>
            <wp:docPr id="5" name="图片 5" descr="6e5666a85134edaebd82ed48c57d3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e5666a85134edaebd82ed48c57d38cb"/>
                    <pic:cNvPicPr>
                      <a:picLocks noChangeAspect="1"/>
                    </pic:cNvPicPr>
                  </pic:nvPicPr>
                  <pic:blipFill>
                    <a:blip r:embed="rId9"/>
                    <a:stretch>
                      <a:fillRect/>
                    </a:stretch>
                  </pic:blipFill>
                  <pic:spPr>
                    <a:xfrm>
                      <a:off x="0" y="0"/>
                      <a:ext cx="5194935" cy="3634740"/>
                    </a:xfrm>
                    <a:prstGeom prst="rect">
                      <a:avLst/>
                    </a:prstGeom>
                  </pic:spPr>
                </pic:pic>
              </a:graphicData>
            </a:graphic>
          </wp:inline>
        </w:drawing>
      </w:r>
    </w:p>
    <w:p w14:paraId="13A99246" w14:textId="77777777" w:rsidR="004922C8" w:rsidRDefault="00605271">
      <w:pPr>
        <w:pStyle w:val="Figurecaption"/>
        <w:rPr>
          <w:rFonts w:eastAsia="宋体"/>
        </w:rPr>
      </w:pPr>
      <w:r>
        <w:rPr>
          <w:b/>
          <w:shd w:val="clear" w:color="auto" w:fill="FFFFFF"/>
        </w:rPr>
        <w:t>Fig. 2</w:t>
      </w:r>
      <w:r>
        <w:rPr>
          <w:rFonts w:eastAsia="宋体"/>
          <w:b/>
          <w:shd w:val="clear" w:color="auto" w:fill="FFFFFF"/>
        </w:rPr>
        <w:t xml:space="preserve">. Fluorescent quantitative PCR detection of </w:t>
      </w:r>
      <w:r>
        <w:rPr>
          <w:rFonts w:eastAsia="宋体"/>
          <w:b/>
          <w:i/>
          <w:shd w:val="clear" w:color="auto" w:fill="FFFFFF"/>
        </w:rPr>
        <w:t>SMN1</w:t>
      </w:r>
      <w:r>
        <w:rPr>
          <w:rFonts w:eastAsia="宋体"/>
          <w:b/>
          <w:shd w:val="clear" w:color="auto" w:fill="FFFFFF"/>
        </w:rPr>
        <w:t xml:space="preserve"> gene deletion in pregnant women.</w:t>
      </w:r>
      <w:r>
        <w:rPr>
          <w:rFonts w:eastAsia="宋体"/>
          <w:shd w:val="clear" w:color="auto" w:fill="FFFFFF"/>
        </w:rPr>
        <w:t xml:space="preserve"> (A) PCR detection of </w:t>
      </w:r>
      <w:r>
        <w:rPr>
          <w:rFonts w:eastAsia="宋体"/>
          <w:i/>
          <w:shd w:val="clear" w:color="auto" w:fill="FFFFFF"/>
        </w:rPr>
        <w:t>SMN1</w:t>
      </w:r>
      <w:r>
        <w:rPr>
          <w:rFonts w:eastAsia="宋体"/>
          <w:shd w:val="clear" w:color="auto" w:fill="FFFFFF"/>
        </w:rPr>
        <w:t xml:space="preserve"> gene E7 heterozygous deletion (</w:t>
      </w:r>
      <w:r>
        <w:rPr>
          <w:rFonts w:eastAsia="宋体"/>
        </w:rPr>
        <w:t xml:space="preserve">Ct </w:t>
      </w:r>
      <w:r>
        <w:rPr>
          <w:rFonts w:eastAsia="宋体"/>
          <w:shd w:val="clear" w:color="auto" w:fill="FFFFFF"/>
        </w:rPr>
        <w:t xml:space="preserve">value </w:t>
      </w:r>
      <w:r>
        <w:rPr>
          <w:rFonts w:eastAsia="宋体"/>
        </w:rPr>
        <w:t>= 28.3)</w:t>
      </w:r>
      <w:r>
        <w:rPr>
          <w:rFonts w:eastAsia="宋体"/>
          <w:shd w:val="clear" w:color="auto" w:fill="FFFFFF"/>
        </w:rPr>
        <w:t xml:space="preserve">. (B) PCR detection of </w:t>
      </w:r>
      <w:r>
        <w:rPr>
          <w:rFonts w:eastAsia="宋体"/>
          <w:i/>
          <w:shd w:val="clear" w:color="auto" w:fill="FFFFFF"/>
        </w:rPr>
        <w:t>SMN1</w:t>
      </w:r>
      <w:r>
        <w:rPr>
          <w:rFonts w:eastAsia="宋体"/>
          <w:shd w:val="clear" w:color="auto" w:fill="FFFFFF"/>
        </w:rPr>
        <w:t xml:space="preserve"> gene E8 heterozygous deletion </w:t>
      </w:r>
      <w:r>
        <w:rPr>
          <w:rFonts w:eastAsia="宋体"/>
        </w:rPr>
        <w:t xml:space="preserve">(Ct </w:t>
      </w:r>
      <w:r>
        <w:rPr>
          <w:rFonts w:eastAsia="宋体"/>
          <w:shd w:val="clear" w:color="auto" w:fill="FFFFFF"/>
        </w:rPr>
        <w:t xml:space="preserve">value </w:t>
      </w:r>
      <w:r>
        <w:rPr>
          <w:rFonts w:eastAsia="宋体"/>
        </w:rPr>
        <w:t>= 29.1)</w:t>
      </w:r>
      <w:r w:rsidRPr="00A31907">
        <w:rPr>
          <w:rFonts w:eastAsia="宋体"/>
        </w:rPr>
        <w:t>.</w:t>
      </w:r>
    </w:p>
    <w:p w14:paraId="207B5293" w14:textId="77777777" w:rsidR="004922C8" w:rsidRDefault="004922C8">
      <w:pPr>
        <w:pStyle w:val="Figurecaption"/>
        <w:rPr>
          <w:rFonts w:eastAsia="宋体"/>
          <w:shd w:val="clear" w:color="auto" w:fill="FFFFFF"/>
        </w:rPr>
      </w:pPr>
    </w:p>
    <w:p w14:paraId="5E010125" w14:textId="77777777" w:rsidR="004922C8" w:rsidRDefault="004922C8">
      <w:pPr>
        <w:pStyle w:val="Figurecaption"/>
        <w:rPr>
          <w:rFonts w:eastAsia="宋体"/>
          <w:shd w:val="clear" w:color="auto" w:fill="FFFFFF"/>
        </w:rPr>
      </w:pPr>
    </w:p>
    <w:p w14:paraId="6B5D3BA7" w14:textId="77777777" w:rsidR="004922C8" w:rsidRDefault="00605271">
      <w:pPr>
        <w:pStyle w:val="2"/>
        <w:rPr>
          <w:rFonts w:eastAsia="宋体"/>
          <w:shd w:val="clear" w:color="auto" w:fill="FFFFFF"/>
        </w:rPr>
      </w:pPr>
      <w:r>
        <w:rPr>
          <w:rFonts w:eastAsia="宋体"/>
          <w:shd w:val="clear" w:color="auto" w:fill="FFFFFF"/>
        </w:rPr>
        <w:t>3.3 Re-Examination and Verification of Positive Samples</w:t>
      </w:r>
    </w:p>
    <w:p w14:paraId="405D37F0" w14:textId="77777777" w:rsidR="004922C8" w:rsidRDefault="00605271">
      <w:pPr>
        <w:pStyle w:val="Text"/>
        <w:ind w:firstLine="420"/>
        <w:rPr>
          <w:rFonts w:eastAsia="宋体"/>
          <w:shd w:val="clear" w:color="auto" w:fill="FFFFFF"/>
        </w:rPr>
      </w:pPr>
      <w:r>
        <w:rPr>
          <w:rFonts w:eastAsia="宋体"/>
          <w:shd w:val="clear" w:color="auto" w:fill="FFFFFF"/>
        </w:rPr>
        <w:t xml:space="preserve">Among the 884 samples from pregnant women who were initially screened as positive using the Five-Color Stone reagent, further re-examination was performed using the PCR–dissolution curve method (Tianlong reagent). </w:t>
      </w:r>
      <w:r>
        <w:rPr>
          <w:rFonts w:eastAsia="宋体"/>
          <w:shd w:val="clear" w:color="auto" w:fill="FFFFFF"/>
        </w:rPr>
        <w:lastRenderedPageBreak/>
        <w:t xml:space="preserve">The distribution of </w:t>
      </w:r>
      <w:r>
        <w:rPr>
          <w:rFonts w:eastAsia="宋体"/>
          <w:i/>
          <w:shd w:val="clear" w:color="auto" w:fill="FFFFFF"/>
        </w:rPr>
        <w:t>SMN1</w:t>
      </w:r>
      <w:r>
        <w:rPr>
          <w:rFonts w:eastAsia="宋体"/>
          <w:shd w:val="clear" w:color="auto" w:fill="FFFFFF"/>
        </w:rPr>
        <w:t xml:space="preserve"> gene E7/E8 copy numbers in the 884 samples was variable. Among these, samples with an E7/E8 copy number of 2/2 (i.e., the normal type) accounted for the largest proportion, with a total of 620 cases (70.14%), whereas carrier-related genotypes (such as 1/1, 1/2, and 2/1) comprised 262 cases (29.64%). In addition, one case each of the extremely rare 0/2 and 1/0 types </w:t>
      </w:r>
      <w:proofErr w:type="gramStart"/>
      <w:r>
        <w:rPr>
          <w:rFonts w:eastAsia="宋体"/>
          <w:shd w:val="clear" w:color="auto" w:fill="FFFFFF"/>
        </w:rPr>
        <w:t>was</w:t>
      </w:r>
      <w:proofErr w:type="gramEnd"/>
      <w:r>
        <w:rPr>
          <w:rFonts w:eastAsia="宋体"/>
          <w:shd w:val="clear" w:color="auto" w:fill="FFFFFF"/>
        </w:rPr>
        <w:t xml:space="preserve"> detected, as shown in Table 2. To systematically compare the detection performance of the two reagents, a total of 694 cases were randomly selected from the above sample for a head-to-head methodological comparison. The Tianlong reagent demonstrated higher accuracy and concordance in detecting </w:t>
      </w:r>
      <w:r>
        <w:rPr>
          <w:rFonts w:eastAsia="宋体"/>
          <w:i/>
          <w:shd w:val="clear" w:color="auto" w:fill="FFFFFF"/>
        </w:rPr>
        <w:t>SMN1</w:t>
      </w:r>
      <w:r>
        <w:rPr>
          <w:rFonts w:eastAsia="宋体"/>
          <w:shd w:val="clear" w:color="auto" w:fill="FFFFFF"/>
        </w:rPr>
        <w:t xml:space="preserve"> gene E7 and E8 copy numbers (</w:t>
      </w:r>
      <w:r>
        <w:rPr>
          <w:shd w:val="clear" w:color="auto" w:fill="FFFFFF"/>
        </w:rPr>
        <w:t>Table 3</w:t>
      </w:r>
      <w:r>
        <w:rPr>
          <w:rFonts w:eastAsia="宋体"/>
          <w:shd w:val="clear" w:color="auto" w:fill="FFFFFF"/>
        </w:rPr>
        <w:t>).</w:t>
      </w:r>
    </w:p>
    <w:p w14:paraId="2C72A183" w14:textId="77777777" w:rsidR="004922C8" w:rsidRDefault="004922C8">
      <w:pPr>
        <w:pStyle w:val="Text"/>
        <w:ind w:firstLine="420"/>
        <w:rPr>
          <w:rFonts w:eastAsia="宋体"/>
          <w:shd w:val="clear" w:color="auto" w:fill="FFFFFF"/>
        </w:rPr>
      </w:pPr>
    </w:p>
    <w:p w14:paraId="5337C43C" w14:textId="77777777" w:rsidR="004922C8" w:rsidRDefault="00605271">
      <w:pPr>
        <w:pStyle w:val="Tablecaption"/>
        <w:spacing w:before="360" w:after="360"/>
      </w:pPr>
      <w:r>
        <w:t xml:space="preserve">Table 2. Copy number distribution of </w:t>
      </w:r>
      <w:r>
        <w:rPr>
          <w:i/>
        </w:rPr>
        <w:t>SMN1</w:t>
      </w:r>
      <w:r>
        <w:t xml:space="preserve"> gene E7/E8 in 884 initially screened positive pregnant women.</w:t>
      </w:r>
    </w:p>
    <w:tbl>
      <w:tblPr>
        <w:tblW w:w="2134" w:type="pct"/>
        <w:tblInd w:w="2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1707"/>
      </w:tblGrid>
      <w:tr w:rsidR="004922C8" w14:paraId="346E1AA6" w14:textId="77777777">
        <w:trPr>
          <w:trHeight w:val="362"/>
        </w:trPr>
        <w:tc>
          <w:tcPr>
            <w:tcW w:w="2923" w:type="pct"/>
            <w:vAlign w:val="center"/>
          </w:tcPr>
          <w:p w14:paraId="1D7007AB" w14:textId="77777777" w:rsidR="004922C8" w:rsidRDefault="00605271">
            <w:pPr>
              <w:pStyle w:val="Tablebody"/>
              <w:rPr>
                <w:rFonts w:eastAsia="宋体"/>
              </w:rPr>
            </w:pPr>
            <w:r>
              <w:rPr>
                <w:rFonts w:eastAsia="Segoe UI"/>
                <w:shd w:val="clear" w:color="auto" w:fill="FFFFFF"/>
              </w:rPr>
              <w:t>E7/E8 copy number</w:t>
            </w:r>
          </w:p>
        </w:tc>
        <w:tc>
          <w:tcPr>
            <w:tcW w:w="2077" w:type="pct"/>
            <w:vAlign w:val="center"/>
          </w:tcPr>
          <w:p w14:paraId="6DE2E4BD" w14:textId="77777777" w:rsidR="004922C8" w:rsidRDefault="00605271">
            <w:pPr>
              <w:pStyle w:val="Tablebody"/>
              <w:jc w:val="center"/>
            </w:pPr>
            <w:r>
              <w:rPr>
                <w:i/>
                <w:iCs/>
              </w:rPr>
              <w:t>n</w:t>
            </w:r>
            <w:r>
              <w:rPr>
                <w:iCs/>
              </w:rPr>
              <w:t xml:space="preserve"> </w:t>
            </w:r>
            <w:r>
              <w:t>= 884</w:t>
            </w:r>
          </w:p>
        </w:tc>
      </w:tr>
      <w:tr w:rsidR="004922C8" w14:paraId="35409504" w14:textId="77777777">
        <w:trPr>
          <w:trHeight w:val="362"/>
        </w:trPr>
        <w:tc>
          <w:tcPr>
            <w:tcW w:w="2923" w:type="pct"/>
            <w:vAlign w:val="center"/>
          </w:tcPr>
          <w:p w14:paraId="7F013309" w14:textId="77777777" w:rsidR="004922C8" w:rsidRDefault="00605271">
            <w:pPr>
              <w:pStyle w:val="Tablebody"/>
              <w:rPr>
                <w:rFonts w:eastAsia="宋体"/>
              </w:rPr>
            </w:pPr>
            <w:r>
              <w:rPr>
                <w:rFonts w:eastAsia="宋体"/>
              </w:rPr>
              <w:t>0/2</w:t>
            </w:r>
          </w:p>
        </w:tc>
        <w:tc>
          <w:tcPr>
            <w:tcW w:w="2077" w:type="pct"/>
            <w:vAlign w:val="center"/>
          </w:tcPr>
          <w:p w14:paraId="6C0FCD37" w14:textId="77777777" w:rsidR="004922C8" w:rsidRDefault="00605271">
            <w:pPr>
              <w:pStyle w:val="Tablebody"/>
              <w:jc w:val="center"/>
            </w:pPr>
            <w:r>
              <w:t>1</w:t>
            </w:r>
          </w:p>
        </w:tc>
      </w:tr>
      <w:tr w:rsidR="004922C8" w14:paraId="2DA214F3" w14:textId="77777777">
        <w:tc>
          <w:tcPr>
            <w:tcW w:w="2923" w:type="pct"/>
            <w:vAlign w:val="center"/>
          </w:tcPr>
          <w:p w14:paraId="09A192CC" w14:textId="77777777" w:rsidR="004922C8" w:rsidRDefault="00605271">
            <w:pPr>
              <w:pStyle w:val="Tablebody"/>
            </w:pPr>
            <w:r>
              <w:t>1/0</w:t>
            </w:r>
          </w:p>
        </w:tc>
        <w:tc>
          <w:tcPr>
            <w:tcW w:w="2077" w:type="pct"/>
            <w:vAlign w:val="center"/>
          </w:tcPr>
          <w:p w14:paraId="16895582" w14:textId="77777777" w:rsidR="004922C8" w:rsidRDefault="00605271">
            <w:pPr>
              <w:pStyle w:val="Tablebody"/>
              <w:jc w:val="center"/>
              <w:rPr>
                <w:rFonts w:eastAsia="宋体"/>
              </w:rPr>
            </w:pPr>
            <w:r>
              <w:rPr>
                <w:rFonts w:eastAsia="宋体"/>
              </w:rPr>
              <w:t>1</w:t>
            </w:r>
          </w:p>
        </w:tc>
      </w:tr>
      <w:tr w:rsidR="004922C8" w14:paraId="1ED61850" w14:textId="77777777">
        <w:tc>
          <w:tcPr>
            <w:tcW w:w="2923" w:type="pct"/>
            <w:vAlign w:val="center"/>
          </w:tcPr>
          <w:p w14:paraId="3E0A7503" w14:textId="77777777" w:rsidR="004922C8" w:rsidRDefault="00605271">
            <w:pPr>
              <w:pStyle w:val="Tablebody"/>
              <w:rPr>
                <w:rFonts w:eastAsia="宋体"/>
              </w:rPr>
            </w:pPr>
            <w:r>
              <w:rPr>
                <w:rFonts w:eastAsia="宋体"/>
              </w:rPr>
              <w:t>1/1</w:t>
            </w:r>
          </w:p>
        </w:tc>
        <w:tc>
          <w:tcPr>
            <w:tcW w:w="2077" w:type="pct"/>
            <w:vAlign w:val="center"/>
          </w:tcPr>
          <w:p w14:paraId="3237B98D" w14:textId="77777777" w:rsidR="004922C8" w:rsidRDefault="00605271">
            <w:pPr>
              <w:pStyle w:val="Tablebody"/>
              <w:jc w:val="center"/>
              <w:rPr>
                <w:rFonts w:eastAsia="宋体"/>
              </w:rPr>
            </w:pPr>
            <w:r>
              <w:rPr>
                <w:rFonts w:eastAsia="宋体"/>
              </w:rPr>
              <w:t>126</w:t>
            </w:r>
          </w:p>
        </w:tc>
      </w:tr>
      <w:tr w:rsidR="004922C8" w14:paraId="0D995BA4" w14:textId="77777777">
        <w:trPr>
          <w:trHeight w:val="300"/>
        </w:trPr>
        <w:tc>
          <w:tcPr>
            <w:tcW w:w="2923" w:type="pct"/>
            <w:vAlign w:val="center"/>
          </w:tcPr>
          <w:p w14:paraId="166F707C" w14:textId="77777777" w:rsidR="004922C8" w:rsidRDefault="00605271">
            <w:pPr>
              <w:pStyle w:val="Tablebody"/>
            </w:pPr>
            <w:r>
              <w:t>1/2</w:t>
            </w:r>
          </w:p>
        </w:tc>
        <w:tc>
          <w:tcPr>
            <w:tcW w:w="2077" w:type="pct"/>
            <w:vAlign w:val="center"/>
          </w:tcPr>
          <w:p w14:paraId="4C3AFA18" w14:textId="77777777" w:rsidR="004922C8" w:rsidRDefault="00605271">
            <w:pPr>
              <w:pStyle w:val="Tablebody"/>
              <w:jc w:val="center"/>
              <w:rPr>
                <w:rFonts w:eastAsia="宋体"/>
              </w:rPr>
            </w:pPr>
            <w:r>
              <w:rPr>
                <w:rFonts w:eastAsia="宋体"/>
              </w:rPr>
              <w:t>53</w:t>
            </w:r>
          </w:p>
        </w:tc>
      </w:tr>
      <w:tr w:rsidR="004922C8" w14:paraId="0568C8D9" w14:textId="77777777">
        <w:tc>
          <w:tcPr>
            <w:tcW w:w="2923" w:type="pct"/>
            <w:vAlign w:val="center"/>
          </w:tcPr>
          <w:p w14:paraId="4F5D4BCA" w14:textId="77777777" w:rsidR="004922C8" w:rsidRDefault="00605271">
            <w:pPr>
              <w:pStyle w:val="Tablebody"/>
            </w:pPr>
            <w:r>
              <w:t>2/1</w:t>
            </w:r>
          </w:p>
        </w:tc>
        <w:tc>
          <w:tcPr>
            <w:tcW w:w="2077" w:type="pct"/>
            <w:vAlign w:val="center"/>
          </w:tcPr>
          <w:p w14:paraId="49315A7A" w14:textId="77777777" w:rsidR="004922C8" w:rsidRDefault="00605271">
            <w:pPr>
              <w:pStyle w:val="Tablebody"/>
              <w:jc w:val="center"/>
            </w:pPr>
            <w:r>
              <w:t>83</w:t>
            </w:r>
          </w:p>
        </w:tc>
      </w:tr>
      <w:tr w:rsidR="004922C8" w14:paraId="2EC119C9" w14:textId="77777777">
        <w:tc>
          <w:tcPr>
            <w:tcW w:w="2923" w:type="pct"/>
            <w:vAlign w:val="center"/>
          </w:tcPr>
          <w:p w14:paraId="1FEDEE19" w14:textId="77777777" w:rsidR="004922C8" w:rsidRDefault="00605271">
            <w:pPr>
              <w:pStyle w:val="Tablebody"/>
            </w:pPr>
            <w:r>
              <w:t>2/2</w:t>
            </w:r>
          </w:p>
        </w:tc>
        <w:tc>
          <w:tcPr>
            <w:tcW w:w="2077" w:type="pct"/>
            <w:vAlign w:val="center"/>
          </w:tcPr>
          <w:p w14:paraId="05D3F094" w14:textId="77777777" w:rsidR="004922C8" w:rsidRDefault="00605271">
            <w:pPr>
              <w:pStyle w:val="Tablebody"/>
              <w:jc w:val="center"/>
            </w:pPr>
            <w:r>
              <w:t>620</w:t>
            </w:r>
          </w:p>
        </w:tc>
      </w:tr>
    </w:tbl>
    <w:p w14:paraId="07C4D981" w14:textId="77777777" w:rsidR="004922C8" w:rsidRDefault="004922C8">
      <w:pPr>
        <w:pStyle w:val="Tablefooter"/>
      </w:pPr>
    </w:p>
    <w:p w14:paraId="6FE41557" w14:textId="77777777" w:rsidR="004922C8" w:rsidRDefault="004922C8">
      <w:pPr>
        <w:pStyle w:val="Tablefooter"/>
      </w:pPr>
    </w:p>
    <w:p w14:paraId="43C30417" w14:textId="77777777" w:rsidR="004922C8" w:rsidRDefault="00605271">
      <w:pPr>
        <w:pStyle w:val="Tablecaption"/>
        <w:spacing w:before="360" w:after="360"/>
      </w:pPr>
      <w:r>
        <w:t>Table 3. Comparison of the coincidence rates of E7/E8 detection by the two reagents for 694 samples</w:t>
      </w:r>
      <w:r>
        <w:rPr>
          <w:i/>
          <w:smallCaps/>
          <w:shd w:val="clear" w:color="auto" w:fill="FFFFFF"/>
        </w:rPr>
        <w:t xml:space="preserve"> </w:t>
      </w:r>
      <w:r>
        <w:rPr>
          <w:iCs/>
          <w:smallCaps/>
          <w:shd w:val="clear" w:color="auto" w:fill="FFFFFF"/>
        </w:rPr>
        <w:t>[</w:t>
      </w:r>
      <w:r>
        <w:rPr>
          <w:shd w:val="clear" w:color="auto" w:fill="FFFFFF"/>
        </w:rPr>
        <w:t>n</w:t>
      </w:r>
      <w:proofErr w:type="gramStart"/>
      <w:r>
        <w:rPr>
          <w:shd w:val="clear" w:color="auto" w:fill="FFFFFF"/>
        </w:rPr>
        <w:t>/(</w:t>
      </w:r>
      <w:proofErr w:type="gramEnd"/>
      <w:r>
        <w:rPr>
          <w:shd w:val="clear" w:color="auto" w:fill="FFFFFF"/>
        </w:rPr>
        <w:t>%)].</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1375"/>
        <w:gridCol w:w="1788"/>
        <w:gridCol w:w="1625"/>
        <w:gridCol w:w="1619"/>
        <w:gridCol w:w="1628"/>
      </w:tblGrid>
      <w:tr w:rsidR="004922C8" w14:paraId="3E13BABA" w14:textId="77777777">
        <w:trPr>
          <w:trHeight w:val="362"/>
        </w:trPr>
        <w:tc>
          <w:tcPr>
            <w:tcW w:w="826" w:type="pct"/>
            <w:vMerge w:val="restart"/>
            <w:vAlign w:val="center"/>
          </w:tcPr>
          <w:p w14:paraId="2B80B8EE" w14:textId="77777777" w:rsidR="004922C8" w:rsidRDefault="00605271">
            <w:pPr>
              <w:pStyle w:val="Tablefooter"/>
              <w:jc w:val="left"/>
            </w:pPr>
            <w:r>
              <w:rPr>
                <w:rFonts w:eastAsia="Segoe UI"/>
                <w:shd w:val="clear" w:color="auto" w:fill="FFFFFF"/>
              </w:rPr>
              <w:t>E7/E8 copy number</w:t>
            </w:r>
          </w:p>
        </w:tc>
        <w:tc>
          <w:tcPr>
            <w:tcW w:w="715" w:type="pct"/>
            <w:vMerge w:val="restart"/>
            <w:vAlign w:val="center"/>
          </w:tcPr>
          <w:p w14:paraId="04433C62" w14:textId="77777777" w:rsidR="004922C8" w:rsidRDefault="00605271">
            <w:pPr>
              <w:pStyle w:val="Tablefooter"/>
              <w:jc w:val="center"/>
            </w:pPr>
            <w:r>
              <w:rPr>
                <w:i/>
                <w:iCs/>
              </w:rPr>
              <w:t>n</w:t>
            </w:r>
            <w:r>
              <w:rPr>
                <w:iCs/>
              </w:rPr>
              <w:t xml:space="preserve"> </w:t>
            </w:r>
            <w:r>
              <w:t>= 694</w:t>
            </w:r>
          </w:p>
        </w:tc>
        <w:tc>
          <w:tcPr>
            <w:tcW w:w="1771" w:type="pct"/>
            <w:gridSpan w:val="2"/>
          </w:tcPr>
          <w:p w14:paraId="22703EBD" w14:textId="77777777" w:rsidR="004922C8" w:rsidRDefault="00605271">
            <w:pPr>
              <w:pStyle w:val="Tablefooter"/>
              <w:jc w:val="center"/>
            </w:pPr>
            <w:r>
              <w:t>Reagent A (Five-Color Stone)</w:t>
            </w:r>
          </w:p>
        </w:tc>
        <w:tc>
          <w:tcPr>
            <w:tcW w:w="1685" w:type="pct"/>
            <w:gridSpan w:val="2"/>
          </w:tcPr>
          <w:p w14:paraId="4723A8E9" w14:textId="77777777" w:rsidR="004922C8" w:rsidRDefault="00605271">
            <w:pPr>
              <w:pStyle w:val="Tablefooter"/>
              <w:jc w:val="center"/>
            </w:pPr>
            <w:r>
              <w:t>Reagent B (Tianlong)</w:t>
            </w:r>
          </w:p>
        </w:tc>
      </w:tr>
      <w:tr w:rsidR="004922C8" w14:paraId="2A2720CE" w14:textId="77777777">
        <w:trPr>
          <w:trHeight w:val="362"/>
        </w:trPr>
        <w:tc>
          <w:tcPr>
            <w:tcW w:w="826" w:type="pct"/>
            <w:vMerge/>
            <w:vAlign w:val="center"/>
          </w:tcPr>
          <w:p w14:paraId="15EF415F" w14:textId="77777777" w:rsidR="004922C8" w:rsidRDefault="004922C8">
            <w:pPr>
              <w:pStyle w:val="Tablefooter"/>
              <w:jc w:val="left"/>
              <w:rPr>
                <w:rFonts w:eastAsia="Segoe UI"/>
                <w:shd w:val="clear" w:color="auto" w:fill="FFFFFF"/>
              </w:rPr>
            </w:pPr>
          </w:p>
        </w:tc>
        <w:tc>
          <w:tcPr>
            <w:tcW w:w="715" w:type="pct"/>
            <w:vMerge/>
            <w:vAlign w:val="center"/>
          </w:tcPr>
          <w:p w14:paraId="16AB9E26" w14:textId="77777777" w:rsidR="004922C8" w:rsidRDefault="004922C8">
            <w:pPr>
              <w:pStyle w:val="Tablefooter"/>
              <w:jc w:val="center"/>
            </w:pPr>
          </w:p>
        </w:tc>
        <w:tc>
          <w:tcPr>
            <w:tcW w:w="928" w:type="pct"/>
            <w:vAlign w:val="center"/>
          </w:tcPr>
          <w:p w14:paraId="50DED9F7" w14:textId="77777777" w:rsidR="004922C8" w:rsidRDefault="00605271">
            <w:pPr>
              <w:pStyle w:val="Tablefooter"/>
              <w:jc w:val="center"/>
            </w:pPr>
            <w:r>
              <w:t xml:space="preserve">E7 compliance </w:t>
            </w:r>
            <w:r>
              <w:rPr>
                <w:rFonts w:eastAsia="宋体"/>
                <w:shd w:val="clear" w:color="auto" w:fill="FFFFFF"/>
              </w:rPr>
              <w:t>frequency</w:t>
            </w:r>
          </w:p>
        </w:tc>
        <w:tc>
          <w:tcPr>
            <w:tcW w:w="842" w:type="pct"/>
            <w:vAlign w:val="center"/>
          </w:tcPr>
          <w:p w14:paraId="105CC17C" w14:textId="77777777" w:rsidR="004922C8" w:rsidRDefault="00605271">
            <w:pPr>
              <w:pStyle w:val="Tablefooter"/>
              <w:jc w:val="center"/>
            </w:pPr>
            <w:r>
              <w:t xml:space="preserve">E8 compliance </w:t>
            </w:r>
            <w:r>
              <w:rPr>
                <w:rFonts w:eastAsia="宋体"/>
                <w:shd w:val="clear" w:color="auto" w:fill="FFFFFF"/>
              </w:rPr>
              <w:t>frequency</w:t>
            </w:r>
          </w:p>
        </w:tc>
        <w:tc>
          <w:tcPr>
            <w:tcW w:w="840" w:type="pct"/>
            <w:vAlign w:val="center"/>
          </w:tcPr>
          <w:p w14:paraId="517762F9" w14:textId="77777777" w:rsidR="004922C8" w:rsidRDefault="00605271">
            <w:pPr>
              <w:pStyle w:val="Tablefooter"/>
              <w:jc w:val="center"/>
            </w:pPr>
            <w:r>
              <w:t xml:space="preserve">E7 compliance </w:t>
            </w:r>
            <w:r>
              <w:rPr>
                <w:rFonts w:eastAsia="宋体"/>
                <w:shd w:val="clear" w:color="auto" w:fill="FFFFFF"/>
              </w:rPr>
              <w:t>frequency</w:t>
            </w:r>
          </w:p>
        </w:tc>
        <w:tc>
          <w:tcPr>
            <w:tcW w:w="844" w:type="pct"/>
            <w:vAlign w:val="center"/>
          </w:tcPr>
          <w:p w14:paraId="6C1CDBBF" w14:textId="77777777" w:rsidR="004922C8" w:rsidRDefault="00605271">
            <w:pPr>
              <w:pStyle w:val="Tablefooter"/>
              <w:jc w:val="center"/>
            </w:pPr>
            <w:r>
              <w:t xml:space="preserve">E8 compliance </w:t>
            </w:r>
            <w:r>
              <w:rPr>
                <w:rFonts w:eastAsia="宋体"/>
                <w:shd w:val="clear" w:color="auto" w:fill="FFFFFF"/>
              </w:rPr>
              <w:t>frequency</w:t>
            </w:r>
          </w:p>
        </w:tc>
      </w:tr>
      <w:tr w:rsidR="004922C8" w14:paraId="68D80F18" w14:textId="77777777">
        <w:trPr>
          <w:trHeight w:val="362"/>
        </w:trPr>
        <w:tc>
          <w:tcPr>
            <w:tcW w:w="826" w:type="pct"/>
            <w:vAlign w:val="center"/>
          </w:tcPr>
          <w:p w14:paraId="3A224066" w14:textId="77777777" w:rsidR="004922C8" w:rsidRDefault="00605271">
            <w:pPr>
              <w:pStyle w:val="Tablefooter"/>
              <w:jc w:val="left"/>
              <w:rPr>
                <w:rFonts w:eastAsia="宋体"/>
              </w:rPr>
            </w:pPr>
            <w:r>
              <w:rPr>
                <w:rFonts w:eastAsia="宋体"/>
              </w:rPr>
              <w:t>1/1</w:t>
            </w:r>
          </w:p>
        </w:tc>
        <w:tc>
          <w:tcPr>
            <w:tcW w:w="715" w:type="pct"/>
            <w:vAlign w:val="center"/>
          </w:tcPr>
          <w:p w14:paraId="4F0D606C" w14:textId="77777777" w:rsidR="004922C8" w:rsidRDefault="00605271">
            <w:pPr>
              <w:pStyle w:val="Tablefooter"/>
              <w:jc w:val="center"/>
            </w:pPr>
            <w:r>
              <w:t>98</w:t>
            </w:r>
          </w:p>
        </w:tc>
        <w:tc>
          <w:tcPr>
            <w:tcW w:w="928" w:type="pct"/>
          </w:tcPr>
          <w:p w14:paraId="4F38E121" w14:textId="77777777" w:rsidR="004922C8" w:rsidRDefault="00605271">
            <w:pPr>
              <w:pStyle w:val="Tablefooter"/>
              <w:jc w:val="center"/>
            </w:pPr>
            <w:r>
              <w:t>95</w:t>
            </w:r>
            <w:r>
              <w:rPr>
                <w:rFonts w:eastAsia="宋体"/>
              </w:rPr>
              <w:t xml:space="preserve"> (</w:t>
            </w:r>
            <w:r>
              <w:t>96.94</w:t>
            </w:r>
            <w:r>
              <w:rPr>
                <w:rFonts w:eastAsia="宋体"/>
              </w:rPr>
              <w:t>)</w:t>
            </w:r>
          </w:p>
        </w:tc>
        <w:tc>
          <w:tcPr>
            <w:tcW w:w="842" w:type="pct"/>
          </w:tcPr>
          <w:p w14:paraId="54219D48" w14:textId="77777777" w:rsidR="004922C8" w:rsidRDefault="00605271">
            <w:pPr>
              <w:pStyle w:val="Tablefooter"/>
              <w:jc w:val="center"/>
            </w:pPr>
            <w:r>
              <w:t>93</w:t>
            </w:r>
            <w:r>
              <w:rPr>
                <w:rFonts w:eastAsia="宋体"/>
              </w:rPr>
              <w:t xml:space="preserve"> (</w:t>
            </w:r>
            <w:r>
              <w:t>94.90</w:t>
            </w:r>
            <w:r>
              <w:rPr>
                <w:rFonts w:eastAsia="宋体"/>
              </w:rPr>
              <w:t>)</w:t>
            </w:r>
          </w:p>
        </w:tc>
        <w:tc>
          <w:tcPr>
            <w:tcW w:w="840" w:type="pct"/>
          </w:tcPr>
          <w:p w14:paraId="289BBB62" w14:textId="77777777" w:rsidR="004922C8" w:rsidRDefault="00605271">
            <w:pPr>
              <w:pStyle w:val="Tablefooter"/>
              <w:jc w:val="center"/>
            </w:pPr>
            <w:r>
              <w:t>98</w:t>
            </w:r>
            <w:r>
              <w:rPr>
                <w:rFonts w:eastAsia="宋体"/>
              </w:rPr>
              <w:t xml:space="preserve"> (</w:t>
            </w:r>
            <w:r>
              <w:t>100.00</w:t>
            </w:r>
            <w:r>
              <w:rPr>
                <w:rFonts w:eastAsia="宋体"/>
              </w:rPr>
              <w:t>)</w:t>
            </w:r>
          </w:p>
        </w:tc>
        <w:tc>
          <w:tcPr>
            <w:tcW w:w="844" w:type="pct"/>
          </w:tcPr>
          <w:p w14:paraId="79706B7A" w14:textId="77777777" w:rsidR="004922C8" w:rsidRDefault="00605271">
            <w:pPr>
              <w:pStyle w:val="Tablefooter"/>
              <w:jc w:val="center"/>
            </w:pPr>
            <w:r>
              <w:t>98</w:t>
            </w:r>
            <w:r>
              <w:rPr>
                <w:rFonts w:eastAsia="宋体"/>
              </w:rPr>
              <w:t xml:space="preserve"> (</w:t>
            </w:r>
            <w:r>
              <w:t>100.00</w:t>
            </w:r>
            <w:r>
              <w:rPr>
                <w:rFonts w:eastAsia="宋体"/>
              </w:rPr>
              <w:t>)</w:t>
            </w:r>
          </w:p>
        </w:tc>
      </w:tr>
      <w:tr w:rsidR="004922C8" w14:paraId="45FC509F" w14:textId="77777777">
        <w:tc>
          <w:tcPr>
            <w:tcW w:w="826" w:type="pct"/>
            <w:vAlign w:val="center"/>
          </w:tcPr>
          <w:p w14:paraId="43C7FB96" w14:textId="77777777" w:rsidR="004922C8" w:rsidRDefault="00605271">
            <w:pPr>
              <w:pStyle w:val="Tablefooter"/>
              <w:jc w:val="left"/>
            </w:pPr>
            <w:r>
              <w:t>1/2</w:t>
            </w:r>
          </w:p>
        </w:tc>
        <w:tc>
          <w:tcPr>
            <w:tcW w:w="715" w:type="pct"/>
            <w:vAlign w:val="center"/>
          </w:tcPr>
          <w:p w14:paraId="6A0B8A99" w14:textId="77777777" w:rsidR="004922C8" w:rsidRDefault="00605271">
            <w:pPr>
              <w:pStyle w:val="Tablefooter"/>
              <w:jc w:val="center"/>
              <w:rPr>
                <w:rFonts w:eastAsia="宋体"/>
              </w:rPr>
            </w:pPr>
            <w:r>
              <w:rPr>
                <w:rFonts w:eastAsia="宋体"/>
              </w:rPr>
              <w:t>24</w:t>
            </w:r>
          </w:p>
        </w:tc>
        <w:tc>
          <w:tcPr>
            <w:tcW w:w="928" w:type="pct"/>
          </w:tcPr>
          <w:p w14:paraId="57D0F901" w14:textId="77777777" w:rsidR="004922C8" w:rsidRDefault="00605271">
            <w:pPr>
              <w:pStyle w:val="Tablefooter"/>
              <w:jc w:val="center"/>
            </w:pPr>
            <w:r>
              <w:t>22</w:t>
            </w:r>
            <w:r>
              <w:rPr>
                <w:rFonts w:eastAsia="宋体"/>
              </w:rPr>
              <w:t xml:space="preserve"> (</w:t>
            </w:r>
            <w:r>
              <w:t>91.67</w:t>
            </w:r>
            <w:r>
              <w:rPr>
                <w:rFonts w:eastAsia="宋体"/>
              </w:rPr>
              <w:t>)</w:t>
            </w:r>
          </w:p>
        </w:tc>
        <w:tc>
          <w:tcPr>
            <w:tcW w:w="842" w:type="pct"/>
          </w:tcPr>
          <w:p w14:paraId="06ED8B03" w14:textId="77777777" w:rsidR="004922C8" w:rsidRDefault="00605271">
            <w:pPr>
              <w:pStyle w:val="Tablefooter"/>
              <w:jc w:val="center"/>
            </w:pPr>
            <w:r>
              <w:t>17</w:t>
            </w:r>
            <w:r>
              <w:rPr>
                <w:rFonts w:eastAsia="宋体"/>
              </w:rPr>
              <w:t xml:space="preserve"> (</w:t>
            </w:r>
            <w:r>
              <w:t>70.83</w:t>
            </w:r>
            <w:r>
              <w:rPr>
                <w:rFonts w:eastAsia="宋体"/>
              </w:rPr>
              <w:t>)</w:t>
            </w:r>
          </w:p>
        </w:tc>
        <w:tc>
          <w:tcPr>
            <w:tcW w:w="840" w:type="pct"/>
          </w:tcPr>
          <w:p w14:paraId="61FA97ED" w14:textId="77777777" w:rsidR="004922C8" w:rsidRDefault="00605271">
            <w:pPr>
              <w:pStyle w:val="Tablefooter"/>
              <w:jc w:val="center"/>
            </w:pPr>
            <w:r>
              <w:t>24</w:t>
            </w:r>
            <w:r>
              <w:rPr>
                <w:rFonts w:eastAsia="宋体"/>
              </w:rPr>
              <w:t xml:space="preserve"> (</w:t>
            </w:r>
            <w:r>
              <w:t>100.00</w:t>
            </w:r>
            <w:r>
              <w:rPr>
                <w:rFonts w:eastAsia="宋体"/>
              </w:rPr>
              <w:t>)</w:t>
            </w:r>
          </w:p>
        </w:tc>
        <w:tc>
          <w:tcPr>
            <w:tcW w:w="844" w:type="pct"/>
          </w:tcPr>
          <w:p w14:paraId="65A354E2" w14:textId="77777777" w:rsidR="004922C8" w:rsidRDefault="00605271">
            <w:pPr>
              <w:pStyle w:val="Tablefooter"/>
              <w:jc w:val="center"/>
            </w:pPr>
            <w:r>
              <w:t>24</w:t>
            </w:r>
            <w:r>
              <w:rPr>
                <w:rFonts w:eastAsia="宋体"/>
              </w:rPr>
              <w:t xml:space="preserve"> (</w:t>
            </w:r>
            <w:r>
              <w:t>100.00</w:t>
            </w:r>
            <w:r>
              <w:rPr>
                <w:rFonts w:eastAsia="宋体"/>
              </w:rPr>
              <w:t>)</w:t>
            </w:r>
          </w:p>
        </w:tc>
      </w:tr>
      <w:tr w:rsidR="004922C8" w14:paraId="732A9D30" w14:textId="77777777">
        <w:trPr>
          <w:trHeight w:val="300"/>
        </w:trPr>
        <w:tc>
          <w:tcPr>
            <w:tcW w:w="826" w:type="pct"/>
            <w:vAlign w:val="center"/>
          </w:tcPr>
          <w:p w14:paraId="7BADBA86" w14:textId="77777777" w:rsidR="004922C8" w:rsidRDefault="00605271">
            <w:pPr>
              <w:pStyle w:val="Tablefooter"/>
              <w:jc w:val="left"/>
            </w:pPr>
            <w:r>
              <w:t>2/1</w:t>
            </w:r>
          </w:p>
        </w:tc>
        <w:tc>
          <w:tcPr>
            <w:tcW w:w="715" w:type="pct"/>
            <w:vAlign w:val="center"/>
          </w:tcPr>
          <w:p w14:paraId="52D9B3EB" w14:textId="77777777" w:rsidR="004922C8" w:rsidRDefault="00605271">
            <w:pPr>
              <w:pStyle w:val="Tablefooter"/>
              <w:jc w:val="center"/>
              <w:rPr>
                <w:rFonts w:eastAsia="宋体"/>
              </w:rPr>
            </w:pPr>
            <w:r>
              <w:rPr>
                <w:rFonts w:eastAsia="宋体"/>
              </w:rPr>
              <w:t>69</w:t>
            </w:r>
          </w:p>
        </w:tc>
        <w:tc>
          <w:tcPr>
            <w:tcW w:w="928" w:type="pct"/>
          </w:tcPr>
          <w:p w14:paraId="04D82759" w14:textId="77777777" w:rsidR="004922C8" w:rsidRDefault="00605271">
            <w:pPr>
              <w:pStyle w:val="Tablefooter"/>
              <w:jc w:val="center"/>
            </w:pPr>
            <w:r>
              <w:t>55</w:t>
            </w:r>
            <w:r>
              <w:rPr>
                <w:rFonts w:eastAsia="宋体"/>
              </w:rPr>
              <w:t xml:space="preserve"> (</w:t>
            </w:r>
            <w:r>
              <w:t>79.71</w:t>
            </w:r>
            <w:r>
              <w:rPr>
                <w:rFonts w:eastAsia="宋体"/>
              </w:rPr>
              <w:t>)</w:t>
            </w:r>
          </w:p>
        </w:tc>
        <w:tc>
          <w:tcPr>
            <w:tcW w:w="842" w:type="pct"/>
          </w:tcPr>
          <w:p w14:paraId="736A472A" w14:textId="77777777" w:rsidR="004922C8" w:rsidRDefault="00605271">
            <w:pPr>
              <w:pStyle w:val="Tablefooter"/>
              <w:jc w:val="center"/>
            </w:pPr>
            <w:r>
              <w:t>50</w:t>
            </w:r>
            <w:r>
              <w:rPr>
                <w:rFonts w:eastAsia="宋体"/>
              </w:rPr>
              <w:t xml:space="preserve"> (</w:t>
            </w:r>
            <w:r>
              <w:t>72.46</w:t>
            </w:r>
            <w:r>
              <w:rPr>
                <w:rFonts w:eastAsia="宋体"/>
              </w:rPr>
              <w:t>)</w:t>
            </w:r>
          </w:p>
        </w:tc>
        <w:tc>
          <w:tcPr>
            <w:tcW w:w="840" w:type="pct"/>
          </w:tcPr>
          <w:p w14:paraId="4F38FB30" w14:textId="77777777" w:rsidR="004922C8" w:rsidRDefault="00605271">
            <w:pPr>
              <w:pStyle w:val="Tablefooter"/>
              <w:jc w:val="center"/>
            </w:pPr>
            <w:r>
              <w:t>68</w:t>
            </w:r>
            <w:r>
              <w:rPr>
                <w:rFonts w:eastAsia="宋体"/>
              </w:rPr>
              <w:t xml:space="preserve"> (</w:t>
            </w:r>
            <w:r>
              <w:t>98.55</w:t>
            </w:r>
            <w:r>
              <w:rPr>
                <w:rFonts w:eastAsia="宋体"/>
              </w:rPr>
              <w:t>)</w:t>
            </w:r>
          </w:p>
        </w:tc>
        <w:tc>
          <w:tcPr>
            <w:tcW w:w="844" w:type="pct"/>
          </w:tcPr>
          <w:p w14:paraId="58092DB0" w14:textId="77777777" w:rsidR="004922C8" w:rsidRDefault="00605271">
            <w:pPr>
              <w:pStyle w:val="Tablefooter"/>
              <w:jc w:val="center"/>
            </w:pPr>
            <w:r>
              <w:t>68</w:t>
            </w:r>
            <w:r>
              <w:rPr>
                <w:rFonts w:eastAsia="宋体"/>
              </w:rPr>
              <w:t xml:space="preserve"> (</w:t>
            </w:r>
            <w:r>
              <w:t>98.55</w:t>
            </w:r>
            <w:r>
              <w:rPr>
                <w:rFonts w:eastAsia="宋体"/>
              </w:rPr>
              <w:t>)</w:t>
            </w:r>
          </w:p>
        </w:tc>
      </w:tr>
      <w:tr w:rsidR="004922C8" w14:paraId="2A6931D7" w14:textId="77777777">
        <w:tc>
          <w:tcPr>
            <w:tcW w:w="826" w:type="pct"/>
            <w:vAlign w:val="center"/>
          </w:tcPr>
          <w:p w14:paraId="44DD3BFD" w14:textId="77777777" w:rsidR="004922C8" w:rsidRDefault="00605271">
            <w:pPr>
              <w:pStyle w:val="Tablefooter"/>
              <w:jc w:val="left"/>
            </w:pPr>
            <w:r>
              <w:t>2/2</w:t>
            </w:r>
          </w:p>
        </w:tc>
        <w:tc>
          <w:tcPr>
            <w:tcW w:w="715" w:type="pct"/>
            <w:vAlign w:val="center"/>
          </w:tcPr>
          <w:p w14:paraId="765334FE" w14:textId="77777777" w:rsidR="004922C8" w:rsidRDefault="00605271">
            <w:pPr>
              <w:pStyle w:val="Tablefooter"/>
              <w:jc w:val="center"/>
            </w:pPr>
            <w:r>
              <w:t>503</w:t>
            </w:r>
          </w:p>
        </w:tc>
        <w:tc>
          <w:tcPr>
            <w:tcW w:w="928" w:type="pct"/>
          </w:tcPr>
          <w:p w14:paraId="7124FD8A" w14:textId="77777777" w:rsidR="004922C8" w:rsidRDefault="00605271">
            <w:pPr>
              <w:pStyle w:val="Tablefooter"/>
              <w:jc w:val="center"/>
            </w:pPr>
            <w:r>
              <w:t>259</w:t>
            </w:r>
            <w:r>
              <w:rPr>
                <w:rFonts w:eastAsia="宋体"/>
              </w:rPr>
              <w:t xml:space="preserve"> (</w:t>
            </w:r>
            <w:r>
              <w:t>51.49</w:t>
            </w:r>
            <w:r>
              <w:rPr>
                <w:rFonts w:eastAsia="宋体"/>
              </w:rPr>
              <w:t>)</w:t>
            </w:r>
          </w:p>
        </w:tc>
        <w:tc>
          <w:tcPr>
            <w:tcW w:w="842" w:type="pct"/>
          </w:tcPr>
          <w:p w14:paraId="331F8E58" w14:textId="77777777" w:rsidR="004922C8" w:rsidRDefault="00605271">
            <w:pPr>
              <w:pStyle w:val="Tablefooter"/>
              <w:jc w:val="center"/>
            </w:pPr>
            <w:r>
              <w:t>361</w:t>
            </w:r>
            <w:r>
              <w:rPr>
                <w:rFonts w:eastAsia="宋体"/>
              </w:rPr>
              <w:t xml:space="preserve"> (</w:t>
            </w:r>
            <w:r>
              <w:t>71.77</w:t>
            </w:r>
            <w:r>
              <w:rPr>
                <w:rFonts w:eastAsia="宋体"/>
              </w:rPr>
              <w:t>)</w:t>
            </w:r>
          </w:p>
        </w:tc>
        <w:tc>
          <w:tcPr>
            <w:tcW w:w="840" w:type="pct"/>
          </w:tcPr>
          <w:p w14:paraId="5CA49F82" w14:textId="77777777" w:rsidR="004922C8" w:rsidRDefault="00605271">
            <w:pPr>
              <w:pStyle w:val="Tablefooter"/>
              <w:jc w:val="center"/>
            </w:pPr>
            <w:r>
              <w:t>503</w:t>
            </w:r>
            <w:r>
              <w:rPr>
                <w:rFonts w:eastAsia="宋体"/>
              </w:rPr>
              <w:t xml:space="preserve"> (</w:t>
            </w:r>
            <w:r>
              <w:t>100.00</w:t>
            </w:r>
            <w:r>
              <w:rPr>
                <w:rFonts w:eastAsia="宋体"/>
              </w:rPr>
              <w:t>)</w:t>
            </w:r>
          </w:p>
        </w:tc>
        <w:tc>
          <w:tcPr>
            <w:tcW w:w="844" w:type="pct"/>
          </w:tcPr>
          <w:p w14:paraId="32881A64" w14:textId="77777777" w:rsidR="004922C8" w:rsidRDefault="00605271">
            <w:pPr>
              <w:pStyle w:val="Tablefooter"/>
              <w:jc w:val="center"/>
            </w:pPr>
            <w:r>
              <w:t>503</w:t>
            </w:r>
            <w:r>
              <w:rPr>
                <w:rFonts w:eastAsia="宋体"/>
              </w:rPr>
              <w:t xml:space="preserve"> (</w:t>
            </w:r>
            <w:r>
              <w:t>100.00</w:t>
            </w:r>
            <w:r>
              <w:rPr>
                <w:rFonts w:eastAsia="宋体"/>
              </w:rPr>
              <w:t>)</w:t>
            </w:r>
          </w:p>
        </w:tc>
      </w:tr>
    </w:tbl>
    <w:p w14:paraId="2ED79C9F" w14:textId="77777777" w:rsidR="004922C8" w:rsidRDefault="004922C8">
      <w:pPr>
        <w:pStyle w:val="Tablefooter"/>
        <w:rPr>
          <w:rFonts w:eastAsia="宋体"/>
          <w:shd w:val="clear" w:color="auto" w:fill="FFFFFF"/>
        </w:rPr>
      </w:pPr>
    </w:p>
    <w:p w14:paraId="3EB4C77E" w14:textId="77777777" w:rsidR="004922C8" w:rsidRDefault="004922C8">
      <w:pPr>
        <w:pStyle w:val="Tablefooter"/>
        <w:rPr>
          <w:rFonts w:eastAsia="宋体"/>
          <w:shd w:val="clear" w:color="auto" w:fill="FFFFFF"/>
        </w:rPr>
      </w:pPr>
    </w:p>
    <w:p w14:paraId="2DE3B238" w14:textId="77777777" w:rsidR="004922C8" w:rsidRDefault="00605271">
      <w:pPr>
        <w:pStyle w:val="2"/>
        <w:rPr>
          <w:rFonts w:eastAsia="宋体"/>
          <w:shd w:val="clear" w:color="auto" w:fill="FFFFFF"/>
        </w:rPr>
      </w:pPr>
      <w:r>
        <w:rPr>
          <w:rFonts w:eastAsia="宋体"/>
          <w:shd w:val="clear" w:color="auto" w:fill="FFFFFF"/>
        </w:rPr>
        <w:t>3.4 Results of Spouse Screening and Prenatal Diagnosis</w:t>
      </w:r>
    </w:p>
    <w:p w14:paraId="1338E005" w14:textId="77777777" w:rsidR="004922C8" w:rsidRDefault="00605271">
      <w:pPr>
        <w:pStyle w:val="Text"/>
        <w:ind w:firstLine="420"/>
        <w:rPr>
          <w:rFonts w:eastAsia="宋体"/>
          <w:shd w:val="clear" w:color="auto" w:fill="FFFFFF"/>
        </w:rPr>
      </w:pPr>
      <w:r>
        <w:rPr>
          <w:rFonts w:eastAsia="宋体"/>
          <w:shd w:val="clear" w:color="auto" w:fill="FFFFFF"/>
        </w:rPr>
        <w:t>Among the 338 pregnant Among pregnant women who were confirmed carriers, the spouses of 276 women completed simultaneous screening, and four carrier spouses were detected, forming four couples in which both partners were carriers (spouse carrier detection frequency: 1.45%). The sensitivity and specificity of screening in pregnant women were 98.20% (95% CI: 96.10%–99.30%) and 99.80% (95% CI: 99.70%–99.90%), respectively. The positive predictive value and negative predictive value of spouse screening were 3.20% (95% CI: 1.20%–7.80%) and 99.90% (95% CI: 99.80%–100.00%), respectively.</w:t>
      </w:r>
    </w:p>
    <w:p w14:paraId="07F6D2D9" w14:textId="77777777" w:rsidR="004922C8" w:rsidRDefault="00605271">
      <w:pPr>
        <w:pStyle w:val="Text"/>
        <w:ind w:firstLine="420"/>
        <w:rPr>
          <w:rFonts w:eastAsia="宋体"/>
          <w:shd w:val="clear" w:color="auto" w:fill="FFFFFF"/>
        </w:rPr>
      </w:pPr>
      <w:r>
        <w:rPr>
          <w:rFonts w:eastAsia="宋体"/>
          <w:shd w:val="clear" w:color="auto" w:fill="FFFFFF"/>
        </w:rPr>
        <w:lastRenderedPageBreak/>
        <w:t xml:space="preserve">Among the four high-risk couples, one couple chose prenatal diagnosis (chorionic villus sampling at 10 weeks of gestation). MLPA analysis revealed homozygous deletion of </w:t>
      </w:r>
      <w:r>
        <w:rPr>
          <w:rFonts w:eastAsia="宋体"/>
          <w:i/>
          <w:shd w:val="clear" w:color="auto" w:fill="FFFFFF"/>
        </w:rPr>
        <w:t>SMN1</w:t>
      </w:r>
      <w:r>
        <w:rPr>
          <w:rFonts w:eastAsia="宋体"/>
          <w:shd w:val="clear" w:color="auto" w:fill="FFFFFF"/>
        </w:rPr>
        <w:t xml:space="preserve"> gene E7+E8 in the fetus, confirming an SMA-affected fetus. After genetic counseling, the couple chose to terminate the pregnancy. The other three couples did not undergo prenatal diagnosis.</w:t>
      </w:r>
      <w:r>
        <w:rPr>
          <w:shd w:val="clear" w:color="auto" w:fill="FFFFFF"/>
        </w:rPr>
        <w:t xml:space="preserve"> </w:t>
      </w:r>
      <w:r>
        <w:rPr>
          <w:rFonts w:eastAsia="宋体"/>
          <w:shd w:val="clear" w:color="auto" w:fill="FFFFFF"/>
        </w:rPr>
        <w:t xml:space="preserve">Third-generation sequencing of their newborns showed two cases with heterozygous deletion of the </w:t>
      </w:r>
      <w:r>
        <w:rPr>
          <w:rFonts w:eastAsia="宋体"/>
          <w:i/>
          <w:shd w:val="clear" w:color="auto" w:fill="FFFFFF"/>
        </w:rPr>
        <w:t>SMN1</w:t>
      </w:r>
      <w:r>
        <w:rPr>
          <w:rFonts w:eastAsia="宋体"/>
          <w:shd w:val="clear" w:color="auto" w:fill="FFFFFF"/>
        </w:rPr>
        <w:t xml:space="preserve"> gene (carriers) and one case with a normal genotype (copy number = 2), and none showed SMA-related symptoms during follow-up until 6 months of age (</w:t>
      </w:r>
      <w:r>
        <w:rPr>
          <w:shd w:val="clear" w:color="auto" w:fill="FFFFFF"/>
        </w:rPr>
        <w:t>Table 4</w:t>
      </w:r>
      <w:r>
        <w:rPr>
          <w:rFonts w:eastAsia="宋体"/>
          <w:shd w:val="clear" w:color="auto" w:fill="FFFFFF"/>
        </w:rPr>
        <w:t>).</w:t>
      </w:r>
    </w:p>
    <w:p w14:paraId="230376B2" w14:textId="77777777" w:rsidR="004922C8" w:rsidRDefault="00605271">
      <w:pPr>
        <w:pStyle w:val="Text"/>
        <w:ind w:firstLine="420"/>
        <w:rPr>
          <w:rFonts w:eastAsia="宋体"/>
          <w:shd w:val="clear" w:color="auto" w:fill="FFFFFF"/>
        </w:rPr>
      </w:pPr>
      <w:r>
        <w:rPr>
          <w:rFonts w:eastAsia="宋体"/>
          <w:shd w:val="clear" w:color="auto" w:fill="FFFFFF"/>
        </w:rPr>
        <w:t>The main reasons for refusal of prenatal diagnosis among the three couples were concerns about the potential risks of invasive procedures to the fetus in two couples and insufficient awareness of the severity of SMA in one couple. From an ethical perspective, it is necessary to strengthen pre-pregnancy genetic counseling, popularize knowledge about SMA and the safety of prenatal diagnosis, improve intervention compliance among high-risk groups, and simultaneously respect patients’ right to make independent choices.</w:t>
      </w:r>
    </w:p>
    <w:p w14:paraId="6A1912D9" w14:textId="77777777" w:rsidR="004922C8" w:rsidRDefault="00605271">
      <w:pPr>
        <w:pStyle w:val="Text"/>
        <w:ind w:firstLine="420"/>
        <w:rPr>
          <w:rFonts w:eastAsia="宋体"/>
          <w:shd w:val="clear" w:color="auto" w:fill="FFFFFF"/>
        </w:rPr>
      </w:pPr>
      <w:r>
        <w:rPr>
          <w:rFonts w:eastAsia="宋体"/>
          <w:shd w:val="clear" w:color="auto" w:fill="FFFFFF"/>
        </w:rPr>
        <w:t xml:space="preserve">Two cases of compound heterozygous variants were identified by third-generation sequencing, namely heterozygous deletion of E7 in pregnant women combined with a point mutation in their spouses (c.275C&gt;T) and heterozygous deletion of E8 in pregnant women combined with an insertion mutation in their spouses (c.456_457insG), both detected among the spouses of 248 individuals with initially positive screening results. In addition, to further exclude rare mutation types, third-generation sequencing verification was performed on the spouses and family members of the 248 initially screened positive pregnant women. One case was identified in which the spouse of a pregnant woman carried an </w:t>
      </w:r>
      <w:r>
        <w:rPr>
          <w:rFonts w:eastAsia="宋体"/>
          <w:i/>
          <w:shd w:val="clear" w:color="auto" w:fill="FFFFFF"/>
        </w:rPr>
        <w:t>SMN1</w:t>
      </w:r>
      <w:r>
        <w:rPr>
          <w:rFonts w:eastAsia="宋体"/>
          <w:shd w:val="clear" w:color="auto" w:fill="FFFFFF"/>
        </w:rPr>
        <w:t xml:space="preserve"> gene mutation. Subsequently, third-generation sequencing analysis of the family members of this pregnant woman (including her mother and newborn) showed that the newborn inherited the </w:t>
      </w:r>
      <w:r>
        <w:rPr>
          <w:rFonts w:eastAsia="宋体"/>
          <w:i/>
          <w:shd w:val="clear" w:color="auto" w:fill="FFFFFF"/>
        </w:rPr>
        <w:t>SMN1</w:t>
      </w:r>
      <w:r>
        <w:rPr>
          <w:rFonts w:eastAsia="宋体"/>
          <w:shd w:val="clear" w:color="auto" w:fill="FFFFFF"/>
        </w:rPr>
        <w:t xml:space="preserve"> gene mutation. As this newborn is a carrier of the pathogenic gene, although there is no immediate risk of disease onset, inclusion in a long-term follow-up monitoring system is still required to regularly assess motor development and neurological function status (</w:t>
      </w:r>
      <w:r>
        <w:rPr>
          <w:shd w:val="clear" w:color="auto" w:fill="FFFFFF"/>
        </w:rPr>
        <w:t>Fig. 3</w:t>
      </w:r>
      <w:r>
        <w:rPr>
          <w:rFonts w:eastAsia="宋体"/>
          <w:shd w:val="clear" w:color="auto" w:fill="FFFFFF"/>
        </w:rPr>
        <w:t>).</w:t>
      </w:r>
    </w:p>
    <w:p w14:paraId="082A9C5F" w14:textId="77777777" w:rsidR="004922C8" w:rsidRDefault="004922C8">
      <w:pPr>
        <w:pStyle w:val="Text"/>
        <w:ind w:firstLine="420"/>
        <w:rPr>
          <w:rFonts w:eastAsia="宋体"/>
          <w:shd w:val="clear" w:color="auto" w:fill="FFFFFF"/>
          <w:lang w:eastAsia="zh-CN"/>
        </w:rPr>
      </w:pPr>
    </w:p>
    <w:p w14:paraId="5EF4EFB6" w14:textId="77777777" w:rsidR="004922C8" w:rsidRDefault="00605271">
      <w:pPr>
        <w:pStyle w:val="Tablecaption"/>
        <w:spacing w:before="360" w:after="360"/>
        <w:rPr>
          <w:rFonts w:eastAsia="宋体"/>
          <w:bCs/>
        </w:rPr>
      </w:pPr>
      <w:r>
        <w:rPr>
          <w:shd w:val="clear" w:color="auto" w:fill="FFFFFF"/>
        </w:rPr>
        <w:t>Table 4</w:t>
      </w:r>
      <w:r>
        <w:rPr>
          <w:rFonts w:eastAsia="宋体"/>
          <w:shd w:val="clear" w:color="auto" w:fill="FFFFFF"/>
        </w:rPr>
        <w:t>. Prenatal diagnosis and newborn outcomes of couples who were both carriers.</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1792"/>
        <w:gridCol w:w="1642"/>
        <w:gridCol w:w="1640"/>
        <w:gridCol w:w="1640"/>
        <w:gridCol w:w="1640"/>
      </w:tblGrid>
      <w:tr w:rsidR="004922C8" w14:paraId="3036ADA8" w14:textId="77777777">
        <w:trPr>
          <w:trHeight w:val="362"/>
        </w:trPr>
        <w:tc>
          <w:tcPr>
            <w:tcW w:w="660" w:type="pct"/>
            <w:vAlign w:val="center"/>
          </w:tcPr>
          <w:p w14:paraId="759D13FF" w14:textId="77777777" w:rsidR="004922C8" w:rsidRDefault="00605271">
            <w:pPr>
              <w:pStyle w:val="Tablebody"/>
              <w:rPr>
                <w:rFonts w:eastAsia="宋体"/>
              </w:rPr>
            </w:pPr>
            <w:r>
              <w:rPr>
                <w:rFonts w:eastAsia="宋体"/>
              </w:rPr>
              <w:t>No.</w:t>
            </w:r>
          </w:p>
        </w:tc>
        <w:tc>
          <w:tcPr>
            <w:tcW w:w="931" w:type="pct"/>
            <w:vAlign w:val="center"/>
          </w:tcPr>
          <w:p w14:paraId="261519A5" w14:textId="77777777" w:rsidR="004922C8" w:rsidRDefault="00605271">
            <w:pPr>
              <w:pStyle w:val="Tablebody"/>
              <w:jc w:val="center"/>
              <w:rPr>
                <w:rFonts w:eastAsia="宋体"/>
              </w:rPr>
            </w:pPr>
            <w:r>
              <w:rPr>
                <w:rFonts w:eastAsia="宋体"/>
              </w:rPr>
              <w:t>Mutation type of pregnant woman</w:t>
            </w:r>
          </w:p>
        </w:tc>
        <w:tc>
          <w:tcPr>
            <w:tcW w:w="853" w:type="pct"/>
            <w:vAlign w:val="center"/>
          </w:tcPr>
          <w:p w14:paraId="12859A19" w14:textId="77777777" w:rsidR="004922C8" w:rsidRDefault="00605271">
            <w:pPr>
              <w:pStyle w:val="Tablebody"/>
              <w:jc w:val="center"/>
              <w:rPr>
                <w:rFonts w:eastAsia="宋体"/>
              </w:rPr>
            </w:pPr>
            <w:r>
              <w:rPr>
                <w:rFonts w:eastAsia="宋体"/>
              </w:rPr>
              <w:t>Mutation type of spouse</w:t>
            </w:r>
          </w:p>
        </w:tc>
        <w:tc>
          <w:tcPr>
            <w:tcW w:w="852" w:type="pct"/>
            <w:vAlign w:val="center"/>
          </w:tcPr>
          <w:p w14:paraId="2A756BAD" w14:textId="77777777" w:rsidR="004922C8" w:rsidRDefault="00605271">
            <w:pPr>
              <w:pStyle w:val="Tablebody"/>
              <w:jc w:val="center"/>
              <w:rPr>
                <w:rFonts w:eastAsia="宋体"/>
              </w:rPr>
            </w:pPr>
            <w:r>
              <w:rPr>
                <w:rFonts w:eastAsia="宋体"/>
              </w:rPr>
              <w:t>Prenatal diagnosis status</w:t>
            </w:r>
          </w:p>
        </w:tc>
        <w:tc>
          <w:tcPr>
            <w:tcW w:w="852" w:type="pct"/>
            <w:vAlign w:val="center"/>
          </w:tcPr>
          <w:p w14:paraId="75B0A755" w14:textId="77777777" w:rsidR="004922C8" w:rsidRDefault="00605271">
            <w:pPr>
              <w:pStyle w:val="Tablebody"/>
              <w:jc w:val="center"/>
              <w:rPr>
                <w:rFonts w:eastAsia="宋体"/>
              </w:rPr>
            </w:pPr>
            <w:r>
              <w:rPr>
                <w:rFonts w:eastAsia="宋体"/>
              </w:rPr>
              <w:t>Fetal/Newborn genotype</w:t>
            </w:r>
          </w:p>
        </w:tc>
        <w:tc>
          <w:tcPr>
            <w:tcW w:w="852" w:type="pct"/>
            <w:vAlign w:val="center"/>
          </w:tcPr>
          <w:p w14:paraId="15105FC4" w14:textId="77777777" w:rsidR="004922C8" w:rsidRDefault="00605271">
            <w:pPr>
              <w:pStyle w:val="Tablebody"/>
              <w:jc w:val="center"/>
              <w:rPr>
                <w:rFonts w:eastAsia="宋体"/>
              </w:rPr>
            </w:pPr>
            <w:r>
              <w:rPr>
                <w:rFonts w:eastAsia="宋体"/>
              </w:rPr>
              <w:t>Outcome</w:t>
            </w:r>
          </w:p>
        </w:tc>
      </w:tr>
      <w:tr w:rsidR="004922C8" w14:paraId="2F334E26" w14:textId="77777777">
        <w:trPr>
          <w:trHeight w:val="362"/>
        </w:trPr>
        <w:tc>
          <w:tcPr>
            <w:tcW w:w="660" w:type="pct"/>
            <w:vAlign w:val="center"/>
          </w:tcPr>
          <w:p w14:paraId="3CB0DC80" w14:textId="77777777" w:rsidR="004922C8" w:rsidRDefault="00605271">
            <w:pPr>
              <w:pStyle w:val="Tablebody"/>
              <w:rPr>
                <w:rFonts w:eastAsia="宋体"/>
              </w:rPr>
            </w:pPr>
            <w:r>
              <w:rPr>
                <w:rFonts w:eastAsia="宋体"/>
              </w:rPr>
              <w:t>1</w:t>
            </w:r>
          </w:p>
        </w:tc>
        <w:tc>
          <w:tcPr>
            <w:tcW w:w="931" w:type="pct"/>
            <w:vAlign w:val="center"/>
          </w:tcPr>
          <w:p w14:paraId="6807E580" w14:textId="77777777" w:rsidR="004922C8" w:rsidRDefault="00605271">
            <w:pPr>
              <w:pStyle w:val="Tablebody"/>
              <w:jc w:val="center"/>
              <w:rPr>
                <w:rFonts w:eastAsia="宋体"/>
              </w:rPr>
            </w:pPr>
            <w:r>
              <w:rPr>
                <w:rFonts w:eastAsia="宋体"/>
                <w:shd w:val="clear" w:color="auto" w:fill="FFFFFF"/>
              </w:rPr>
              <w:t>E7+E8 heterozygous deletion</w:t>
            </w:r>
          </w:p>
        </w:tc>
        <w:tc>
          <w:tcPr>
            <w:tcW w:w="853" w:type="pct"/>
            <w:vAlign w:val="center"/>
          </w:tcPr>
          <w:p w14:paraId="11FC58E3" w14:textId="77777777" w:rsidR="004922C8" w:rsidRDefault="00605271">
            <w:pPr>
              <w:pStyle w:val="Tablebody"/>
              <w:jc w:val="center"/>
              <w:rPr>
                <w:rFonts w:eastAsia="宋体"/>
              </w:rPr>
            </w:pPr>
            <w:r>
              <w:rPr>
                <w:rFonts w:eastAsia="宋体"/>
                <w:shd w:val="clear" w:color="auto" w:fill="FFFFFF"/>
              </w:rPr>
              <w:t>E7+E8 heterozygous deletion</w:t>
            </w:r>
          </w:p>
        </w:tc>
        <w:tc>
          <w:tcPr>
            <w:tcW w:w="852" w:type="pct"/>
            <w:vAlign w:val="center"/>
          </w:tcPr>
          <w:p w14:paraId="18EAB9D5" w14:textId="77777777" w:rsidR="004922C8" w:rsidRDefault="00605271">
            <w:pPr>
              <w:pStyle w:val="Tablebody"/>
              <w:jc w:val="center"/>
              <w:rPr>
                <w:rFonts w:eastAsia="宋体"/>
              </w:rPr>
            </w:pPr>
            <w:r>
              <w:rPr>
                <w:rFonts w:eastAsia="宋体"/>
              </w:rPr>
              <w:t>Yes (Villus sampling)</w:t>
            </w:r>
          </w:p>
        </w:tc>
        <w:tc>
          <w:tcPr>
            <w:tcW w:w="852" w:type="pct"/>
            <w:vAlign w:val="center"/>
          </w:tcPr>
          <w:p w14:paraId="7FE7F126" w14:textId="77777777" w:rsidR="004922C8" w:rsidRDefault="00605271">
            <w:pPr>
              <w:pStyle w:val="Tablebody"/>
              <w:jc w:val="center"/>
              <w:rPr>
                <w:rFonts w:eastAsia="宋体"/>
              </w:rPr>
            </w:pPr>
            <w:r>
              <w:rPr>
                <w:rFonts w:eastAsia="宋体"/>
                <w:shd w:val="clear" w:color="auto" w:fill="FFFFFF"/>
              </w:rPr>
              <w:t>E7+E8 homozygous deletion</w:t>
            </w:r>
          </w:p>
        </w:tc>
        <w:tc>
          <w:tcPr>
            <w:tcW w:w="852" w:type="pct"/>
            <w:vAlign w:val="center"/>
          </w:tcPr>
          <w:p w14:paraId="001B37AB" w14:textId="77777777" w:rsidR="004922C8" w:rsidRDefault="00605271">
            <w:pPr>
              <w:pStyle w:val="Tablebody"/>
              <w:jc w:val="center"/>
              <w:rPr>
                <w:rFonts w:eastAsia="宋体"/>
              </w:rPr>
            </w:pPr>
            <w:r>
              <w:rPr>
                <w:rFonts w:eastAsia="宋体"/>
              </w:rPr>
              <w:t>Termination of pregnancy</w:t>
            </w:r>
          </w:p>
        </w:tc>
      </w:tr>
      <w:tr w:rsidR="004922C8" w14:paraId="663AF774" w14:textId="77777777">
        <w:tc>
          <w:tcPr>
            <w:tcW w:w="660" w:type="pct"/>
            <w:vAlign w:val="center"/>
          </w:tcPr>
          <w:p w14:paraId="5E49D608" w14:textId="77777777" w:rsidR="004922C8" w:rsidRDefault="00605271">
            <w:pPr>
              <w:pStyle w:val="Tablebody"/>
              <w:rPr>
                <w:rFonts w:eastAsia="宋体"/>
              </w:rPr>
            </w:pPr>
            <w:r>
              <w:rPr>
                <w:rFonts w:eastAsia="宋体"/>
              </w:rPr>
              <w:t>2</w:t>
            </w:r>
          </w:p>
        </w:tc>
        <w:tc>
          <w:tcPr>
            <w:tcW w:w="931" w:type="pct"/>
            <w:vAlign w:val="center"/>
          </w:tcPr>
          <w:p w14:paraId="51A4CB0B" w14:textId="77777777" w:rsidR="004922C8" w:rsidRDefault="00605271">
            <w:pPr>
              <w:pStyle w:val="Tablebody"/>
              <w:jc w:val="center"/>
              <w:rPr>
                <w:rFonts w:eastAsia="宋体"/>
              </w:rPr>
            </w:pPr>
            <w:r>
              <w:rPr>
                <w:rFonts w:eastAsia="宋体"/>
                <w:shd w:val="clear" w:color="auto" w:fill="FFFFFF"/>
              </w:rPr>
              <w:t>E7 heterozygous deletion</w:t>
            </w:r>
          </w:p>
        </w:tc>
        <w:tc>
          <w:tcPr>
            <w:tcW w:w="853" w:type="pct"/>
            <w:vAlign w:val="center"/>
          </w:tcPr>
          <w:p w14:paraId="3A0E528B" w14:textId="77777777" w:rsidR="004922C8" w:rsidRDefault="00605271">
            <w:pPr>
              <w:pStyle w:val="Tablebody"/>
              <w:jc w:val="center"/>
              <w:rPr>
                <w:rFonts w:eastAsia="宋体"/>
              </w:rPr>
            </w:pPr>
            <w:r>
              <w:rPr>
                <w:rFonts w:eastAsia="宋体"/>
                <w:shd w:val="clear" w:color="auto" w:fill="FFFFFF"/>
              </w:rPr>
              <w:t>E7 heterozygous deletion</w:t>
            </w:r>
          </w:p>
        </w:tc>
        <w:tc>
          <w:tcPr>
            <w:tcW w:w="852" w:type="pct"/>
            <w:vAlign w:val="center"/>
          </w:tcPr>
          <w:p w14:paraId="52816767" w14:textId="77777777" w:rsidR="004922C8" w:rsidRDefault="00605271">
            <w:pPr>
              <w:pStyle w:val="Tablebody"/>
              <w:jc w:val="center"/>
              <w:rPr>
                <w:rFonts w:eastAsia="宋体"/>
              </w:rPr>
            </w:pPr>
            <w:r>
              <w:rPr>
                <w:rFonts w:eastAsia="宋体"/>
              </w:rPr>
              <w:t>No</w:t>
            </w:r>
          </w:p>
        </w:tc>
        <w:tc>
          <w:tcPr>
            <w:tcW w:w="852" w:type="pct"/>
            <w:vAlign w:val="center"/>
          </w:tcPr>
          <w:p w14:paraId="4968AA24" w14:textId="77777777" w:rsidR="004922C8" w:rsidRDefault="00605271">
            <w:pPr>
              <w:pStyle w:val="Tablebody"/>
              <w:jc w:val="center"/>
              <w:rPr>
                <w:rFonts w:eastAsia="宋体"/>
              </w:rPr>
            </w:pPr>
            <w:r>
              <w:rPr>
                <w:rFonts w:eastAsia="宋体"/>
                <w:shd w:val="clear" w:color="auto" w:fill="FFFFFF"/>
              </w:rPr>
              <w:t>E7 heterozygous deletion</w:t>
            </w:r>
          </w:p>
        </w:tc>
        <w:tc>
          <w:tcPr>
            <w:tcW w:w="852" w:type="pct"/>
            <w:vAlign w:val="center"/>
          </w:tcPr>
          <w:p w14:paraId="4F540B1B" w14:textId="77777777" w:rsidR="004922C8" w:rsidRDefault="00605271">
            <w:pPr>
              <w:pStyle w:val="Tablebody"/>
              <w:jc w:val="center"/>
              <w:rPr>
                <w:rFonts w:eastAsia="宋体"/>
              </w:rPr>
            </w:pPr>
            <w:r>
              <w:rPr>
                <w:rFonts w:eastAsia="宋体"/>
              </w:rPr>
              <w:t>Healthy carrier, no abnormalities at 6 months</w:t>
            </w:r>
          </w:p>
        </w:tc>
      </w:tr>
      <w:tr w:rsidR="004922C8" w14:paraId="6AB2B4B8" w14:textId="77777777">
        <w:tc>
          <w:tcPr>
            <w:tcW w:w="660" w:type="pct"/>
            <w:vAlign w:val="center"/>
          </w:tcPr>
          <w:p w14:paraId="7F340583" w14:textId="77777777" w:rsidR="004922C8" w:rsidRDefault="00605271">
            <w:pPr>
              <w:pStyle w:val="Tablebody"/>
              <w:rPr>
                <w:rFonts w:eastAsia="宋体"/>
              </w:rPr>
            </w:pPr>
            <w:r>
              <w:rPr>
                <w:rFonts w:eastAsia="宋体"/>
              </w:rPr>
              <w:t>3</w:t>
            </w:r>
          </w:p>
        </w:tc>
        <w:tc>
          <w:tcPr>
            <w:tcW w:w="931" w:type="pct"/>
            <w:vAlign w:val="center"/>
          </w:tcPr>
          <w:p w14:paraId="09C473C5" w14:textId="77777777" w:rsidR="004922C8" w:rsidRDefault="00605271">
            <w:pPr>
              <w:pStyle w:val="Tablebody"/>
              <w:jc w:val="center"/>
              <w:rPr>
                <w:rFonts w:eastAsia="宋体"/>
              </w:rPr>
            </w:pPr>
            <w:r>
              <w:rPr>
                <w:rFonts w:eastAsia="宋体"/>
                <w:shd w:val="clear" w:color="auto" w:fill="FFFFFF"/>
              </w:rPr>
              <w:t>E7+E8 heterozygous deletion</w:t>
            </w:r>
          </w:p>
        </w:tc>
        <w:tc>
          <w:tcPr>
            <w:tcW w:w="853" w:type="pct"/>
            <w:vAlign w:val="center"/>
          </w:tcPr>
          <w:p w14:paraId="509A05BC" w14:textId="77777777" w:rsidR="004922C8" w:rsidRDefault="00605271">
            <w:pPr>
              <w:pStyle w:val="Tablebody"/>
              <w:jc w:val="center"/>
              <w:rPr>
                <w:rFonts w:eastAsia="宋体"/>
              </w:rPr>
            </w:pPr>
            <w:r>
              <w:rPr>
                <w:rFonts w:eastAsia="宋体"/>
                <w:shd w:val="clear" w:color="auto" w:fill="FFFFFF"/>
              </w:rPr>
              <w:t>E7+E8 heterozygous deletion</w:t>
            </w:r>
          </w:p>
        </w:tc>
        <w:tc>
          <w:tcPr>
            <w:tcW w:w="852" w:type="pct"/>
            <w:vAlign w:val="center"/>
          </w:tcPr>
          <w:p w14:paraId="3FDAEDD7" w14:textId="77777777" w:rsidR="004922C8" w:rsidRDefault="00605271">
            <w:pPr>
              <w:pStyle w:val="Tablebody"/>
              <w:jc w:val="center"/>
              <w:rPr>
                <w:rFonts w:eastAsia="宋体"/>
              </w:rPr>
            </w:pPr>
            <w:r>
              <w:rPr>
                <w:rFonts w:eastAsia="宋体"/>
              </w:rPr>
              <w:t>No</w:t>
            </w:r>
          </w:p>
        </w:tc>
        <w:tc>
          <w:tcPr>
            <w:tcW w:w="852" w:type="pct"/>
            <w:vAlign w:val="center"/>
          </w:tcPr>
          <w:p w14:paraId="4CE32433" w14:textId="77777777" w:rsidR="004922C8" w:rsidRDefault="00605271">
            <w:pPr>
              <w:pStyle w:val="Tablebody"/>
              <w:jc w:val="center"/>
              <w:rPr>
                <w:lang w:val="pt-BR"/>
              </w:rPr>
            </w:pPr>
            <w:r>
              <w:rPr>
                <w:lang w:val="pt-BR"/>
              </w:rPr>
              <w:t>Normal (E7/E8 copy number = 2)</w:t>
            </w:r>
          </w:p>
        </w:tc>
        <w:tc>
          <w:tcPr>
            <w:tcW w:w="852" w:type="pct"/>
            <w:vAlign w:val="center"/>
          </w:tcPr>
          <w:p w14:paraId="40F0A33A" w14:textId="77777777" w:rsidR="004922C8" w:rsidRDefault="00605271">
            <w:pPr>
              <w:pStyle w:val="Tablebody"/>
              <w:jc w:val="center"/>
              <w:rPr>
                <w:rFonts w:eastAsia="宋体"/>
              </w:rPr>
            </w:pPr>
            <w:r>
              <w:rPr>
                <w:rFonts w:eastAsia="宋体"/>
              </w:rPr>
              <w:t>Healthy, no abnormalities at 6 months</w:t>
            </w:r>
          </w:p>
        </w:tc>
      </w:tr>
      <w:tr w:rsidR="004922C8" w14:paraId="6F2A1A0D" w14:textId="77777777">
        <w:tc>
          <w:tcPr>
            <w:tcW w:w="660" w:type="pct"/>
            <w:vAlign w:val="center"/>
          </w:tcPr>
          <w:p w14:paraId="64CBF013" w14:textId="77777777" w:rsidR="004922C8" w:rsidRDefault="00605271">
            <w:pPr>
              <w:pStyle w:val="Tablebody"/>
              <w:rPr>
                <w:rFonts w:eastAsia="宋体"/>
              </w:rPr>
            </w:pPr>
            <w:r>
              <w:rPr>
                <w:rFonts w:eastAsia="宋体"/>
              </w:rPr>
              <w:t>4</w:t>
            </w:r>
          </w:p>
        </w:tc>
        <w:tc>
          <w:tcPr>
            <w:tcW w:w="931" w:type="pct"/>
            <w:vAlign w:val="center"/>
          </w:tcPr>
          <w:p w14:paraId="7EC6050E" w14:textId="77777777" w:rsidR="004922C8" w:rsidRDefault="00605271">
            <w:pPr>
              <w:pStyle w:val="Tablebody"/>
              <w:jc w:val="center"/>
              <w:rPr>
                <w:rFonts w:eastAsia="宋体"/>
              </w:rPr>
            </w:pPr>
            <w:r>
              <w:rPr>
                <w:rFonts w:eastAsia="宋体"/>
                <w:shd w:val="clear" w:color="auto" w:fill="FFFFFF"/>
              </w:rPr>
              <w:t>E7+E8 heterozygous deletion</w:t>
            </w:r>
          </w:p>
        </w:tc>
        <w:tc>
          <w:tcPr>
            <w:tcW w:w="853" w:type="pct"/>
            <w:vAlign w:val="center"/>
          </w:tcPr>
          <w:p w14:paraId="0DBCE978" w14:textId="77777777" w:rsidR="004922C8" w:rsidRDefault="00605271">
            <w:pPr>
              <w:pStyle w:val="Tablebody"/>
              <w:jc w:val="center"/>
              <w:rPr>
                <w:rFonts w:eastAsia="宋体"/>
              </w:rPr>
            </w:pPr>
            <w:r>
              <w:rPr>
                <w:rFonts w:eastAsia="宋体"/>
                <w:shd w:val="clear" w:color="auto" w:fill="FFFFFF"/>
              </w:rPr>
              <w:t>E7 heterozygous deletion</w:t>
            </w:r>
          </w:p>
        </w:tc>
        <w:tc>
          <w:tcPr>
            <w:tcW w:w="852" w:type="pct"/>
            <w:vAlign w:val="center"/>
          </w:tcPr>
          <w:p w14:paraId="23554BFB" w14:textId="77777777" w:rsidR="004922C8" w:rsidRDefault="00605271">
            <w:pPr>
              <w:pStyle w:val="Tablebody"/>
              <w:jc w:val="center"/>
              <w:rPr>
                <w:rFonts w:eastAsia="宋体"/>
              </w:rPr>
            </w:pPr>
            <w:r>
              <w:rPr>
                <w:rFonts w:eastAsia="宋体"/>
              </w:rPr>
              <w:t>No</w:t>
            </w:r>
          </w:p>
        </w:tc>
        <w:tc>
          <w:tcPr>
            <w:tcW w:w="852" w:type="pct"/>
            <w:vAlign w:val="center"/>
          </w:tcPr>
          <w:p w14:paraId="1A50962E" w14:textId="77777777" w:rsidR="004922C8" w:rsidRDefault="00605271">
            <w:pPr>
              <w:pStyle w:val="Tablebody"/>
              <w:jc w:val="center"/>
              <w:rPr>
                <w:rFonts w:eastAsia="宋体"/>
              </w:rPr>
            </w:pPr>
            <w:r>
              <w:rPr>
                <w:rFonts w:eastAsia="宋体"/>
                <w:shd w:val="clear" w:color="auto" w:fill="FFFFFF"/>
              </w:rPr>
              <w:t>E7 heterozygous deletion</w:t>
            </w:r>
          </w:p>
        </w:tc>
        <w:tc>
          <w:tcPr>
            <w:tcW w:w="852" w:type="pct"/>
            <w:vAlign w:val="center"/>
          </w:tcPr>
          <w:p w14:paraId="209E2CD1" w14:textId="77777777" w:rsidR="004922C8" w:rsidRDefault="00605271">
            <w:pPr>
              <w:pStyle w:val="Tablebody"/>
              <w:jc w:val="center"/>
              <w:rPr>
                <w:rFonts w:eastAsia="宋体"/>
              </w:rPr>
            </w:pPr>
            <w:r>
              <w:rPr>
                <w:rFonts w:eastAsia="宋体"/>
              </w:rPr>
              <w:t>Healthy carrier, no abnormalities at 6 months</w:t>
            </w:r>
          </w:p>
        </w:tc>
      </w:tr>
    </w:tbl>
    <w:p w14:paraId="3D36538B" w14:textId="77777777" w:rsidR="004922C8" w:rsidRDefault="00605271">
      <w:pPr>
        <w:pStyle w:val="Tablefooter"/>
      </w:pPr>
      <w:r>
        <w:lastRenderedPageBreak/>
        <w:t xml:space="preserve">Note: Spouse screening is a selective population (spouses of pregnant carriers), with a </w:t>
      </w:r>
      <w:r w:rsidRPr="00A31907">
        <w:rPr>
          <w:rFonts w:eastAsia="宋体"/>
          <w:shd w:val="clear" w:color="auto" w:fill="FFFFFF"/>
        </w:rPr>
        <w:t>positive predictive value</w:t>
      </w:r>
      <w:r>
        <w:rPr>
          <w:rFonts w:eastAsia="宋体"/>
          <w:shd w:val="clear" w:color="auto" w:fill="FFFFFF"/>
        </w:rPr>
        <w:t xml:space="preserve"> (PPV)</w:t>
      </w:r>
      <w:r>
        <w:t xml:space="preserve"> of 1.45%, which only reflects the proportion of high-risk couples detected and cannot be used as a performance indicator for general population screening.</w:t>
      </w:r>
    </w:p>
    <w:p w14:paraId="0CA7F279" w14:textId="77777777" w:rsidR="004922C8" w:rsidRDefault="004922C8">
      <w:pPr>
        <w:pStyle w:val="Tablefooter"/>
      </w:pPr>
    </w:p>
    <w:p w14:paraId="02876D3F" w14:textId="77777777" w:rsidR="004922C8" w:rsidRDefault="004922C8">
      <w:pPr>
        <w:pStyle w:val="Tablefooter"/>
      </w:pPr>
    </w:p>
    <w:p w14:paraId="682FC7D9" w14:textId="77777777" w:rsidR="004922C8" w:rsidRDefault="00605271">
      <w:pPr>
        <w:pStyle w:val="Figure"/>
        <w:rPr>
          <w:rFonts w:eastAsia="宋体"/>
          <w:sz w:val="24"/>
          <w:shd w:val="clear" w:color="auto" w:fill="FFFFFF"/>
          <w:lang w:eastAsia="zh-CN"/>
        </w:rPr>
      </w:pPr>
      <w:r>
        <w:rPr>
          <w:noProof/>
        </w:rPr>
        <w:drawing>
          <wp:inline distT="0" distB="0" distL="114300" distR="114300" wp14:anchorId="625A365D" wp14:editId="39E46AB2">
            <wp:extent cx="4811395" cy="5063490"/>
            <wp:effectExtent l="0" t="0" r="8255" b="3810"/>
            <wp:docPr id="9" name="图片 9" descr="3d9e97a1fd9819375732d227d5a0c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d9e97a1fd9819375732d227d5a0c32b"/>
                    <pic:cNvPicPr>
                      <a:picLocks noChangeAspect="1"/>
                    </pic:cNvPicPr>
                  </pic:nvPicPr>
                  <pic:blipFill>
                    <a:blip r:embed="rId10"/>
                    <a:stretch>
                      <a:fillRect/>
                    </a:stretch>
                  </pic:blipFill>
                  <pic:spPr>
                    <a:xfrm>
                      <a:off x="0" y="0"/>
                      <a:ext cx="4811395" cy="5063490"/>
                    </a:xfrm>
                    <a:prstGeom prst="rect">
                      <a:avLst/>
                    </a:prstGeom>
                  </pic:spPr>
                </pic:pic>
              </a:graphicData>
            </a:graphic>
          </wp:inline>
        </w:drawing>
      </w:r>
    </w:p>
    <w:p w14:paraId="438B1714" w14:textId="77777777" w:rsidR="004922C8" w:rsidRDefault="00605271">
      <w:pPr>
        <w:pStyle w:val="Figurecaption"/>
        <w:rPr>
          <w:rFonts w:eastAsia="宋体"/>
          <w:shd w:val="clear" w:color="auto" w:fill="FFFFFF"/>
        </w:rPr>
      </w:pPr>
      <w:r>
        <w:rPr>
          <w:b/>
          <w:shd w:val="clear" w:color="auto" w:fill="FFFFFF"/>
        </w:rPr>
        <w:t>Fig. 3</w:t>
      </w:r>
      <w:r>
        <w:rPr>
          <w:rFonts w:eastAsia="宋体"/>
          <w:b/>
          <w:shd w:val="clear" w:color="auto" w:fill="FFFFFF"/>
        </w:rPr>
        <w:t>. Fetal MLPA detection results.</w:t>
      </w:r>
      <w:r>
        <w:rPr>
          <w:rFonts w:eastAsia="宋体"/>
          <w:shd w:val="clear" w:color="auto" w:fill="FFFFFF"/>
        </w:rPr>
        <w:t xml:space="preserve"> (A) Detection of SMN gene E7 and E8 probe signal intensity. (B) Detection of SMN gene E7 and E8 copy numbers</w:t>
      </w:r>
      <w:r w:rsidRPr="00A31907">
        <w:rPr>
          <w:rFonts w:eastAsia="宋体"/>
          <w:shd w:val="clear" w:color="auto" w:fill="FFFFFF"/>
        </w:rPr>
        <w:t>.</w:t>
      </w:r>
    </w:p>
    <w:p w14:paraId="0337CDE6" w14:textId="77777777" w:rsidR="004922C8" w:rsidRDefault="004922C8">
      <w:pPr>
        <w:pStyle w:val="Figurecaption"/>
        <w:rPr>
          <w:rFonts w:eastAsia="宋体"/>
          <w:shd w:val="clear" w:color="auto" w:fill="FFFFFF"/>
        </w:rPr>
      </w:pPr>
    </w:p>
    <w:p w14:paraId="27DB3729" w14:textId="77777777" w:rsidR="004922C8" w:rsidRDefault="004922C8">
      <w:pPr>
        <w:pStyle w:val="Figurecaption"/>
        <w:rPr>
          <w:rFonts w:eastAsia="宋体"/>
          <w:shd w:val="clear" w:color="auto" w:fill="FFFFFF"/>
        </w:rPr>
      </w:pPr>
    </w:p>
    <w:p w14:paraId="4A0131C8" w14:textId="77777777" w:rsidR="004922C8" w:rsidRDefault="00605271">
      <w:pPr>
        <w:pStyle w:val="2"/>
        <w:rPr>
          <w:rFonts w:eastAsia="宋体"/>
          <w:shd w:val="clear" w:color="auto" w:fill="FFFFFF"/>
        </w:rPr>
      </w:pPr>
      <w:r>
        <w:rPr>
          <w:rFonts w:eastAsia="宋体"/>
          <w:shd w:val="clear" w:color="auto" w:fill="FFFFFF"/>
        </w:rPr>
        <w:t>3.5 Comparison of SMA Mutation Carrier Frequency Among Pregnant Women in Some Regions of China</w:t>
      </w:r>
    </w:p>
    <w:p w14:paraId="43B4EBE7" w14:textId="77777777" w:rsidR="004922C8" w:rsidRDefault="00605271">
      <w:pPr>
        <w:pStyle w:val="Text"/>
        <w:ind w:firstLine="420"/>
        <w:rPr>
          <w:rFonts w:eastAsia="宋体"/>
          <w:shd w:val="clear" w:color="auto" w:fill="FFFFFF"/>
        </w:rPr>
      </w:pPr>
      <w:r>
        <w:rPr>
          <w:rFonts w:eastAsia="宋体"/>
          <w:shd w:val="clear" w:color="auto" w:fill="FFFFFF"/>
        </w:rPr>
        <w:t>The</w:t>
      </w:r>
      <w:r>
        <w:rPr>
          <w:shd w:val="clear" w:color="auto" w:fill="FFFFFF"/>
        </w:rPr>
        <w:t xml:space="preserve"> </w:t>
      </w:r>
      <w:r>
        <w:rPr>
          <w:rFonts w:eastAsia="宋体"/>
          <w:shd w:val="clear" w:color="auto" w:fill="FFFFFF"/>
        </w:rPr>
        <w:t xml:space="preserve">Tianlong reagent showed higher accuracy and concordance in detecting </w:t>
      </w:r>
      <w:r>
        <w:rPr>
          <w:rFonts w:eastAsia="宋体"/>
          <w:i/>
          <w:shd w:val="clear" w:color="auto" w:fill="FFFFFF"/>
        </w:rPr>
        <w:t>SMN1</w:t>
      </w:r>
      <w:r>
        <w:rPr>
          <w:rFonts w:eastAsia="宋体"/>
          <w:shd w:val="clear" w:color="auto" w:fill="FFFFFF"/>
        </w:rPr>
        <w:t xml:space="preserve"> gene E7 and E8 copy numbers. The SMA carrier frequency in the </w:t>
      </w:r>
      <w:proofErr w:type="spellStart"/>
      <w:r>
        <w:rPr>
          <w:rFonts w:eastAsia="宋体"/>
          <w:shd w:val="clear" w:color="auto" w:fill="FFFFFF"/>
        </w:rPr>
        <w:t>Changzhi</w:t>
      </w:r>
      <w:proofErr w:type="spellEnd"/>
      <w:r>
        <w:rPr>
          <w:rFonts w:eastAsia="宋体"/>
          <w:shd w:val="clear" w:color="auto" w:fill="FFFFFF"/>
        </w:rPr>
        <w:t xml:space="preserve"> area was higher than that in the Gansu and Jiangsu regions (</w:t>
      </w:r>
      <w:r>
        <w:rPr>
          <w:shd w:val="clear" w:color="auto" w:fill="FFFFFF"/>
        </w:rPr>
        <w:t>χ</w:t>
      </w:r>
      <w:r>
        <w:rPr>
          <w:rFonts w:eastAsia="宋体"/>
          <w:shd w:val="clear" w:color="auto" w:fill="FFFFFF"/>
          <w:vertAlign w:val="superscript"/>
        </w:rPr>
        <w:t>2</w:t>
      </w:r>
      <w:r>
        <w:rPr>
          <w:rFonts w:eastAsia="宋体"/>
          <w:shd w:val="clear" w:color="auto" w:fill="FFFFFF"/>
        </w:rPr>
        <w:t xml:space="preserve"> = 10.868 and 17.015, respectively; </w:t>
      </w:r>
      <w:r>
        <w:rPr>
          <w:i/>
          <w:iCs/>
          <w:shd w:val="clear" w:color="auto" w:fill="FFFFFF"/>
          <w:lang w:eastAsia="zh-CN"/>
        </w:rPr>
        <w:t>p</w:t>
      </w:r>
      <w:r>
        <w:rPr>
          <w:rFonts w:eastAsia="宋体"/>
          <w:shd w:val="clear" w:color="auto" w:fill="FFFFFF"/>
        </w:rPr>
        <w:t xml:space="preserve"> </w:t>
      </w:r>
      <w:bookmarkStart w:id="7" w:name="OLE_LINK26"/>
      <w:r>
        <w:rPr>
          <w:rFonts w:eastAsia="宋体"/>
          <w:shd w:val="clear" w:color="auto" w:fill="FFFFFF"/>
        </w:rPr>
        <w:t>&lt;</w:t>
      </w:r>
      <w:bookmarkEnd w:id="7"/>
      <w:r>
        <w:rPr>
          <w:rFonts w:eastAsia="宋体"/>
          <w:shd w:val="clear" w:color="auto" w:fill="FFFFFF"/>
        </w:rPr>
        <w:t xml:space="preserve"> 0.05), whereas no statistically significant difference was observed compared with the Shenzhen (</w:t>
      </w:r>
      <w:r>
        <w:rPr>
          <w:rFonts w:eastAsia="宋体"/>
          <w:i/>
          <w:iCs/>
          <w:shd w:val="clear" w:color="auto" w:fill="FFFFFF"/>
        </w:rPr>
        <w:t>p</w:t>
      </w:r>
      <w:r>
        <w:rPr>
          <w:rFonts w:eastAsia="宋体"/>
          <w:shd w:val="clear" w:color="auto" w:fill="FFFFFF"/>
        </w:rPr>
        <w:t xml:space="preserve"> &gt; 0.05) (</w:t>
      </w:r>
      <w:r>
        <w:rPr>
          <w:shd w:val="clear" w:color="auto" w:fill="FFFFFF"/>
        </w:rPr>
        <w:t xml:space="preserve">Table 5, </w:t>
      </w:r>
      <w:r w:rsidRPr="00A31907">
        <w:rPr>
          <w:color w:val="auto"/>
          <w:shd w:val="clear" w:color="auto" w:fill="FFFFFF"/>
        </w:rPr>
        <w:t>Ref. [10,11,12]</w:t>
      </w:r>
      <w:r w:rsidRPr="00F540C5">
        <w:rPr>
          <w:rFonts w:eastAsia="宋体"/>
          <w:shd w:val="clear" w:color="auto" w:fill="FFFFFF"/>
        </w:rPr>
        <w:t>).</w:t>
      </w:r>
    </w:p>
    <w:p w14:paraId="16BB1C5C" w14:textId="77777777" w:rsidR="004922C8" w:rsidRDefault="004922C8">
      <w:pPr>
        <w:pStyle w:val="Text"/>
        <w:ind w:firstLine="420"/>
        <w:rPr>
          <w:shd w:val="clear" w:color="auto" w:fill="FFFFFF"/>
        </w:rPr>
      </w:pPr>
    </w:p>
    <w:p w14:paraId="0ECACA19" w14:textId="77777777" w:rsidR="004922C8" w:rsidRDefault="00605271">
      <w:pPr>
        <w:pStyle w:val="Tablecaption"/>
        <w:spacing w:before="360" w:after="360"/>
      </w:pPr>
      <w:r>
        <w:rPr>
          <w:shd w:val="clear" w:color="auto" w:fill="FFFFFF"/>
        </w:rPr>
        <w:t>Table 5</w:t>
      </w:r>
      <w:r>
        <w:rPr>
          <w:rFonts w:eastAsia="宋体"/>
          <w:shd w:val="clear" w:color="auto" w:fill="FFFFFF"/>
        </w:rPr>
        <w:t>.</w:t>
      </w:r>
      <w:r>
        <w:rPr>
          <w:shd w:val="clear" w:color="auto" w:fill="FFFFFF"/>
        </w:rPr>
        <w:t xml:space="preserve"> Comparison of SMA mutation carrier </w:t>
      </w:r>
      <w:r>
        <w:rPr>
          <w:rFonts w:eastAsia="宋体"/>
          <w:shd w:val="clear" w:color="auto" w:fill="FFFFFF"/>
        </w:rPr>
        <w:t>frequency</w:t>
      </w:r>
      <w:r>
        <w:rPr>
          <w:shd w:val="clear" w:color="auto" w:fill="FFFFFF"/>
        </w:rPr>
        <w:t xml:space="preserve"> among pregnant women in some regions of China.</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1442"/>
        <w:gridCol w:w="1641"/>
        <w:gridCol w:w="1640"/>
        <w:gridCol w:w="1640"/>
        <w:gridCol w:w="1640"/>
      </w:tblGrid>
      <w:tr w:rsidR="004922C8" w14:paraId="11CCD199" w14:textId="77777777">
        <w:trPr>
          <w:trHeight w:val="362"/>
        </w:trPr>
        <w:tc>
          <w:tcPr>
            <w:tcW w:w="841" w:type="pct"/>
            <w:vAlign w:val="center"/>
          </w:tcPr>
          <w:p w14:paraId="14B7D802" w14:textId="77777777" w:rsidR="004922C8" w:rsidRDefault="00605271">
            <w:pPr>
              <w:pStyle w:val="Tablebody"/>
            </w:pPr>
            <w:r>
              <w:lastRenderedPageBreak/>
              <w:t>Region</w:t>
            </w:r>
          </w:p>
        </w:tc>
        <w:tc>
          <w:tcPr>
            <w:tcW w:w="749" w:type="pct"/>
            <w:vAlign w:val="center"/>
          </w:tcPr>
          <w:p w14:paraId="6BE67DAB" w14:textId="77777777" w:rsidR="004922C8" w:rsidRDefault="00605271">
            <w:pPr>
              <w:pStyle w:val="Tablebody"/>
              <w:jc w:val="center"/>
            </w:pPr>
            <w:r>
              <w:rPr>
                <w:rFonts w:eastAsia="宋体"/>
              </w:rPr>
              <w:t>Number of Cases</w:t>
            </w:r>
          </w:p>
        </w:tc>
        <w:tc>
          <w:tcPr>
            <w:tcW w:w="852" w:type="pct"/>
            <w:vAlign w:val="center"/>
          </w:tcPr>
          <w:p w14:paraId="04700B20" w14:textId="77777777" w:rsidR="004922C8" w:rsidRDefault="00605271">
            <w:pPr>
              <w:pStyle w:val="Tablebody"/>
              <w:jc w:val="center"/>
            </w:pPr>
            <w:r>
              <w:t>The number of positive cases</w:t>
            </w:r>
          </w:p>
        </w:tc>
        <w:tc>
          <w:tcPr>
            <w:tcW w:w="852" w:type="pct"/>
            <w:vAlign w:val="center"/>
          </w:tcPr>
          <w:p w14:paraId="596783CB" w14:textId="77777777" w:rsidR="004922C8" w:rsidRDefault="00605271">
            <w:pPr>
              <w:pStyle w:val="Tablebody"/>
              <w:jc w:val="center"/>
            </w:pPr>
            <w:r>
              <w:rPr>
                <w:rFonts w:eastAsia="宋体"/>
              </w:rPr>
              <w:t xml:space="preserve">Carrier </w:t>
            </w:r>
            <w:r>
              <w:rPr>
                <w:rFonts w:eastAsia="宋体"/>
                <w:sz w:val="18"/>
                <w:szCs w:val="18"/>
                <w:shd w:val="clear" w:color="auto" w:fill="FFFFFF"/>
              </w:rPr>
              <w:t>frequency</w:t>
            </w:r>
            <w:r>
              <w:rPr>
                <w:rFonts w:eastAsia="宋体"/>
                <w:sz w:val="18"/>
                <w:szCs w:val="18"/>
              </w:rPr>
              <w:t xml:space="preserve"> </w:t>
            </w:r>
            <w:r>
              <w:rPr>
                <w:rFonts w:eastAsia="宋体"/>
              </w:rPr>
              <w:t>(%)</w:t>
            </w:r>
          </w:p>
        </w:tc>
        <w:tc>
          <w:tcPr>
            <w:tcW w:w="852" w:type="pct"/>
            <w:vAlign w:val="center"/>
          </w:tcPr>
          <w:p w14:paraId="7337F349" w14:textId="77777777" w:rsidR="004922C8" w:rsidRDefault="00605271">
            <w:pPr>
              <w:pStyle w:val="Tablebody"/>
              <w:jc w:val="center"/>
              <w:rPr>
                <w:rFonts w:eastAsia="宋体"/>
              </w:rPr>
            </w:pPr>
            <w:r>
              <w:rPr>
                <w:rFonts w:eastAsia="宋体"/>
              </w:rPr>
              <w:t xml:space="preserve">The </w:t>
            </w:r>
            <w:r>
              <w:rPr>
                <w:rFonts w:eastAsia="宋体"/>
                <w:i/>
                <w:iCs/>
                <w:shd w:val="clear" w:color="auto" w:fill="FFFFFF"/>
              </w:rPr>
              <w:t>χ</w:t>
            </w:r>
            <w:r>
              <w:rPr>
                <w:rFonts w:eastAsia="宋体"/>
                <w:i/>
                <w:iCs/>
                <w:shd w:val="clear" w:color="auto" w:fill="FFFFFF"/>
                <w:vertAlign w:val="superscript"/>
              </w:rPr>
              <w:t>2</w:t>
            </w:r>
            <w:r>
              <w:rPr>
                <w:rFonts w:eastAsia="宋体"/>
              </w:rPr>
              <w:t xml:space="preserve"> value compared with the </w:t>
            </w:r>
            <w:proofErr w:type="spellStart"/>
            <w:r>
              <w:rPr>
                <w:rFonts w:eastAsia="宋体"/>
              </w:rPr>
              <w:t>Changzhi</w:t>
            </w:r>
            <w:proofErr w:type="spellEnd"/>
            <w:r>
              <w:rPr>
                <w:rFonts w:eastAsia="宋体"/>
              </w:rPr>
              <w:t xml:space="preserve"> area</w:t>
            </w:r>
          </w:p>
        </w:tc>
        <w:tc>
          <w:tcPr>
            <w:tcW w:w="852" w:type="pct"/>
            <w:vAlign w:val="center"/>
          </w:tcPr>
          <w:p w14:paraId="447D30FA" w14:textId="77777777" w:rsidR="004922C8" w:rsidRDefault="00605271">
            <w:pPr>
              <w:pStyle w:val="Tablebody"/>
              <w:jc w:val="center"/>
              <w:rPr>
                <w:rFonts w:eastAsia="宋体"/>
                <w:lang w:eastAsia="zh-CN"/>
              </w:rPr>
            </w:pPr>
            <w:r>
              <w:rPr>
                <w:rFonts w:eastAsia="宋体"/>
                <w:i/>
                <w:iCs/>
                <w:shd w:val="clear" w:color="auto" w:fill="FFFFFF"/>
                <w:lang w:eastAsia="zh-CN"/>
              </w:rPr>
              <w:t>p</w:t>
            </w:r>
          </w:p>
        </w:tc>
      </w:tr>
      <w:tr w:rsidR="004922C8" w14:paraId="2F27A243" w14:textId="77777777">
        <w:trPr>
          <w:trHeight w:val="362"/>
        </w:trPr>
        <w:tc>
          <w:tcPr>
            <w:tcW w:w="841" w:type="pct"/>
            <w:vAlign w:val="center"/>
          </w:tcPr>
          <w:p w14:paraId="799187D6" w14:textId="77777777" w:rsidR="004922C8" w:rsidRDefault="00605271">
            <w:pPr>
              <w:pStyle w:val="Tablebody"/>
              <w:rPr>
                <w:rFonts w:eastAsia="宋体"/>
              </w:rPr>
            </w:pPr>
            <w:r>
              <w:rPr>
                <w:rFonts w:eastAsia="宋体"/>
              </w:rPr>
              <w:t xml:space="preserve">Chang </w:t>
            </w:r>
            <w:proofErr w:type="spellStart"/>
            <w:r>
              <w:rPr>
                <w:rFonts w:eastAsia="宋体"/>
              </w:rPr>
              <w:t>Zhi</w:t>
            </w:r>
            <w:proofErr w:type="spellEnd"/>
          </w:p>
        </w:tc>
        <w:tc>
          <w:tcPr>
            <w:tcW w:w="749" w:type="pct"/>
            <w:vAlign w:val="center"/>
          </w:tcPr>
          <w:p w14:paraId="5F1511DB" w14:textId="77777777" w:rsidR="004922C8" w:rsidRPr="00F540C5" w:rsidRDefault="00605271">
            <w:pPr>
              <w:pStyle w:val="Tablebody"/>
              <w:jc w:val="center"/>
            </w:pPr>
            <w:r w:rsidRPr="00F540C5">
              <w:t>13</w:t>
            </w:r>
            <w:r w:rsidRPr="00A31907">
              <w:t>,</w:t>
            </w:r>
            <w:r w:rsidRPr="00F540C5">
              <w:t>500</w:t>
            </w:r>
          </w:p>
        </w:tc>
        <w:tc>
          <w:tcPr>
            <w:tcW w:w="852" w:type="pct"/>
            <w:vAlign w:val="center"/>
          </w:tcPr>
          <w:p w14:paraId="465AD4CD" w14:textId="77777777" w:rsidR="004922C8" w:rsidRDefault="00605271">
            <w:pPr>
              <w:pStyle w:val="Tablebody"/>
              <w:jc w:val="center"/>
            </w:pPr>
            <w:r>
              <w:t>338</w:t>
            </w:r>
          </w:p>
        </w:tc>
        <w:tc>
          <w:tcPr>
            <w:tcW w:w="852" w:type="pct"/>
            <w:vAlign w:val="center"/>
          </w:tcPr>
          <w:p w14:paraId="25A298F0" w14:textId="77777777" w:rsidR="004922C8" w:rsidRDefault="00605271">
            <w:pPr>
              <w:pStyle w:val="Tablebody"/>
              <w:jc w:val="center"/>
            </w:pPr>
            <w:r>
              <w:t>2.50</w:t>
            </w:r>
          </w:p>
        </w:tc>
        <w:tc>
          <w:tcPr>
            <w:tcW w:w="852" w:type="pct"/>
            <w:vAlign w:val="center"/>
          </w:tcPr>
          <w:p w14:paraId="69D1E835" w14:textId="77777777" w:rsidR="004922C8" w:rsidRDefault="004922C8">
            <w:pPr>
              <w:pStyle w:val="Tablebody"/>
              <w:jc w:val="center"/>
            </w:pPr>
          </w:p>
        </w:tc>
        <w:tc>
          <w:tcPr>
            <w:tcW w:w="852" w:type="pct"/>
            <w:vAlign w:val="center"/>
          </w:tcPr>
          <w:p w14:paraId="34C61BDC" w14:textId="77777777" w:rsidR="004922C8" w:rsidRDefault="004922C8">
            <w:pPr>
              <w:pStyle w:val="Tablebody"/>
              <w:jc w:val="center"/>
            </w:pPr>
          </w:p>
        </w:tc>
      </w:tr>
      <w:tr w:rsidR="004922C8" w14:paraId="6C860CDD" w14:textId="77777777">
        <w:tc>
          <w:tcPr>
            <w:tcW w:w="841" w:type="pct"/>
            <w:vAlign w:val="center"/>
          </w:tcPr>
          <w:p w14:paraId="1E88A7ED" w14:textId="77777777" w:rsidR="004922C8" w:rsidRDefault="00605271">
            <w:pPr>
              <w:pStyle w:val="Tablebody"/>
            </w:pPr>
            <w:r>
              <w:t>Shen Zhen</w:t>
            </w:r>
            <w:r>
              <w:rPr>
                <w:rFonts w:eastAsiaTheme="minorEastAsia"/>
                <w:lang w:eastAsia="zh-CN"/>
              </w:rPr>
              <w:t xml:space="preserve"> </w:t>
            </w:r>
            <w:r>
              <w:rPr>
                <w:rFonts w:eastAsia="宋体"/>
                <w:sz w:val="24"/>
                <w:shd w:val="clear" w:color="auto" w:fill="FFFFFF"/>
              </w:rPr>
              <w:t>[10]</w:t>
            </w:r>
          </w:p>
        </w:tc>
        <w:tc>
          <w:tcPr>
            <w:tcW w:w="749" w:type="pct"/>
            <w:vAlign w:val="center"/>
          </w:tcPr>
          <w:p w14:paraId="7B9F02CA" w14:textId="77777777" w:rsidR="004922C8" w:rsidRPr="00F540C5" w:rsidRDefault="00605271">
            <w:pPr>
              <w:pStyle w:val="Tablebody"/>
              <w:jc w:val="center"/>
              <w:rPr>
                <w:rFonts w:eastAsia="宋体"/>
              </w:rPr>
            </w:pPr>
            <w:r w:rsidRPr="00F540C5">
              <w:rPr>
                <w:rFonts w:eastAsia="宋体"/>
              </w:rPr>
              <w:t>3162</w:t>
            </w:r>
          </w:p>
        </w:tc>
        <w:tc>
          <w:tcPr>
            <w:tcW w:w="852" w:type="pct"/>
            <w:vAlign w:val="center"/>
          </w:tcPr>
          <w:p w14:paraId="1E3AFB77" w14:textId="77777777" w:rsidR="004922C8" w:rsidRDefault="00605271">
            <w:pPr>
              <w:pStyle w:val="Tablebody"/>
              <w:jc w:val="center"/>
            </w:pPr>
            <w:r>
              <w:t>66</w:t>
            </w:r>
          </w:p>
        </w:tc>
        <w:tc>
          <w:tcPr>
            <w:tcW w:w="852" w:type="pct"/>
            <w:vAlign w:val="center"/>
          </w:tcPr>
          <w:p w14:paraId="57CDD647" w14:textId="77777777" w:rsidR="004922C8" w:rsidRDefault="00605271">
            <w:pPr>
              <w:pStyle w:val="Tablebody"/>
              <w:jc w:val="center"/>
            </w:pPr>
            <w:r>
              <w:t>2.09</w:t>
            </w:r>
          </w:p>
        </w:tc>
        <w:tc>
          <w:tcPr>
            <w:tcW w:w="852" w:type="pct"/>
            <w:vAlign w:val="center"/>
          </w:tcPr>
          <w:p w14:paraId="0EA237AA" w14:textId="77777777" w:rsidR="004922C8" w:rsidRDefault="00605271">
            <w:pPr>
              <w:pStyle w:val="Tablebody"/>
              <w:jc w:val="center"/>
            </w:pPr>
            <w:r>
              <w:t>2.154</w:t>
            </w:r>
          </w:p>
        </w:tc>
        <w:tc>
          <w:tcPr>
            <w:tcW w:w="852" w:type="pct"/>
            <w:vAlign w:val="center"/>
          </w:tcPr>
          <w:p w14:paraId="003E2E62" w14:textId="77777777" w:rsidR="004922C8" w:rsidRDefault="00605271">
            <w:pPr>
              <w:pStyle w:val="Tablebody"/>
              <w:jc w:val="center"/>
            </w:pPr>
            <w:r>
              <w:t>0.143</w:t>
            </w:r>
          </w:p>
        </w:tc>
      </w:tr>
      <w:tr w:rsidR="004922C8" w14:paraId="34B7E619" w14:textId="77777777">
        <w:tc>
          <w:tcPr>
            <w:tcW w:w="841" w:type="pct"/>
            <w:vAlign w:val="center"/>
          </w:tcPr>
          <w:p w14:paraId="6DA85B04" w14:textId="77777777" w:rsidR="004922C8" w:rsidRDefault="00605271">
            <w:pPr>
              <w:pStyle w:val="Tablebody"/>
            </w:pPr>
            <w:r>
              <w:t xml:space="preserve">Gan </w:t>
            </w:r>
            <w:proofErr w:type="spellStart"/>
            <w:r>
              <w:t>Su</w:t>
            </w:r>
            <w:proofErr w:type="spellEnd"/>
            <w:r>
              <w:rPr>
                <w:rFonts w:eastAsiaTheme="minorEastAsia"/>
                <w:lang w:eastAsia="zh-CN"/>
              </w:rPr>
              <w:t xml:space="preserve"> </w:t>
            </w:r>
            <w:r>
              <w:rPr>
                <w:rFonts w:eastAsia="宋体"/>
                <w:sz w:val="24"/>
                <w:shd w:val="clear" w:color="auto" w:fill="FFFFFF"/>
              </w:rPr>
              <w:t>[11]</w:t>
            </w:r>
          </w:p>
        </w:tc>
        <w:tc>
          <w:tcPr>
            <w:tcW w:w="749" w:type="pct"/>
            <w:vAlign w:val="center"/>
          </w:tcPr>
          <w:p w14:paraId="6EB8A3DC" w14:textId="77777777" w:rsidR="004922C8" w:rsidRPr="00F540C5" w:rsidRDefault="00605271">
            <w:pPr>
              <w:pStyle w:val="Tablebody"/>
              <w:jc w:val="center"/>
            </w:pPr>
            <w:r w:rsidRPr="00F540C5">
              <w:t>13</w:t>
            </w:r>
            <w:r w:rsidRPr="00A31907">
              <w:t>,</w:t>
            </w:r>
            <w:r w:rsidRPr="00F540C5">
              <w:t>302</w:t>
            </w:r>
          </w:p>
        </w:tc>
        <w:tc>
          <w:tcPr>
            <w:tcW w:w="852" w:type="pct"/>
            <w:vAlign w:val="center"/>
          </w:tcPr>
          <w:p w14:paraId="3C730F0E" w14:textId="77777777" w:rsidR="004922C8" w:rsidRDefault="00605271">
            <w:pPr>
              <w:pStyle w:val="Tablebody"/>
              <w:jc w:val="center"/>
            </w:pPr>
            <w:r>
              <w:t>236</w:t>
            </w:r>
          </w:p>
        </w:tc>
        <w:tc>
          <w:tcPr>
            <w:tcW w:w="852" w:type="pct"/>
            <w:vAlign w:val="center"/>
          </w:tcPr>
          <w:p w14:paraId="251567BA" w14:textId="77777777" w:rsidR="004922C8" w:rsidRDefault="00605271">
            <w:pPr>
              <w:pStyle w:val="Tablebody"/>
              <w:jc w:val="center"/>
              <w:rPr>
                <w:vertAlign w:val="superscript"/>
              </w:rPr>
            </w:pPr>
            <w:r>
              <w:t>1.80</w:t>
            </w:r>
          </w:p>
        </w:tc>
        <w:tc>
          <w:tcPr>
            <w:tcW w:w="852" w:type="pct"/>
            <w:vAlign w:val="center"/>
          </w:tcPr>
          <w:p w14:paraId="413903AA" w14:textId="77777777" w:rsidR="004922C8" w:rsidRDefault="00605271">
            <w:pPr>
              <w:pStyle w:val="Tablebody"/>
              <w:jc w:val="center"/>
            </w:pPr>
            <w:r>
              <w:t>10.868</w:t>
            </w:r>
          </w:p>
        </w:tc>
        <w:tc>
          <w:tcPr>
            <w:tcW w:w="852" w:type="pct"/>
            <w:vAlign w:val="center"/>
          </w:tcPr>
          <w:p w14:paraId="434E7A55" w14:textId="77777777" w:rsidR="004922C8" w:rsidRDefault="00605271">
            <w:pPr>
              <w:pStyle w:val="Tablebody"/>
              <w:jc w:val="center"/>
            </w:pPr>
            <w:r>
              <w:t>&lt;0.001</w:t>
            </w:r>
          </w:p>
        </w:tc>
      </w:tr>
      <w:tr w:rsidR="004922C8" w14:paraId="7EB5480F" w14:textId="77777777">
        <w:tc>
          <w:tcPr>
            <w:tcW w:w="841" w:type="pct"/>
            <w:vAlign w:val="center"/>
          </w:tcPr>
          <w:p w14:paraId="0E03110C" w14:textId="77777777" w:rsidR="004922C8" w:rsidRDefault="00605271">
            <w:pPr>
              <w:pStyle w:val="Tablebody"/>
            </w:pPr>
            <w:r>
              <w:t xml:space="preserve">Jiang </w:t>
            </w:r>
            <w:proofErr w:type="spellStart"/>
            <w:r>
              <w:t>Su</w:t>
            </w:r>
            <w:proofErr w:type="spellEnd"/>
            <w:r>
              <w:rPr>
                <w:rFonts w:eastAsiaTheme="minorEastAsia"/>
                <w:lang w:eastAsia="zh-CN"/>
              </w:rPr>
              <w:t xml:space="preserve"> </w:t>
            </w:r>
            <w:r>
              <w:rPr>
                <w:rFonts w:eastAsia="宋体"/>
                <w:sz w:val="24"/>
                <w:shd w:val="clear" w:color="auto" w:fill="FFFFFF"/>
              </w:rPr>
              <w:t>[12]</w:t>
            </w:r>
          </w:p>
        </w:tc>
        <w:tc>
          <w:tcPr>
            <w:tcW w:w="749" w:type="pct"/>
            <w:vAlign w:val="center"/>
          </w:tcPr>
          <w:p w14:paraId="26B1A32C" w14:textId="77777777" w:rsidR="004922C8" w:rsidRDefault="00605271">
            <w:pPr>
              <w:pStyle w:val="Tablebody"/>
              <w:jc w:val="center"/>
            </w:pPr>
            <w:r>
              <w:t>5776</w:t>
            </w:r>
          </w:p>
        </w:tc>
        <w:tc>
          <w:tcPr>
            <w:tcW w:w="852" w:type="pct"/>
            <w:vAlign w:val="center"/>
          </w:tcPr>
          <w:p w14:paraId="07CD901A" w14:textId="77777777" w:rsidR="004922C8" w:rsidRDefault="00605271">
            <w:pPr>
              <w:pStyle w:val="Tablebody"/>
              <w:jc w:val="center"/>
            </w:pPr>
            <w:r>
              <w:t>100</w:t>
            </w:r>
          </w:p>
        </w:tc>
        <w:tc>
          <w:tcPr>
            <w:tcW w:w="852" w:type="pct"/>
            <w:vAlign w:val="center"/>
          </w:tcPr>
          <w:p w14:paraId="741DE300" w14:textId="77777777" w:rsidR="004922C8" w:rsidRDefault="00605271">
            <w:pPr>
              <w:pStyle w:val="Tablebody"/>
              <w:jc w:val="center"/>
            </w:pPr>
            <w:r>
              <w:t>1.73</w:t>
            </w:r>
          </w:p>
        </w:tc>
        <w:tc>
          <w:tcPr>
            <w:tcW w:w="852" w:type="pct"/>
            <w:vAlign w:val="center"/>
          </w:tcPr>
          <w:p w14:paraId="399A61A0" w14:textId="77777777" w:rsidR="004922C8" w:rsidRDefault="00605271">
            <w:pPr>
              <w:pStyle w:val="Tablebody"/>
              <w:jc w:val="center"/>
            </w:pPr>
            <w:r>
              <w:t>17.015</w:t>
            </w:r>
          </w:p>
        </w:tc>
        <w:tc>
          <w:tcPr>
            <w:tcW w:w="852" w:type="pct"/>
            <w:vAlign w:val="center"/>
          </w:tcPr>
          <w:p w14:paraId="729FFCE1" w14:textId="77777777" w:rsidR="004922C8" w:rsidRDefault="00605271">
            <w:pPr>
              <w:pStyle w:val="Tablebody"/>
              <w:jc w:val="center"/>
            </w:pPr>
            <w:r>
              <w:t>&lt;0.001</w:t>
            </w:r>
          </w:p>
        </w:tc>
      </w:tr>
    </w:tbl>
    <w:p w14:paraId="161CEEAF" w14:textId="77777777" w:rsidR="004922C8" w:rsidRDefault="004922C8">
      <w:pPr>
        <w:pStyle w:val="Tablefooter"/>
        <w:rPr>
          <w:rFonts w:eastAsia="宋体"/>
          <w:shd w:val="clear" w:color="auto" w:fill="FFFFFF"/>
        </w:rPr>
      </w:pPr>
    </w:p>
    <w:p w14:paraId="0DB8EE43" w14:textId="77777777" w:rsidR="004922C8" w:rsidRDefault="004922C8">
      <w:pPr>
        <w:pStyle w:val="Tablefooter"/>
        <w:rPr>
          <w:rFonts w:eastAsia="宋体"/>
          <w:shd w:val="clear" w:color="auto" w:fill="FFFFFF"/>
        </w:rPr>
      </w:pPr>
    </w:p>
    <w:p w14:paraId="3C4551E6" w14:textId="77777777" w:rsidR="004922C8" w:rsidRDefault="00605271">
      <w:pPr>
        <w:pStyle w:val="1"/>
        <w:rPr>
          <w:rFonts w:eastAsia="宋体"/>
          <w:shd w:val="clear" w:color="auto" w:fill="FFFFFF"/>
        </w:rPr>
      </w:pPr>
      <w:r>
        <w:rPr>
          <w:rFonts w:eastAsia="宋体"/>
          <w:shd w:val="clear" w:color="auto" w:fill="FFFFFF"/>
        </w:rPr>
        <w:t>4. Discussion</w:t>
      </w:r>
    </w:p>
    <w:p w14:paraId="4A63C61C" w14:textId="77777777" w:rsidR="004922C8" w:rsidRDefault="00605271">
      <w:pPr>
        <w:pStyle w:val="Text"/>
        <w:ind w:firstLine="420"/>
        <w:rPr>
          <w:rFonts w:eastAsia="宋体"/>
          <w:shd w:val="clear" w:color="auto" w:fill="FFFFFF"/>
        </w:rPr>
      </w:pPr>
      <w:r>
        <w:rPr>
          <w:rFonts w:eastAsia="宋体"/>
          <w:shd w:val="clear" w:color="auto" w:fill="FFFFFF"/>
        </w:rPr>
        <w:t>Although gene therapy options are available for SMA, their therapeutic efficacy remains suboptimal and the cost is prohibitively high, placing them beyond the affordability of most patients. Currently, three disease-modifying treatments have been approved with robust clinical trial data support, including gene-based therapies and pharmacotherapies that have shown promising outcomes in improving motor function and survival frequency of SMA patients [13-16]. Early diagnosis through prenatal screening enables timely initiation of these treatments after birth, which can significantly alleviate disease severity, reduce the risk of irreversible neurological damage, and improve long-term prognosis—findings consistently validated by recent studies across multiple countries [13,15]. Studies conducted both domestically and internationally have shown that SMA carrier frequency vary among ethnic groups, with an overall carrier frequency of approximately 0.98%–2.02%. European and North American countries attach great importance to prenatal SMA screening, such as in the United States and Canada. In recent years, some East Asian regions have emphasized the inclusion of SMA screening in prenatal screening programs or routine pre-pregnancy examinations, requiring targeted prenatal examination and diagnosis for fetuses of high-risk couples to minimize the birth of SMA-affected infants</w:t>
      </w:r>
      <w:r>
        <w:rPr>
          <w:rFonts w:eastAsia="宋体"/>
          <w:shd w:val="clear" w:color="auto" w:fill="FFFFFF"/>
          <w:lang w:eastAsia="zh-CN"/>
        </w:rPr>
        <w:t xml:space="preserve"> </w:t>
      </w:r>
      <w:r>
        <w:rPr>
          <w:rFonts w:eastAsia="宋体"/>
          <w:shd w:val="clear" w:color="auto" w:fill="FFFFFF"/>
        </w:rPr>
        <w:t>[17–19]. As a severe autosomal recessive genetic disease that threatens child health, SMA carrier screening and prenatal diagnosis are key measures for reducing the birth rate of affected infants</w:t>
      </w:r>
      <w:r>
        <w:rPr>
          <w:rFonts w:eastAsia="宋体"/>
          <w:shd w:val="clear" w:color="auto" w:fill="FFFFFF"/>
          <w:lang w:eastAsia="zh-CN"/>
        </w:rPr>
        <w:t xml:space="preserve"> </w:t>
      </w:r>
      <w:r>
        <w:rPr>
          <w:rFonts w:eastAsia="宋体"/>
          <w:shd w:val="clear" w:color="auto" w:fill="FFFFFF"/>
        </w:rPr>
        <w:t>[20].</w:t>
      </w:r>
    </w:p>
    <w:p w14:paraId="466535EA" w14:textId="77777777" w:rsidR="004922C8" w:rsidRDefault="00605271">
      <w:pPr>
        <w:pStyle w:val="Text"/>
        <w:ind w:firstLine="420"/>
        <w:rPr>
          <w:rFonts w:eastAsia="宋体"/>
          <w:shd w:val="clear" w:color="auto" w:fill="FFFFFF"/>
          <w:lang w:eastAsia="zh-CN"/>
        </w:rPr>
      </w:pPr>
      <w:r>
        <w:rPr>
          <w:rFonts w:eastAsia="宋体"/>
          <w:shd w:val="clear" w:color="auto" w:fill="FFFFFF"/>
        </w:rPr>
        <w:t xml:space="preserve">This study represents the first large-scale SMA carrier screening conducted in the </w:t>
      </w:r>
      <w:proofErr w:type="spellStart"/>
      <w:r>
        <w:rPr>
          <w:rFonts w:eastAsia="宋体"/>
          <w:shd w:val="clear" w:color="auto" w:fill="FFFFFF"/>
        </w:rPr>
        <w:t>Changzhi</w:t>
      </w:r>
      <w:proofErr w:type="spellEnd"/>
      <w:r>
        <w:rPr>
          <w:rFonts w:eastAsia="宋体"/>
          <w:shd w:val="clear" w:color="auto" w:fill="FFFFFF"/>
        </w:rPr>
        <w:t xml:space="preserve"> region. Among 13,500 pregnant women, 338 carriers were identified, yielding a carrier frequency of 2.50%, which was higher than the global average (1/38–1/70)</w:t>
      </w:r>
      <w:r>
        <w:rPr>
          <w:rFonts w:eastAsia="宋体"/>
          <w:shd w:val="clear" w:color="auto" w:fill="FFFFFF"/>
          <w:lang w:eastAsia="zh-CN"/>
        </w:rPr>
        <w:t xml:space="preserve"> </w:t>
      </w:r>
      <w:r>
        <w:rPr>
          <w:rFonts w:eastAsia="宋体"/>
          <w:shd w:val="clear" w:color="auto" w:fill="FFFFFF"/>
        </w:rPr>
        <w:t>[21]. This finding may be related to the long-term settlement patterns and limited genetic exchange within the local Han population. The proportion of E8 heterozygous deletion (22.78%) was higher than that reported in other regions (15%–20%)</w:t>
      </w:r>
      <w:r>
        <w:rPr>
          <w:rFonts w:eastAsia="宋体"/>
          <w:smallCaps/>
          <w:shd w:val="clear" w:color="auto" w:fill="FFFFFF"/>
        </w:rPr>
        <w:t xml:space="preserve"> </w:t>
      </w:r>
      <w:r>
        <w:rPr>
          <w:rFonts w:eastAsia="宋体"/>
          <w:iCs/>
          <w:smallCaps/>
          <w:shd w:val="clear" w:color="auto" w:fill="FFFFFF"/>
        </w:rPr>
        <w:t>[</w:t>
      </w:r>
      <w:r>
        <w:rPr>
          <w:rFonts w:eastAsia="宋体"/>
          <w:shd w:val="clear" w:color="auto" w:fill="FFFFFF"/>
        </w:rPr>
        <w:t xml:space="preserve">22,23], suggesting a possible region-specific genetic background that warrants further verification through genome-wide association studies. The high genetic burden of SMA in the </w:t>
      </w:r>
      <w:proofErr w:type="spellStart"/>
      <w:r>
        <w:rPr>
          <w:rFonts w:eastAsia="宋体"/>
          <w:shd w:val="clear" w:color="auto" w:fill="FFFFFF"/>
        </w:rPr>
        <w:t>Changzhi</w:t>
      </w:r>
      <w:proofErr w:type="spellEnd"/>
      <w:r>
        <w:rPr>
          <w:rFonts w:eastAsia="宋体"/>
          <w:shd w:val="clear" w:color="auto" w:fill="FFFFFF"/>
        </w:rPr>
        <w:t xml:space="preserve"> region highlights the important clinical significance of routine carrier screening.</w:t>
      </w:r>
    </w:p>
    <w:p w14:paraId="33D22075" w14:textId="77777777" w:rsidR="004922C8" w:rsidRDefault="00605271">
      <w:pPr>
        <w:pStyle w:val="Text"/>
        <w:ind w:firstLine="420"/>
        <w:rPr>
          <w:rFonts w:eastAsia="宋体"/>
          <w:shd w:val="clear" w:color="auto" w:fill="FFFFFF"/>
        </w:rPr>
      </w:pPr>
      <w:r>
        <w:rPr>
          <w:rFonts w:eastAsia="宋体"/>
          <w:shd w:val="clear" w:color="auto" w:fill="FFFFFF"/>
        </w:rPr>
        <w:t xml:space="preserve">The pathogenesis of SMA is caused by mutations in the </w:t>
      </w:r>
      <w:r>
        <w:rPr>
          <w:rFonts w:eastAsia="宋体"/>
          <w:i/>
          <w:shd w:val="clear" w:color="auto" w:fill="FFFFFF"/>
        </w:rPr>
        <w:t>SMN1</w:t>
      </w:r>
      <w:r>
        <w:rPr>
          <w:rFonts w:eastAsia="宋体"/>
          <w:shd w:val="clear" w:color="auto" w:fill="FFFFFF"/>
        </w:rPr>
        <w:t xml:space="preserve"> gene located on chromosome 5q13.2. The </w:t>
      </w:r>
      <w:r>
        <w:rPr>
          <w:rFonts w:eastAsia="宋体"/>
          <w:iCs/>
          <w:shd w:val="clear" w:color="auto" w:fill="FFFFFF"/>
        </w:rPr>
        <w:t>SMN</w:t>
      </w:r>
      <w:r>
        <w:rPr>
          <w:rFonts w:eastAsia="宋体"/>
          <w:shd w:val="clear" w:color="auto" w:fill="FFFFFF"/>
        </w:rPr>
        <w:t xml:space="preserve"> protein is involved in multiple cellular processes, including small nuclear ribonucleoprotein synthesis, transcription, stress response, apoptosis, and cytoskeletal dynamics. In mammals, </w:t>
      </w:r>
      <w:r>
        <w:rPr>
          <w:rFonts w:eastAsia="宋体"/>
          <w:iCs/>
          <w:shd w:val="clear" w:color="auto" w:fill="FFFFFF"/>
        </w:rPr>
        <w:t>SMN</w:t>
      </w:r>
      <w:r>
        <w:rPr>
          <w:rFonts w:eastAsia="宋体"/>
          <w:shd w:val="clear" w:color="auto" w:fill="FFFFFF"/>
        </w:rPr>
        <w:t xml:space="preserve"> protein is ubiquitously expressed in tissues and cells and plays a critical role in normal physiological functions</w:t>
      </w:r>
      <w:r>
        <w:rPr>
          <w:rFonts w:eastAsia="宋体"/>
          <w:shd w:val="clear" w:color="auto" w:fill="FFFFFF"/>
          <w:lang w:eastAsia="zh-CN"/>
        </w:rPr>
        <w:t xml:space="preserve"> </w:t>
      </w:r>
      <w:r>
        <w:rPr>
          <w:rFonts w:eastAsia="宋体"/>
          <w:shd w:val="clear" w:color="auto" w:fill="FFFFFF"/>
        </w:rPr>
        <w:t xml:space="preserve">[24]. Although the precise biological mechanisms of </w:t>
      </w:r>
      <w:r>
        <w:rPr>
          <w:rFonts w:eastAsia="宋体"/>
          <w:iCs/>
          <w:shd w:val="clear" w:color="auto" w:fill="FFFFFF"/>
        </w:rPr>
        <w:t>SMN</w:t>
      </w:r>
      <w:r>
        <w:rPr>
          <w:rFonts w:eastAsia="宋体"/>
          <w:shd w:val="clear" w:color="auto" w:fill="FFFFFF"/>
        </w:rPr>
        <w:t xml:space="preserve"> protein have not been fully elucidated, studies have confirmed that </w:t>
      </w:r>
      <w:r>
        <w:rPr>
          <w:rFonts w:eastAsia="宋体"/>
          <w:i/>
          <w:iCs/>
          <w:shd w:val="clear" w:color="auto" w:fill="FFFFFF"/>
        </w:rPr>
        <w:t>SMN</w:t>
      </w:r>
      <w:r>
        <w:rPr>
          <w:rFonts w:eastAsia="宋体"/>
          <w:shd w:val="clear" w:color="auto" w:fill="FFFFFF"/>
        </w:rPr>
        <w:t xml:space="preserve"> deficiency leads to α-motor neuron loss and progressive muscle atrophy</w:t>
      </w:r>
      <w:r>
        <w:rPr>
          <w:rFonts w:eastAsia="宋体"/>
          <w:shd w:val="clear" w:color="auto" w:fill="FFFFFF"/>
          <w:lang w:eastAsia="zh-CN"/>
        </w:rPr>
        <w:t xml:space="preserve"> </w:t>
      </w:r>
      <w:r>
        <w:rPr>
          <w:rFonts w:eastAsia="宋体"/>
          <w:shd w:val="clear" w:color="auto" w:fill="FFFFFF"/>
        </w:rPr>
        <w:t xml:space="preserve">[25]. The </w:t>
      </w:r>
      <w:r>
        <w:rPr>
          <w:rFonts w:eastAsia="宋体"/>
          <w:i/>
          <w:shd w:val="clear" w:color="auto" w:fill="FFFFFF"/>
        </w:rPr>
        <w:t>SMN1</w:t>
      </w:r>
      <w:r>
        <w:rPr>
          <w:rFonts w:eastAsia="宋体"/>
          <w:shd w:val="clear" w:color="auto" w:fill="FFFFFF"/>
        </w:rPr>
        <w:t xml:space="preserve"> gene encodes the full-length functional </w:t>
      </w:r>
      <w:r>
        <w:rPr>
          <w:rFonts w:eastAsia="宋体"/>
          <w:iCs/>
          <w:shd w:val="clear" w:color="auto" w:fill="FFFFFF"/>
        </w:rPr>
        <w:t>SMN</w:t>
      </w:r>
      <w:r>
        <w:rPr>
          <w:rFonts w:eastAsia="宋体"/>
          <w:shd w:val="clear" w:color="auto" w:fill="FFFFFF"/>
        </w:rPr>
        <w:t xml:space="preserve"> protein, whereas SMA patients lack functional </w:t>
      </w:r>
      <w:r>
        <w:rPr>
          <w:rFonts w:eastAsia="宋体"/>
          <w:i/>
          <w:shd w:val="clear" w:color="auto" w:fill="FFFFFF"/>
        </w:rPr>
        <w:t>SMN1</w:t>
      </w:r>
      <w:r>
        <w:rPr>
          <w:rFonts w:eastAsia="宋体"/>
          <w:shd w:val="clear" w:color="auto" w:fill="FFFFFF"/>
        </w:rPr>
        <w:t xml:space="preserve"> but retain </w:t>
      </w:r>
      <w:r>
        <w:rPr>
          <w:rFonts w:eastAsia="宋体"/>
          <w:i/>
          <w:shd w:val="clear" w:color="auto" w:fill="FFFFFF"/>
        </w:rPr>
        <w:t>SMN2</w:t>
      </w:r>
      <w:r>
        <w:rPr>
          <w:rFonts w:eastAsia="宋体"/>
          <w:shd w:val="clear" w:color="auto" w:fill="FFFFFF"/>
        </w:rPr>
        <w:t xml:space="preserve">, resulting in reduced </w:t>
      </w:r>
      <w:r>
        <w:rPr>
          <w:rFonts w:eastAsia="宋体"/>
          <w:iCs/>
          <w:shd w:val="clear" w:color="auto" w:fill="FFFFFF"/>
        </w:rPr>
        <w:t>SMN</w:t>
      </w:r>
      <w:r>
        <w:rPr>
          <w:rFonts w:eastAsia="宋体"/>
          <w:shd w:val="clear" w:color="auto" w:fill="FFFFFF"/>
        </w:rPr>
        <w:t xml:space="preserve"> protein expression. </w:t>
      </w:r>
      <w:r>
        <w:rPr>
          <w:rFonts w:eastAsia="宋体"/>
          <w:shd w:val="clear" w:color="auto" w:fill="FFFFFF"/>
        </w:rPr>
        <w:lastRenderedPageBreak/>
        <w:t xml:space="preserve">However, because </w:t>
      </w:r>
      <w:r>
        <w:rPr>
          <w:rFonts w:eastAsia="宋体"/>
          <w:i/>
          <w:shd w:val="clear" w:color="auto" w:fill="FFFFFF"/>
        </w:rPr>
        <w:t>SMN2</w:t>
      </w:r>
      <w:r>
        <w:rPr>
          <w:rFonts w:eastAsia="宋体"/>
          <w:shd w:val="clear" w:color="auto" w:fill="FFFFFF"/>
        </w:rPr>
        <w:t xml:space="preserve"> can still produce approximately 10% of full-length </w:t>
      </w:r>
      <w:r>
        <w:rPr>
          <w:rFonts w:eastAsia="宋体"/>
          <w:iCs/>
          <w:shd w:val="clear" w:color="auto" w:fill="FFFFFF"/>
        </w:rPr>
        <w:t>SMN</w:t>
      </w:r>
      <w:r>
        <w:rPr>
          <w:rFonts w:eastAsia="宋体"/>
          <w:shd w:val="clear" w:color="auto" w:fill="FFFFFF"/>
        </w:rPr>
        <w:t xml:space="preserve"> protein, it is considered a modifier gene of the SMA clinical phenotype. Disease severity in SMA patients is closely related to the copy number of </w:t>
      </w:r>
      <w:r>
        <w:rPr>
          <w:rFonts w:eastAsia="宋体"/>
          <w:i/>
          <w:shd w:val="clear" w:color="auto" w:fill="FFFFFF"/>
        </w:rPr>
        <w:t>SMN2</w:t>
      </w:r>
      <w:r>
        <w:rPr>
          <w:rFonts w:eastAsia="宋体"/>
          <w:shd w:val="clear" w:color="auto" w:fill="FFFFFF"/>
        </w:rPr>
        <w:t xml:space="preserve">, and all SMA patients carry at least one copy of </w:t>
      </w:r>
      <w:r>
        <w:rPr>
          <w:rFonts w:eastAsia="宋体"/>
          <w:i/>
          <w:shd w:val="clear" w:color="auto" w:fill="FFFFFF"/>
        </w:rPr>
        <w:t>SMN2</w:t>
      </w:r>
      <w:r>
        <w:rPr>
          <w:rFonts w:eastAsia="宋体"/>
          <w:shd w:val="clear" w:color="auto" w:fill="FFFFFF"/>
        </w:rPr>
        <w:t>, with higher copy numbers associated with milder disease severity</w:t>
      </w:r>
      <w:r>
        <w:rPr>
          <w:rFonts w:eastAsia="宋体"/>
          <w:shd w:val="clear" w:color="auto" w:fill="FFFFFF"/>
          <w:lang w:eastAsia="zh-CN"/>
        </w:rPr>
        <w:t xml:space="preserve"> </w:t>
      </w:r>
      <w:r>
        <w:rPr>
          <w:rFonts w:eastAsia="宋体"/>
          <w:shd w:val="clear" w:color="auto" w:fill="FFFFFF"/>
        </w:rPr>
        <w:t xml:space="preserve">[26]. Therefore, </w:t>
      </w:r>
      <w:r>
        <w:rPr>
          <w:rFonts w:eastAsia="宋体"/>
          <w:i/>
          <w:shd w:val="clear" w:color="auto" w:fill="FFFFFF"/>
        </w:rPr>
        <w:t>SMN2</w:t>
      </w:r>
      <w:r>
        <w:rPr>
          <w:rFonts w:eastAsia="宋体"/>
          <w:shd w:val="clear" w:color="auto" w:fill="FFFFFF"/>
        </w:rPr>
        <w:t xml:space="preserve"> can partially compensate for </w:t>
      </w:r>
      <w:r>
        <w:rPr>
          <w:rFonts w:eastAsia="宋体"/>
          <w:i/>
          <w:shd w:val="clear" w:color="auto" w:fill="FFFFFF"/>
        </w:rPr>
        <w:t>SMN1</w:t>
      </w:r>
      <w:r>
        <w:rPr>
          <w:rFonts w:eastAsia="宋体"/>
          <w:shd w:val="clear" w:color="auto" w:fill="FFFFFF"/>
        </w:rPr>
        <w:t xml:space="preserve"> functional deficiency.</w:t>
      </w:r>
    </w:p>
    <w:p w14:paraId="1F34092A" w14:textId="15434DD3" w:rsidR="004922C8" w:rsidRDefault="00605271">
      <w:pPr>
        <w:pStyle w:val="Text"/>
        <w:ind w:firstLine="420"/>
        <w:rPr>
          <w:rFonts w:eastAsia="宋体"/>
          <w:shd w:val="clear" w:color="auto" w:fill="FFFFFF"/>
        </w:rPr>
      </w:pPr>
      <w:r>
        <w:rPr>
          <w:rFonts w:eastAsia="宋体"/>
          <w:shd w:val="clear" w:color="auto" w:fill="FFFFFF"/>
        </w:rPr>
        <w:t xml:space="preserve">In this study, the newborn of a pregnant woman with E8 homozygous deletion showed no clinical symptoms, and </w:t>
      </w:r>
      <w:r>
        <w:rPr>
          <w:rFonts w:eastAsia="宋体"/>
          <w:i/>
          <w:shd w:val="clear" w:color="auto" w:fill="FFFFFF"/>
        </w:rPr>
        <w:t>SMN2</w:t>
      </w:r>
      <w:r>
        <w:rPr>
          <w:rFonts w:eastAsia="宋体"/>
          <w:shd w:val="clear" w:color="auto" w:fill="FFFFFF"/>
        </w:rPr>
        <w:t xml:space="preserve"> copy number analysis revealed three copies (data not shown), confirming the compensatory effect of </w:t>
      </w:r>
      <w:r>
        <w:rPr>
          <w:rFonts w:eastAsia="宋体"/>
          <w:i/>
          <w:shd w:val="clear" w:color="auto" w:fill="FFFFFF"/>
        </w:rPr>
        <w:t>SMN2</w:t>
      </w:r>
      <w:r>
        <w:rPr>
          <w:rFonts w:eastAsia="宋体"/>
          <w:shd w:val="clear" w:color="auto" w:fill="FFFFFF"/>
        </w:rPr>
        <w:t xml:space="preserve"> copy number on the SMA phenotype. With increasing understanding of SMA pathogenesis, additional modifiers and genomic heterogeneity have been identified, indicating that SMA phenotypes can no longer be fully predicted by </w:t>
      </w:r>
      <w:r>
        <w:rPr>
          <w:rFonts w:eastAsia="宋体"/>
          <w:i/>
          <w:shd w:val="clear" w:color="auto" w:fill="FFFFFF"/>
        </w:rPr>
        <w:t>SMN2</w:t>
      </w:r>
      <w:r>
        <w:rPr>
          <w:rFonts w:eastAsia="宋体"/>
          <w:shd w:val="clear" w:color="auto" w:fill="FFFFFF"/>
        </w:rPr>
        <w:t xml:space="preserve"> copy number alone. </w:t>
      </w:r>
      <w:r>
        <w:rPr>
          <w:rFonts w:eastAsia="宋体"/>
          <w:i/>
          <w:shd w:val="clear" w:color="auto" w:fill="FFFFFF"/>
        </w:rPr>
        <w:t>SMN1</w:t>
      </w:r>
      <w:r>
        <w:rPr>
          <w:rFonts w:eastAsia="宋体"/>
          <w:shd w:val="clear" w:color="auto" w:fill="FFFFFF"/>
        </w:rPr>
        <w:t xml:space="preserve"> E7</w:t>
      </w:r>
      <w:r>
        <w:rPr>
          <w:rFonts w:eastAsia="宋体" w:hint="eastAsia"/>
          <w:shd w:val="clear" w:color="auto" w:fill="FFFFFF"/>
          <w:lang w:eastAsia="zh-CN"/>
        </w:rPr>
        <w:t xml:space="preserve"> </w:t>
      </w:r>
      <w:r>
        <w:rPr>
          <w:rFonts w:eastAsia="宋体"/>
          <w:shd w:val="clear" w:color="auto" w:fill="FFFFFF"/>
        </w:rPr>
        <w:t xml:space="preserve">directly affects the functional integrity of the </w:t>
      </w:r>
      <w:r>
        <w:rPr>
          <w:rFonts w:eastAsia="宋体"/>
          <w:iCs/>
          <w:shd w:val="clear" w:color="auto" w:fill="FFFFFF"/>
        </w:rPr>
        <w:t>SMN</w:t>
      </w:r>
      <w:r>
        <w:rPr>
          <w:rFonts w:eastAsia="宋体"/>
          <w:shd w:val="clear" w:color="auto" w:fill="FFFFFF"/>
        </w:rPr>
        <w:t xml:space="preserve"> protein, whereas E8 deletion has a relatively minor effect with limited clinical significance. Accordingly, this study prioritized </w:t>
      </w:r>
      <w:r>
        <w:rPr>
          <w:rFonts w:eastAsia="宋体"/>
          <w:i/>
          <w:shd w:val="clear" w:color="auto" w:fill="FFFFFF"/>
        </w:rPr>
        <w:t>SMN1</w:t>
      </w:r>
      <w:r>
        <w:rPr>
          <w:rFonts w:eastAsia="宋体"/>
          <w:shd w:val="clear" w:color="auto" w:fill="FFFFFF"/>
        </w:rPr>
        <w:t xml:space="preserve"> E7 deletion detection in the initial screening.</w:t>
      </w:r>
    </w:p>
    <w:p w14:paraId="2A504FE0" w14:textId="77777777" w:rsidR="004922C8" w:rsidRDefault="00605271">
      <w:pPr>
        <w:pStyle w:val="Text"/>
        <w:ind w:firstLine="420"/>
        <w:rPr>
          <w:rFonts w:eastAsia="宋体"/>
          <w:shd w:val="clear" w:color="auto" w:fill="FFFFFF"/>
        </w:rPr>
      </w:pPr>
      <w:r>
        <w:rPr>
          <w:rFonts w:eastAsia="宋体"/>
          <w:shd w:val="clear" w:color="auto" w:fill="FFFFFF"/>
        </w:rPr>
        <w:t>Regarding mutation type distribution, E7+E8 heterozygous deletion accounted for the highest proportion (64.20%), which is consistent with most domestic studies</w:t>
      </w:r>
      <w:r>
        <w:rPr>
          <w:rFonts w:eastAsia="宋体"/>
          <w:shd w:val="clear" w:color="auto" w:fill="FFFFFF"/>
          <w:lang w:eastAsia="zh-CN"/>
        </w:rPr>
        <w:t xml:space="preserve"> </w:t>
      </w:r>
      <w:r>
        <w:rPr>
          <w:rFonts w:eastAsia="宋体"/>
          <w:shd w:val="clear" w:color="auto" w:fill="FFFFFF"/>
        </w:rPr>
        <w:t xml:space="preserve">[27]. However, the proportion of E8 heterozygous deletion was slightly higher, which may be related to the specific genetic background of the </w:t>
      </w:r>
      <w:proofErr w:type="spellStart"/>
      <w:r>
        <w:rPr>
          <w:rFonts w:eastAsia="宋体"/>
          <w:shd w:val="clear" w:color="auto" w:fill="FFFFFF"/>
        </w:rPr>
        <w:t>Changzhi</w:t>
      </w:r>
      <w:proofErr w:type="spellEnd"/>
      <w:r>
        <w:rPr>
          <w:rFonts w:eastAsia="宋体"/>
          <w:shd w:val="clear" w:color="auto" w:fill="FFFFFF"/>
        </w:rPr>
        <w:t xml:space="preserve"> population. The predominance of E7+E8 heterozygous deletion reflects the fact that E7 deletion directly disrupts the functional domain of the </w:t>
      </w:r>
      <w:r>
        <w:rPr>
          <w:rFonts w:eastAsia="宋体"/>
          <w:iCs/>
          <w:shd w:val="clear" w:color="auto" w:fill="FFFFFF"/>
        </w:rPr>
        <w:t>SMN</w:t>
      </w:r>
      <w:r>
        <w:rPr>
          <w:rFonts w:eastAsia="宋体"/>
          <w:shd w:val="clear" w:color="auto" w:fill="FFFFFF"/>
        </w:rPr>
        <w:t xml:space="preserve"> protein, whereas E8 deletion mainly affects protein stability, suggesting that E7 deletion is the principal risk locus for SMA onset in this region. It is noteworthy that the pregnant woman with E8 homozygous deletion had no E7 mutation, and the newborn exhibited no clinical symptoms, suggesting compensation by a high </w:t>
      </w:r>
      <w:r>
        <w:rPr>
          <w:rFonts w:eastAsia="宋体"/>
          <w:i/>
          <w:shd w:val="clear" w:color="auto" w:fill="FFFFFF"/>
        </w:rPr>
        <w:t>SMN2</w:t>
      </w:r>
      <w:r>
        <w:rPr>
          <w:rFonts w:eastAsia="宋体"/>
          <w:shd w:val="clear" w:color="auto" w:fill="FFFFFF"/>
        </w:rPr>
        <w:t xml:space="preserve"> copy number (≥3)</w:t>
      </w:r>
      <w:r>
        <w:rPr>
          <w:rFonts w:eastAsia="宋体"/>
          <w:shd w:val="clear" w:color="auto" w:fill="FFFFFF"/>
          <w:lang w:eastAsia="zh-CN"/>
        </w:rPr>
        <w:t xml:space="preserve"> </w:t>
      </w:r>
      <w:r>
        <w:rPr>
          <w:rFonts w:eastAsia="宋体"/>
          <w:shd w:val="clear" w:color="auto" w:fill="FFFFFF"/>
        </w:rPr>
        <w:t xml:space="preserve">[28]. This finding indicates that E8 homozygous deletion alone may not be sufficient to cause SMA, and comprehensive evaluation should incorporate </w:t>
      </w:r>
      <w:r>
        <w:rPr>
          <w:rFonts w:eastAsia="宋体"/>
          <w:i/>
          <w:shd w:val="clear" w:color="auto" w:fill="FFFFFF"/>
        </w:rPr>
        <w:t>SMN2</w:t>
      </w:r>
      <w:r>
        <w:rPr>
          <w:rFonts w:eastAsia="宋体"/>
          <w:shd w:val="clear" w:color="auto" w:fill="FFFFFF"/>
        </w:rPr>
        <w:t xml:space="preserve"> copy number and clinical phenotype.</w:t>
      </w:r>
    </w:p>
    <w:p w14:paraId="66150004" w14:textId="77777777" w:rsidR="004922C8" w:rsidRDefault="00605271">
      <w:pPr>
        <w:pStyle w:val="Text"/>
        <w:ind w:firstLine="420"/>
        <w:rPr>
          <w:rFonts w:eastAsia="宋体"/>
          <w:shd w:val="clear" w:color="auto" w:fill="FFFFFF"/>
        </w:rPr>
      </w:pPr>
      <w:r>
        <w:rPr>
          <w:rFonts w:eastAsia="宋体"/>
          <w:shd w:val="clear" w:color="auto" w:fill="FFFFFF"/>
        </w:rPr>
        <w:t>The unique value of this study lies in the systematic head-to-head comparison of two commonly used detection reagents. In the methodological comparison of 694 samples, the Tianlong reagent demonstrated superior detection performance across all genotypes, with coincidence rates for E7 and E8 ranging from 98.55% to 100%. Notably, among carrier-related genotypes (1/1, 1/2, and 2/1), the detection coincidence frequency of the Five-Color Stone reagent for E8 (70.83%–94.90%) was generally lower than that for E7 (79.71%–96.94%), indicating greater technical challenges in E8 detection. This difference in detection performance is highly relevant for large-scale population screening, as the use of reagents with lower accuracy may lead to excessive false-positive results, increasing confirmation costs and psychological burden for pregnant women. Therefore, reagent selection should prioritize detection accuracy, particularly the ability to accurately identify common genotypes.</w:t>
      </w:r>
    </w:p>
    <w:p w14:paraId="4EAE89C5" w14:textId="77777777" w:rsidR="004922C8" w:rsidRDefault="00605271">
      <w:pPr>
        <w:pStyle w:val="Text"/>
        <w:ind w:firstLine="420"/>
        <w:rPr>
          <w:rFonts w:eastAsia="宋体"/>
          <w:shd w:val="clear" w:color="auto" w:fill="FFFFFF"/>
        </w:rPr>
      </w:pPr>
      <w:r>
        <w:rPr>
          <w:rFonts w:eastAsia="宋体"/>
          <w:shd w:val="clear" w:color="auto" w:fill="FFFFFF"/>
        </w:rPr>
        <w:t xml:space="preserve">Fluorescence quantitative PCR is an important tool for SMA screening and diagnosis. In this study, specific primers and MGB probes (FAM channel) were designed for </w:t>
      </w:r>
      <w:r>
        <w:rPr>
          <w:rFonts w:eastAsia="宋体"/>
          <w:i/>
          <w:shd w:val="clear" w:color="auto" w:fill="FFFFFF"/>
        </w:rPr>
        <w:t>SMN1</w:t>
      </w:r>
      <w:r>
        <w:rPr>
          <w:rFonts w:eastAsia="宋体"/>
          <w:shd w:val="clear" w:color="auto" w:fill="FFFFFF"/>
        </w:rPr>
        <w:t xml:space="preserve"> E7 and E8, with the human </w:t>
      </w:r>
      <w:r w:rsidRPr="00122285">
        <w:rPr>
          <w:rFonts w:eastAsia="宋体"/>
          <w:shd w:val="clear" w:color="auto" w:fill="FFFFFF"/>
        </w:rPr>
        <w:t>RPP40 gene s</w:t>
      </w:r>
      <w:r>
        <w:rPr>
          <w:rFonts w:eastAsia="宋体"/>
          <w:shd w:val="clear" w:color="auto" w:fill="FFFFFF"/>
        </w:rPr>
        <w:t xml:space="preserve">erving as an internal control. Simultaneous amplification of the target gene and internal control within the same reaction system ensured detection specificity and stability. The RPP40 amplification signal was used to correct errors caused by DNA extraction quality and PCR efficiency. A Ct reference standard was established using serially diluted normal control samples, and </w:t>
      </w:r>
      <w:proofErr w:type="spellStart"/>
      <w:r>
        <w:rPr>
          <w:rFonts w:eastAsia="宋体"/>
          <w:shd w:val="clear" w:color="auto" w:fill="FFFFFF"/>
        </w:rPr>
        <w:t>ΔCt</w:t>
      </w:r>
      <w:proofErr w:type="spellEnd"/>
      <w:r>
        <w:rPr>
          <w:rFonts w:eastAsia="宋体"/>
          <w:shd w:val="clear" w:color="auto" w:fill="FFFFFF"/>
        </w:rPr>
        <w:t xml:space="preserve"> values between target and internal control genes were calculated and compared with the mean </w:t>
      </w:r>
      <w:proofErr w:type="spellStart"/>
      <w:r>
        <w:rPr>
          <w:rFonts w:eastAsia="宋体"/>
          <w:shd w:val="clear" w:color="auto" w:fill="FFFFFF"/>
        </w:rPr>
        <w:t>ΔCt</w:t>
      </w:r>
      <w:proofErr w:type="spellEnd"/>
      <w:r>
        <w:rPr>
          <w:rFonts w:eastAsia="宋体"/>
          <w:shd w:val="clear" w:color="auto" w:fill="FFFFFF"/>
        </w:rPr>
        <w:t xml:space="preserve"> of controls to derive </w:t>
      </w:r>
      <w:proofErr w:type="spellStart"/>
      <w:r>
        <w:rPr>
          <w:rFonts w:eastAsia="宋体"/>
          <w:shd w:val="clear" w:color="auto" w:fill="FFFFFF"/>
        </w:rPr>
        <w:t>ΔΔCt</w:t>
      </w:r>
      <w:proofErr w:type="spellEnd"/>
      <w:r>
        <w:rPr>
          <w:rFonts w:eastAsia="宋体"/>
          <w:shd w:val="clear" w:color="auto" w:fill="FFFFFF"/>
        </w:rPr>
        <w:t xml:space="preserve"> values, thereby determining exon deletion status. Deletion was assessed based on </w:t>
      </w:r>
      <w:proofErr w:type="spellStart"/>
      <w:r>
        <w:rPr>
          <w:rFonts w:eastAsia="宋体"/>
          <w:shd w:val="clear" w:color="auto" w:fill="FFFFFF"/>
        </w:rPr>
        <w:t>ΔΔCt</w:t>
      </w:r>
      <w:proofErr w:type="spellEnd"/>
      <w:r>
        <w:rPr>
          <w:rFonts w:eastAsia="宋体"/>
          <w:shd w:val="clear" w:color="auto" w:fill="FFFFFF"/>
        </w:rPr>
        <w:t xml:space="preserve"> thresholds and fluorescence signal presence, without the need for a standard curve, enabling high sensitivity for detecting copy number differences</w:t>
      </w:r>
      <w:r>
        <w:rPr>
          <w:rFonts w:eastAsia="宋体"/>
          <w:shd w:val="clear" w:color="auto" w:fill="FFFFFF"/>
          <w:lang w:eastAsia="zh-CN"/>
        </w:rPr>
        <w:t xml:space="preserve"> </w:t>
      </w:r>
      <w:r>
        <w:rPr>
          <w:rFonts w:eastAsia="宋体"/>
          <w:shd w:val="clear" w:color="auto" w:fill="FFFFFF"/>
        </w:rPr>
        <w:t>[29].</w:t>
      </w:r>
    </w:p>
    <w:p w14:paraId="18E82F1F" w14:textId="65258413" w:rsidR="004922C8" w:rsidRDefault="00605271">
      <w:pPr>
        <w:pStyle w:val="Text"/>
        <w:ind w:firstLine="420"/>
        <w:rPr>
          <w:rFonts w:eastAsia="宋体"/>
          <w:shd w:val="clear" w:color="auto" w:fill="FFFFFF"/>
        </w:rPr>
      </w:pPr>
      <w:r>
        <w:rPr>
          <w:rFonts w:eastAsia="宋体"/>
          <w:shd w:val="clear" w:color="auto" w:fill="FFFFFF"/>
        </w:rPr>
        <w:t xml:space="preserve">Two cases of compound heterozygous mutations were identified by third-generation sequencing, indicating that traditional copy number analysis may miss point mutations and that supplementary sequencing in high-risk populations can improve diagnostic accuracy. In spouse screening, the carrier detection rate was 1.45%, resulting in four high-risk couples. One case of an SMA-affected fetus was confirmed by prenatal diagnosis, and pregnancy </w:t>
      </w:r>
      <w:r>
        <w:rPr>
          <w:rFonts w:eastAsia="宋体"/>
          <w:shd w:val="clear" w:color="auto" w:fill="FFFFFF"/>
        </w:rPr>
        <w:lastRenderedPageBreak/>
        <w:t xml:space="preserve">termination effectively prevented the birth of an affected infant, demonstrating the core value of prenatal diagnosis. The screening cost for this study is approximately </w:t>
      </w:r>
      <w:r w:rsidRPr="00A31907">
        <w:rPr>
          <w:rFonts w:eastAsia="宋体" w:hint="eastAsia"/>
          <w:shd w:val="clear" w:color="auto" w:fill="FFFFFF"/>
        </w:rPr>
        <w:t>7.32 dollars</w:t>
      </w:r>
      <w:r w:rsidRPr="00F540C5">
        <w:rPr>
          <w:rFonts w:eastAsia="宋体"/>
          <w:shd w:val="clear" w:color="auto" w:fill="FFFFFF"/>
        </w:rPr>
        <w:t xml:space="preserve"> per person. The total cost for prenatal diagnosis for 4 high-risk couples is </w:t>
      </w:r>
      <w:r w:rsidRPr="00A31907">
        <w:rPr>
          <w:rFonts w:eastAsia="宋体" w:hint="eastAsia"/>
          <w:shd w:val="clear" w:color="auto" w:fill="FFFFFF"/>
        </w:rPr>
        <w:t>1171.192</w:t>
      </w:r>
      <w:r w:rsidRPr="00A31907">
        <w:rPr>
          <w:rFonts w:eastAsia="宋体" w:hint="eastAsia"/>
          <w:shd w:val="clear" w:color="auto" w:fill="FFFFFF"/>
          <w:lang w:eastAsia="zh-CN"/>
        </w:rPr>
        <w:t xml:space="preserve"> </w:t>
      </w:r>
      <w:r w:rsidRPr="00A31907">
        <w:rPr>
          <w:rFonts w:eastAsia="宋体" w:hint="eastAsia"/>
          <w:shd w:val="clear" w:color="auto" w:fill="FFFFFF"/>
        </w:rPr>
        <w:t>dollars</w:t>
      </w:r>
      <w:r w:rsidRPr="00F540C5">
        <w:rPr>
          <w:rFonts w:eastAsia="宋体"/>
          <w:shd w:val="clear" w:color="auto" w:fill="FFFFFF"/>
        </w:rPr>
        <w:t>. Prenatal scre</w:t>
      </w:r>
      <w:r>
        <w:rPr>
          <w:rFonts w:eastAsia="宋体"/>
          <w:shd w:val="clear" w:color="auto" w:fill="FFFFFF"/>
        </w:rPr>
        <w:t xml:space="preserve">ening and diagnosis for SMA can effectively reduce the economic burden associated with long-term disease management, including costs of treatment, rehabilitation, and supportive care for affected individuals. This potential economic benefit, combined with the clinical value of early intervention, highlights the practical significance of large-scale screening. However, it should be noted that factors such as the disease prevalence rate, false positive rate, and subsequent confirmatory tests, genetic counseling, and other downstream costs may affect the overall cost-effectiveness balance </w:t>
      </w:r>
      <w:r>
        <w:rPr>
          <w:rFonts w:eastAsia="宋体"/>
          <w:smallCaps/>
          <w:shd w:val="clear" w:color="auto" w:fill="FFFFFF"/>
        </w:rPr>
        <w:t>[</w:t>
      </w:r>
      <w:r>
        <w:rPr>
          <w:rFonts w:eastAsia="宋体"/>
          <w:shd w:val="clear" w:color="auto" w:fill="FFFFFF"/>
        </w:rPr>
        <w:t>30]. In addition, the screening procedure is simple, can be integrated into routine prenatal examinations, and requires only two hours for reagent testing, making it suitable for large-scale implementation.</w:t>
      </w:r>
    </w:p>
    <w:p w14:paraId="1E6488F6" w14:textId="77777777" w:rsidR="004922C8" w:rsidRDefault="00605271">
      <w:pPr>
        <w:pStyle w:val="Text"/>
        <w:ind w:firstLine="420"/>
        <w:rPr>
          <w:rFonts w:eastAsia="宋体"/>
          <w:shd w:val="clear" w:color="auto" w:fill="FFFFFF"/>
        </w:rPr>
      </w:pPr>
      <w:r>
        <w:rPr>
          <w:rFonts w:eastAsia="宋体"/>
          <w:shd w:val="clear" w:color="auto" w:fill="FFFFFF"/>
        </w:rPr>
        <w:t xml:space="preserve">The SMA carrier rate in the </w:t>
      </w:r>
      <w:proofErr w:type="spellStart"/>
      <w:r>
        <w:rPr>
          <w:rFonts w:eastAsia="宋体"/>
          <w:shd w:val="clear" w:color="auto" w:fill="FFFFFF"/>
        </w:rPr>
        <w:t>Changzhi</w:t>
      </w:r>
      <w:proofErr w:type="spellEnd"/>
      <w:r>
        <w:rPr>
          <w:rFonts w:eastAsia="宋体"/>
          <w:shd w:val="clear" w:color="auto" w:fill="FFFFFF"/>
        </w:rPr>
        <w:t xml:space="preserve"> region was higher than that in the Gansu and Jiangsu regions, but no statistically significant difference was observed compared with the Shenzhen. The higher carrier rate in </w:t>
      </w:r>
      <w:proofErr w:type="spellStart"/>
      <w:r>
        <w:rPr>
          <w:rFonts w:eastAsia="宋体"/>
          <w:shd w:val="clear" w:color="auto" w:fill="FFFFFF"/>
        </w:rPr>
        <w:t>Changzhi</w:t>
      </w:r>
      <w:proofErr w:type="spellEnd"/>
      <w:r>
        <w:rPr>
          <w:rFonts w:eastAsia="宋体"/>
          <w:shd w:val="clear" w:color="auto" w:fill="FFFFFF"/>
        </w:rPr>
        <w:t xml:space="preserve"> may be associated with long-term settlement patterns and limited genetic exchange within the Han population of southern Shanxi. However, the absence of a significant difference compared with southern regions such as Shenzhen and Guiyang </w:t>
      </w:r>
      <w:proofErr w:type="gramStart"/>
      <w:r>
        <w:rPr>
          <w:rFonts w:eastAsia="宋体"/>
          <w:shd w:val="clear" w:color="auto" w:fill="FFFFFF"/>
        </w:rPr>
        <w:t>challenges</w:t>
      </w:r>
      <w:proofErr w:type="gramEnd"/>
      <w:r>
        <w:rPr>
          <w:rFonts w:eastAsia="宋体"/>
          <w:shd w:val="clear" w:color="auto" w:fill="FFFFFF"/>
        </w:rPr>
        <w:t xml:space="preserve"> the traditional perception that SMA carrier rates are lower in northern than in southern China. This finding suggests that regional SMA carrier distribution may be influenced by multiple factors, including population mobility and genetic background, and warrants further validation through multicenter, large-sample studies.</w:t>
      </w:r>
    </w:p>
    <w:p w14:paraId="687FFEA0" w14:textId="77777777" w:rsidR="004922C8" w:rsidRDefault="00605271">
      <w:pPr>
        <w:pStyle w:val="Text"/>
        <w:ind w:firstLine="420"/>
        <w:rPr>
          <w:rFonts w:eastAsia="宋体"/>
          <w:shd w:val="clear" w:color="auto" w:fill="FFFFFF"/>
        </w:rPr>
      </w:pPr>
      <w:r>
        <w:rPr>
          <w:rFonts w:eastAsia="宋体"/>
          <w:shd w:val="clear" w:color="auto" w:fill="FFFFFF"/>
        </w:rPr>
        <w:t xml:space="preserve">The findings of this study provide a basis for genetic counseling and prenatal diagnosis of SMA carriers in the </w:t>
      </w:r>
      <w:proofErr w:type="spellStart"/>
      <w:r>
        <w:rPr>
          <w:rFonts w:eastAsia="宋体"/>
          <w:shd w:val="clear" w:color="auto" w:fill="FFFFFF"/>
        </w:rPr>
        <w:t>Changzhi</w:t>
      </w:r>
      <w:proofErr w:type="spellEnd"/>
      <w:r>
        <w:rPr>
          <w:rFonts w:eastAsia="宋体"/>
          <w:shd w:val="clear" w:color="auto" w:fill="FFFFFF"/>
        </w:rPr>
        <w:t xml:space="preserve"> region. Prenatal diagnosis of high-risk fetuses enables early diagnosis and intervention, effectively reducing the birth of SMA-affected infants and alleviating the burden on families and society. Based on these results, it is recommended that SMA carrier screening be incorporated into routine pre-pregnancy examinations in the </w:t>
      </w:r>
      <w:proofErr w:type="spellStart"/>
      <w:r>
        <w:rPr>
          <w:rFonts w:eastAsia="宋体"/>
          <w:shd w:val="clear" w:color="auto" w:fill="FFFFFF"/>
        </w:rPr>
        <w:t>Changzhi</w:t>
      </w:r>
      <w:proofErr w:type="spellEnd"/>
      <w:r>
        <w:rPr>
          <w:rFonts w:eastAsia="宋体"/>
          <w:shd w:val="clear" w:color="auto" w:fill="FFFFFF"/>
        </w:rPr>
        <w:t xml:space="preserve"> region, with mandatory screening for spouses of identified carriers. For couples in which both partners are carriers, chorionic villus sampling with MLPA testing at 9–13</w:t>
      </w:r>
      <w:r>
        <w:rPr>
          <w:shd w:val="clear" w:color="auto" w:fill="FFFFFF"/>
        </w:rPr>
        <w:t>+6</w:t>
      </w:r>
      <w:r>
        <w:rPr>
          <w:rFonts w:eastAsia="宋体"/>
          <w:shd w:val="clear" w:color="auto" w:fill="FFFFFF"/>
        </w:rPr>
        <w:t xml:space="preserve"> weeks of gestation or amniocentesis with MLPA testing at 16–22</w:t>
      </w:r>
      <w:r>
        <w:rPr>
          <w:shd w:val="clear" w:color="auto" w:fill="FFFFFF"/>
        </w:rPr>
        <w:t>+6</w:t>
      </w:r>
      <w:r>
        <w:rPr>
          <w:rFonts w:eastAsia="宋体"/>
          <w:shd w:val="clear" w:color="auto" w:fill="FFFFFF"/>
        </w:rPr>
        <w:t xml:space="preserve"> weeks can reduce the birth rate of children with SMA.</w:t>
      </w:r>
      <w:r>
        <w:rPr>
          <w:rFonts w:eastAsia="宋体"/>
          <w:shd w:val="clear" w:color="auto" w:fill="FFFFFF"/>
          <w:lang w:eastAsia="zh-CN"/>
        </w:rPr>
        <w:t xml:space="preserve"> </w:t>
      </w:r>
      <w:r>
        <w:rPr>
          <w:rFonts w:eastAsia="宋体"/>
          <w:shd w:val="clear" w:color="auto" w:fill="FFFFFF"/>
        </w:rPr>
        <w:t xml:space="preserve">The SMA screening strategy proposed in this study is mainly applicable to the general screening of pregnant women in the </w:t>
      </w:r>
      <w:proofErr w:type="spellStart"/>
      <w:r>
        <w:rPr>
          <w:rFonts w:eastAsia="宋体"/>
          <w:shd w:val="clear" w:color="auto" w:fill="FFFFFF"/>
        </w:rPr>
        <w:t>Changzhi</w:t>
      </w:r>
      <w:proofErr w:type="spellEnd"/>
      <w:r>
        <w:rPr>
          <w:rFonts w:eastAsia="宋体"/>
          <w:shd w:val="clear" w:color="auto" w:fill="FFFFFF"/>
        </w:rPr>
        <w:t xml:space="preserve"> area. In the future, further exploration can be conducted to develop precise screening plans for specific high-risk groups such as those with a family genetic history.</w:t>
      </w:r>
    </w:p>
    <w:p w14:paraId="11582D60" w14:textId="77777777" w:rsidR="004922C8" w:rsidRDefault="00605271">
      <w:pPr>
        <w:pStyle w:val="1"/>
        <w:rPr>
          <w:rFonts w:eastAsia="宋体"/>
          <w:shd w:val="clear" w:color="auto" w:fill="FFFFFF"/>
        </w:rPr>
      </w:pPr>
      <w:r>
        <w:rPr>
          <w:rFonts w:eastAsia="宋体"/>
          <w:shd w:val="clear" w:color="auto" w:fill="FFFFFF"/>
        </w:rPr>
        <w:t>5. Limitations</w:t>
      </w:r>
    </w:p>
    <w:p w14:paraId="51F8D9F1" w14:textId="77777777" w:rsidR="004922C8" w:rsidRDefault="00605271">
      <w:pPr>
        <w:pStyle w:val="Text"/>
        <w:ind w:firstLine="420"/>
        <w:rPr>
          <w:rFonts w:eastAsia="宋体"/>
          <w:shd w:val="clear" w:color="auto" w:fill="FFFFFF"/>
        </w:rPr>
      </w:pPr>
      <w:r>
        <w:rPr>
          <w:rFonts w:eastAsia="宋体"/>
          <w:shd w:val="clear" w:color="auto" w:fill="FFFFFF"/>
        </w:rPr>
        <w:t xml:space="preserve">This study has certain limitations. Only </w:t>
      </w:r>
      <w:r>
        <w:rPr>
          <w:rFonts w:eastAsia="宋体"/>
          <w:i/>
          <w:shd w:val="clear" w:color="auto" w:fill="FFFFFF"/>
        </w:rPr>
        <w:t>SMN1</w:t>
      </w:r>
      <w:r>
        <w:rPr>
          <w:rFonts w:eastAsia="宋体"/>
          <w:shd w:val="clear" w:color="auto" w:fill="FFFFFF"/>
        </w:rPr>
        <w:t xml:space="preserve"> E7 and E8 copy numbers and selected point mutations were analyzed, without comprehensive coverage of all possible mutation types. Some carrier pregnant women declined spouse screening or prenatal diagnosis for personal reasons, potentially leading to missed high-risk cases. In addition, </w:t>
      </w:r>
      <w:r>
        <w:rPr>
          <w:rFonts w:eastAsia="宋体"/>
          <w:i/>
          <w:shd w:val="clear" w:color="auto" w:fill="FFFFFF"/>
        </w:rPr>
        <w:t>SMN2</w:t>
      </w:r>
      <w:r>
        <w:rPr>
          <w:rFonts w:eastAsia="宋体"/>
          <w:shd w:val="clear" w:color="auto" w:fill="FFFFFF"/>
        </w:rPr>
        <w:t xml:space="preserve"> copy number was not systematically assessed, limiting evaluation of disease severity. Future studies should expand sample size, incorporate </w:t>
      </w:r>
      <w:r>
        <w:rPr>
          <w:rFonts w:eastAsia="宋体"/>
          <w:i/>
          <w:shd w:val="clear" w:color="auto" w:fill="FFFFFF"/>
        </w:rPr>
        <w:t>SMN2</w:t>
      </w:r>
      <w:r>
        <w:rPr>
          <w:rFonts w:eastAsia="宋体"/>
          <w:shd w:val="clear" w:color="auto" w:fill="FFFFFF"/>
        </w:rPr>
        <w:t xml:space="preserve"> copy number analysis and family-based investigations, and further refine the SMA genetic landscape of the </w:t>
      </w:r>
      <w:proofErr w:type="spellStart"/>
      <w:r>
        <w:rPr>
          <w:rFonts w:eastAsia="宋体"/>
          <w:shd w:val="clear" w:color="auto" w:fill="FFFFFF"/>
        </w:rPr>
        <w:t>Changzhi</w:t>
      </w:r>
      <w:proofErr w:type="spellEnd"/>
      <w:r>
        <w:rPr>
          <w:rFonts w:eastAsia="宋体"/>
          <w:shd w:val="clear" w:color="auto" w:fill="FFFFFF"/>
        </w:rPr>
        <w:t xml:space="preserve"> region.</w:t>
      </w:r>
    </w:p>
    <w:p w14:paraId="52CDC6EB" w14:textId="77777777" w:rsidR="004922C8" w:rsidRDefault="00605271">
      <w:pPr>
        <w:pStyle w:val="1"/>
        <w:rPr>
          <w:rFonts w:eastAsia="宋体"/>
          <w:shd w:val="clear" w:color="auto" w:fill="FFFFFF"/>
        </w:rPr>
      </w:pPr>
      <w:r>
        <w:rPr>
          <w:rFonts w:eastAsia="宋体"/>
          <w:shd w:val="clear" w:color="auto" w:fill="FFFFFF"/>
        </w:rPr>
        <w:t>6. Conclusion</w:t>
      </w:r>
      <w:r>
        <w:rPr>
          <w:rFonts w:eastAsia="宋体" w:hint="eastAsia"/>
          <w:shd w:val="clear" w:color="auto" w:fill="FFFFFF"/>
        </w:rPr>
        <w:t>s</w:t>
      </w:r>
    </w:p>
    <w:p w14:paraId="3B551371" w14:textId="77777777" w:rsidR="004922C8" w:rsidRDefault="00605271">
      <w:pPr>
        <w:pStyle w:val="Text"/>
        <w:ind w:firstLine="420"/>
        <w:rPr>
          <w:rFonts w:eastAsia="宋体"/>
          <w:shd w:val="clear" w:color="auto" w:fill="FFFFFF"/>
        </w:rPr>
      </w:pPr>
      <w:r>
        <w:rPr>
          <w:rFonts w:eastAsia="宋体"/>
          <w:shd w:val="clear" w:color="auto" w:fill="FFFFFF"/>
        </w:rPr>
        <w:t xml:space="preserve">The SMA carrier frequency in the </w:t>
      </w:r>
      <w:proofErr w:type="spellStart"/>
      <w:r>
        <w:rPr>
          <w:rFonts w:eastAsia="宋体"/>
          <w:shd w:val="clear" w:color="auto" w:fill="FFFFFF"/>
        </w:rPr>
        <w:t>Changzhi</w:t>
      </w:r>
      <w:proofErr w:type="spellEnd"/>
      <w:r>
        <w:rPr>
          <w:rFonts w:eastAsia="宋体"/>
          <w:shd w:val="clear" w:color="auto" w:fill="FFFFFF"/>
        </w:rPr>
        <w:t xml:space="preserve"> region was 1/40, with E7+E8 heterozygous deletion as the predominant mutation type. Routine SMA carrier screening for pregnant women, synchronous testing of spouses of </w:t>
      </w:r>
      <w:r>
        <w:rPr>
          <w:rFonts w:eastAsia="宋体"/>
          <w:shd w:val="clear" w:color="auto" w:fill="FFFFFF"/>
        </w:rPr>
        <w:lastRenderedPageBreak/>
        <w:t>identified carriers, and prenatal diagnosis for high-risk fetuses can establish a closed-loop management strategy of “screening–confirmation–intervention”, effectively reducing the birth rate of SMA-affected infants and contributing to the improvement of the quality of the local birth population. The core innovation of this study lies in clearly demonstrating the superior performance of Tianlong reagent and providing a practical basis for clinical screening. The closed-loop process established in this study, namely “screening–re-examination–spouse screening–prenatal diagnosis”, can be directly applied to routine obstetric prenatal examinations, thereby improving the efficiency of identifying high-risk populations.</w:t>
      </w:r>
    </w:p>
    <w:p w14:paraId="089EE705" w14:textId="77777777" w:rsidR="004922C8" w:rsidRDefault="004922C8">
      <w:pPr>
        <w:pStyle w:val="Text"/>
        <w:ind w:firstLine="420"/>
        <w:rPr>
          <w:rFonts w:eastAsia="宋体"/>
          <w:shd w:val="clear" w:color="auto" w:fill="FFFFFF"/>
        </w:rPr>
      </w:pPr>
    </w:p>
    <w:p w14:paraId="7A79D9F0" w14:textId="77777777" w:rsidR="004922C8" w:rsidRDefault="00605271">
      <w:pPr>
        <w:pStyle w:val="Backmatter"/>
        <w:spacing w:before="180" w:after="180"/>
      </w:pPr>
      <w:r>
        <w:rPr>
          <w:rFonts w:eastAsia="CMBX12"/>
        </w:rPr>
        <w:t>Availability of Data and Materials</w:t>
      </w:r>
    </w:p>
    <w:p w14:paraId="2FAAC918" w14:textId="77777777" w:rsidR="004922C8" w:rsidRDefault="00605271">
      <w:pPr>
        <w:pStyle w:val="Text"/>
        <w:ind w:firstLine="420"/>
        <w:rPr>
          <w:rFonts w:eastAsiaTheme="minorEastAsia"/>
          <w:lang w:eastAsia="zh-CN"/>
        </w:rPr>
      </w:pPr>
      <w:r>
        <w:rPr>
          <w:rFonts w:eastAsia="CMR10"/>
        </w:rPr>
        <w:t>The data of this study are available from the corresponding author.</w:t>
      </w:r>
    </w:p>
    <w:p w14:paraId="3F3D9905" w14:textId="77777777" w:rsidR="004922C8" w:rsidRDefault="00605271">
      <w:pPr>
        <w:pStyle w:val="Backmatter"/>
        <w:spacing w:before="180" w:after="180"/>
        <w:rPr>
          <w:rFonts w:eastAsia="CMR10"/>
        </w:rPr>
      </w:pPr>
      <w:r>
        <w:rPr>
          <w:rFonts w:eastAsia="CMR10"/>
        </w:rPr>
        <w:t>Author Contributions</w:t>
      </w:r>
    </w:p>
    <w:p w14:paraId="09D45E06" w14:textId="14570C5C" w:rsidR="004922C8" w:rsidRDefault="00605271" w:rsidP="00F540C5">
      <w:pPr>
        <w:pStyle w:val="Text"/>
        <w:ind w:firstLine="420"/>
        <w:rPr>
          <w:rFonts w:eastAsia="宋体"/>
        </w:rPr>
      </w:pPr>
      <w:r>
        <w:rPr>
          <w:rFonts w:eastAsia="宋体"/>
        </w:rPr>
        <w:t>MZ designed the research study, performed the experiments, and analyzed the data. JG contributed to performing the experiments and data analysis. FL and HS provided critical technical support, experimental materials, and advice on the methodology. XL supervised the project, provided funding and resources, and reviewed and revised the manuscript.</w:t>
      </w:r>
      <w:r w:rsidR="00F540C5">
        <w:rPr>
          <w:rFonts w:eastAsia="仿宋"/>
        </w:rPr>
        <w:t xml:space="preserve"> </w:t>
      </w:r>
      <w:r>
        <w:rPr>
          <w:rFonts w:eastAsia="仿宋"/>
        </w:rPr>
        <w:t>All authors read and approved the final manuscript. All authors have participated sufficiently in the work and agreed to be accountable for all aspects of the work.</w:t>
      </w:r>
    </w:p>
    <w:p w14:paraId="0CC3642E" w14:textId="77777777" w:rsidR="004922C8" w:rsidRDefault="00605271">
      <w:pPr>
        <w:pStyle w:val="Backmatter"/>
        <w:spacing w:before="180" w:after="180"/>
        <w:rPr>
          <w:rFonts w:eastAsiaTheme="minorEastAsia"/>
          <w:lang w:eastAsia="zh-CN"/>
        </w:rPr>
      </w:pPr>
      <w:bookmarkStart w:id="8" w:name="_GoBack"/>
      <w:r>
        <w:rPr>
          <w:rFonts w:eastAsia="CMR10"/>
        </w:rPr>
        <w:t>Ethics Approval</w:t>
      </w:r>
      <w:r>
        <w:rPr>
          <w:rFonts w:eastAsiaTheme="minorEastAsia"/>
          <w:lang w:eastAsia="zh-CN"/>
        </w:rPr>
        <w:t xml:space="preserve"> and Consent to Participate</w:t>
      </w:r>
      <w:bookmarkEnd w:id="8"/>
    </w:p>
    <w:p w14:paraId="3EE6F52E" w14:textId="77777777" w:rsidR="004922C8" w:rsidRDefault="00605271">
      <w:pPr>
        <w:pStyle w:val="Text"/>
        <w:ind w:firstLine="420"/>
        <w:rPr>
          <w:rFonts w:eastAsia="宋体"/>
          <w:shd w:val="clear" w:color="auto" w:fill="FFFFFF"/>
        </w:rPr>
      </w:pPr>
      <w:r>
        <w:rPr>
          <w:rFonts w:eastAsia="宋体" w:hint="eastAsia"/>
          <w:shd w:val="clear" w:color="auto" w:fill="FFFFFF"/>
        </w:rPr>
        <w:t>This study is based on the Helsinki Declaration.</w:t>
      </w:r>
      <w:r>
        <w:rPr>
          <w:rFonts w:eastAsia="宋体" w:hint="eastAsia"/>
          <w:shd w:val="clear" w:color="auto" w:fill="FFFFFF"/>
          <w:lang w:eastAsia="zh-CN"/>
        </w:rPr>
        <w:t xml:space="preserve"> </w:t>
      </w:r>
      <w:r>
        <w:rPr>
          <w:rFonts w:eastAsia="宋体"/>
          <w:shd w:val="clear" w:color="auto" w:fill="FFFFFF"/>
        </w:rPr>
        <w:t>This study was approved by the Ethics Committee of</w:t>
      </w:r>
      <w:r>
        <w:rPr>
          <w:rFonts w:eastAsia="宋体"/>
          <w:shd w:val="clear" w:color="auto" w:fill="FFFFFF"/>
          <w:lang w:eastAsia="zh-CN"/>
        </w:rPr>
        <w:t xml:space="preserve"> </w:t>
      </w:r>
      <w:proofErr w:type="spellStart"/>
      <w:r>
        <w:rPr>
          <w:rFonts w:eastAsia="宋体"/>
          <w:shd w:val="clear" w:color="auto" w:fill="FFFFFF"/>
        </w:rPr>
        <w:t>Changzhi</w:t>
      </w:r>
      <w:proofErr w:type="spellEnd"/>
      <w:r>
        <w:rPr>
          <w:rFonts w:eastAsia="宋体"/>
          <w:shd w:val="clear" w:color="auto" w:fill="FFFFFF"/>
        </w:rPr>
        <w:t xml:space="preserve"> Maternal and Child Health Hospital (Approval No.: CZSFYLL2024-047).</w:t>
      </w:r>
    </w:p>
    <w:p w14:paraId="57273A4A" w14:textId="77777777" w:rsidR="004922C8" w:rsidRDefault="00605271">
      <w:pPr>
        <w:pStyle w:val="Backmatter"/>
        <w:spacing w:before="180" w:after="180"/>
        <w:rPr>
          <w:rFonts w:eastAsia="CMR10"/>
        </w:rPr>
      </w:pPr>
      <w:r>
        <w:rPr>
          <w:rFonts w:eastAsia="CMR10"/>
        </w:rPr>
        <w:t>Acknowledgment</w:t>
      </w:r>
    </w:p>
    <w:p w14:paraId="16F40B57" w14:textId="77777777" w:rsidR="004922C8" w:rsidRDefault="00605271">
      <w:pPr>
        <w:pStyle w:val="Text"/>
        <w:ind w:firstLine="420"/>
        <w:rPr>
          <w:rFonts w:eastAsia="宋体"/>
          <w:shd w:val="clear" w:color="auto" w:fill="FFFFFF"/>
        </w:rPr>
      </w:pPr>
      <w:r>
        <w:rPr>
          <w:rFonts w:eastAsia="宋体"/>
          <w:shd w:val="clear" w:color="auto" w:fill="FFFFFF"/>
        </w:rPr>
        <w:t xml:space="preserve">We sincerely thank the Laboratory team of </w:t>
      </w:r>
      <w:proofErr w:type="spellStart"/>
      <w:r>
        <w:rPr>
          <w:rFonts w:eastAsia="宋体"/>
          <w:shd w:val="clear" w:color="auto" w:fill="FFFFFF"/>
        </w:rPr>
        <w:t>Changzhi</w:t>
      </w:r>
      <w:proofErr w:type="spellEnd"/>
      <w:r>
        <w:rPr>
          <w:rFonts w:eastAsia="宋体"/>
          <w:shd w:val="clear" w:color="auto" w:fill="FFFFFF"/>
        </w:rPr>
        <w:t xml:space="preserve"> Maternal and Child Health Hospital for their technical support during the sample testing process. We also thank all the pregnant women and their families who participated in this study for their active cooperation. At the same time, we are grateful to all the peer reviewers for their valuable opinions and suggestions.</w:t>
      </w:r>
    </w:p>
    <w:p w14:paraId="2C97D616" w14:textId="77777777" w:rsidR="004922C8" w:rsidRDefault="00605271">
      <w:pPr>
        <w:pStyle w:val="Backmatter"/>
        <w:spacing w:before="180" w:after="180"/>
        <w:rPr>
          <w:rFonts w:eastAsiaTheme="minorEastAsia"/>
          <w:lang w:eastAsia="zh-CN"/>
        </w:rPr>
      </w:pPr>
      <w:r>
        <w:rPr>
          <w:rFonts w:eastAsia="CMBX12"/>
        </w:rPr>
        <w:t>Funding</w:t>
      </w:r>
    </w:p>
    <w:p w14:paraId="57FCDC0A" w14:textId="77777777" w:rsidR="004922C8" w:rsidRDefault="00605271">
      <w:pPr>
        <w:pStyle w:val="Text"/>
        <w:ind w:firstLine="420"/>
        <w:rPr>
          <w:rFonts w:eastAsia="宋体"/>
        </w:rPr>
      </w:pPr>
      <w:r>
        <w:rPr>
          <w:rFonts w:eastAsiaTheme="minorEastAsia"/>
        </w:rPr>
        <w:t>Funding support was received from Shanxi Basic Research Program (Grant No.202403021221345).</w:t>
      </w:r>
    </w:p>
    <w:p w14:paraId="36DEDA3F" w14:textId="77777777" w:rsidR="004922C8" w:rsidRDefault="00605271">
      <w:pPr>
        <w:pStyle w:val="Backmatter"/>
        <w:spacing w:before="180" w:after="180"/>
      </w:pPr>
      <w:r>
        <w:rPr>
          <w:rFonts w:eastAsia="CMBX12"/>
        </w:rPr>
        <w:t>Conflicts of Interest</w:t>
      </w:r>
    </w:p>
    <w:p w14:paraId="72CC8F06" w14:textId="77777777" w:rsidR="004922C8" w:rsidRDefault="00605271">
      <w:pPr>
        <w:pStyle w:val="Text"/>
        <w:ind w:firstLine="420"/>
        <w:rPr>
          <w:rFonts w:eastAsia="宋体"/>
          <w:sz w:val="24"/>
          <w:shd w:val="clear" w:color="auto" w:fill="FFFFFF"/>
        </w:rPr>
      </w:pPr>
      <w:r>
        <w:rPr>
          <w:rFonts w:eastAsia="CMR10"/>
        </w:rPr>
        <w:t>The authors declare no conflicts of interest.</w:t>
      </w:r>
    </w:p>
    <w:p w14:paraId="3BDE3E98" w14:textId="77777777" w:rsidR="004922C8" w:rsidRDefault="004922C8">
      <w:pPr>
        <w:pStyle w:val="Backmattertext"/>
        <w:ind w:firstLine="420"/>
        <w:rPr>
          <w:rFonts w:eastAsia="宋体"/>
          <w:shd w:val="clear" w:color="auto" w:fill="FFFFFF"/>
        </w:rPr>
      </w:pPr>
    </w:p>
    <w:p w14:paraId="3015D68E" w14:textId="77777777" w:rsidR="004922C8" w:rsidRDefault="00605271">
      <w:pPr>
        <w:pStyle w:val="Backmatter"/>
        <w:spacing w:before="180" w:after="180"/>
        <w:rPr>
          <w:rFonts w:eastAsia="宋体"/>
          <w:shd w:val="clear" w:color="auto" w:fill="FFFFFF"/>
        </w:rPr>
      </w:pPr>
      <w:r>
        <w:rPr>
          <w:rFonts w:eastAsia="宋体"/>
        </w:rPr>
        <w:t>References</w:t>
      </w:r>
    </w:p>
    <w:p w14:paraId="44B3035F" w14:textId="77777777" w:rsidR="004922C8" w:rsidRDefault="00605271">
      <w:pPr>
        <w:pStyle w:val="Reference"/>
        <w:ind w:left="360" w:hanging="360"/>
        <w:rPr>
          <w:rFonts w:eastAsia="宋体"/>
        </w:rPr>
      </w:pPr>
      <w:r>
        <w:rPr>
          <w:rFonts w:eastAsia="宋体"/>
        </w:rPr>
        <w:t xml:space="preserve">[1] </w:t>
      </w:r>
      <w:proofErr w:type="spellStart"/>
      <w:r>
        <w:rPr>
          <w:rFonts w:eastAsia="宋体"/>
        </w:rPr>
        <w:t>Nishio</w:t>
      </w:r>
      <w:proofErr w:type="spellEnd"/>
      <w:r>
        <w:rPr>
          <w:rFonts w:eastAsia="宋体"/>
        </w:rPr>
        <w:t xml:space="preserve"> H, </w:t>
      </w:r>
      <w:proofErr w:type="spellStart"/>
      <w:r>
        <w:rPr>
          <w:rFonts w:eastAsia="宋体"/>
        </w:rPr>
        <w:t>Niba</w:t>
      </w:r>
      <w:proofErr w:type="spellEnd"/>
      <w:r>
        <w:rPr>
          <w:rFonts w:eastAsia="宋体"/>
        </w:rPr>
        <w:t xml:space="preserve"> ETE, Saito T, Okamoto K, Takeshima Y, </w:t>
      </w:r>
      <w:proofErr w:type="spellStart"/>
      <w:r>
        <w:rPr>
          <w:rFonts w:eastAsia="宋体"/>
        </w:rPr>
        <w:t>Awano</w:t>
      </w:r>
      <w:proofErr w:type="spellEnd"/>
      <w:r>
        <w:rPr>
          <w:rFonts w:eastAsia="宋体"/>
        </w:rPr>
        <w:t xml:space="preserve"> H. Spinal Muscular Atrophy: The Past, Present, and Future of Diagnosis and Treatment. International Journal of Molecular Sciences. 2023; 24: 11939. https://doi.org/10.3390/ijms241511939.</w:t>
      </w:r>
    </w:p>
    <w:p w14:paraId="22953572" w14:textId="77777777" w:rsidR="004922C8" w:rsidRPr="005F3E29" w:rsidRDefault="00605271">
      <w:pPr>
        <w:pStyle w:val="Reference"/>
        <w:ind w:left="360" w:hanging="360"/>
        <w:rPr>
          <w:rFonts w:eastAsia="宋体"/>
          <w:color w:val="auto"/>
        </w:rPr>
      </w:pPr>
      <w:r>
        <w:rPr>
          <w:rFonts w:eastAsia="宋体"/>
          <w:color w:val="auto"/>
        </w:rPr>
        <w:t xml:space="preserve">[2] </w:t>
      </w:r>
      <w:r>
        <w:rPr>
          <w:rFonts w:eastAsia="宋体"/>
        </w:rPr>
        <w:t xml:space="preserve">Clinical Practice Guidelines Working Group for Spinal Muscular Atrophy, </w:t>
      </w:r>
      <w:proofErr w:type="spellStart"/>
      <w:r>
        <w:rPr>
          <w:rFonts w:eastAsia="宋体"/>
          <w:color w:val="auto"/>
        </w:rPr>
        <w:t>Xiong</w:t>
      </w:r>
      <w:proofErr w:type="spellEnd"/>
      <w:r>
        <w:rPr>
          <w:rFonts w:eastAsia="宋体"/>
          <w:color w:val="auto"/>
        </w:rPr>
        <w:t xml:space="preserve"> H, Wang Y. Clinical Practice Guidelines for Spinal Muscular </w:t>
      </w:r>
      <w:r w:rsidRPr="005F3E29">
        <w:rPr>
          <w:rFonts w:eastAsia="宋体"/>
          <w:color w:val="auto"/>
        </w:rPr>
        <w:t>Atrophy.</w:t>
      </w:r>
      <w:r w:rsidRPr="005F3E29">
        <w:rPr>
          <w:rFonts w:eastAsia="宋体"/>
        </w:rPr>
        <w:t xml:space="preserve"> Chinese Journal of Evidence-Based Pediatrics</w:t>
      </w:r>
      <w:r w:rsidRPr="005F3E29">
        <w:rPr>
          <w:rFonts w:eastAsia="宋体" w:hint="eastAsia"/>
        </w:rPr>
        <w:t>.</w:t>
      </w:r>
      <w:r w:rsidRPr="005F3E29">
        <w:rPr>
          <w:rFonts w:eastAsia="宋体"/>
          <w:color w:val="auto"/>
        </w:rPr>
        <w:t xml:space="preserve"> 2023</w:t>
      </w:r>
      <w:r w:rsidRPr="005F3E29">
        <w:rPr>
          <w:rFonts w:eastAsia="宋体"/>
        </w:rPr>
        <w:t>;</w:t>
      </w:r>
      <w:r w:rsidRPr="005F3E29">
        <w:rPr>
          <w:rFonts w:eastAsia="宋体"/>
          <w:color w:val="auto"/>
        </w:rPr>
        <w:t xml:space="preserve"> 18:</w:t>
      </w:r>
      <w:r w:rsidRPr="005F3E29">
        <w:rPr>
          <w:rFonts w:eastAsia="宋体"/>
        </w:rPr>
        <w:t xml:space="preserve"> </w:t>
      </w:r>
      <w:r w:rsidRPr="005F3E29">
        <w:rPr>
          <w:rFonts w:eastAsia="宋体"/>
          <w:color w:val="auto"/>
        </w:rPr>
        <w:t>1</w:t>
      </w:r>
      <w:r w:rsidRPr="005F3E29">
        <w:rPr>
          <w:rFonts w:eastAsia="宋体"/>
        </w:rPr>
        <w:t>–</w:t>
      </w:r>
      <w:r w:rsidRPr="005F3E29">
        <w:rPr>
          <w:rFonts w:eastAsia="宋体"/>
          <w:color w:val="auto"/>
        </w:rPr>
        <w:t>12.</w:t>
      </w:r>
      <w:r w:rsidRPr="005F3E29">
        <w:rPr>
          <w:rFonts w:eastAsia="宋体"/>
        </w:rPr>
        <w:t xml:space="preserve"> </w:t>
      </w:r>
      <w:r w:rsidRPr="00A31907">
        <w:rPr>
          <w:rFonts w:eastAsia="宋体"/>
        </w:rPr>
        <w:t>(In Chinese)</w:t>
      </w:r>
    </w:p>
    <w:p w14:paraId="51301966" w14:textId="77777777" w:rsidR="004922C8" w:rsidRPr="005F3E29" w:rsidRDefault="00605271">
      <w:pPr>
        <w:pStyle w:val="Reference"/>
        <w:ind w:left="360" w:hanging="360"/>
        <w:rPr>
          <w:rFonts w:eastAsia="宋体"/>
        </w:rPr>
      </w:pPr>
      <w:r w:rsidRPr="005F3E29">
        <w:rPr>
          <w:rFonts w:eastAsia="宋体"/>
        </w:rPr>
        <w:lastRenderedPageBreak/>
        <w:t xml:space="preserve">[3] </w:t>
      </w:r>
      <w:proofErr w:type="spellStart"/>
      <w:r w:rsidRPr="005F3E29">
        <w:rPr>
          <w:rFonts w:eastAsia="宋体"/>
        </w:rPr>
        <w:t>Ogbonmide</w:t>
      </w:r>
      <w:proofErr w:type="spellEnd"/>
      <w:r w:rsidRPr="005F3E29">
        <w:rPr>
          <w:rFonts w:eastAsia="宋体"/>
        </w:rPr>
        <w:t xml:space="preserve"> T, Rathore R, </w:t>
      </w:r>
      <w:proofErr w:type="spellStart"/>
      <w:r w:rsidRPr="005F3E29">
        <w:rPr>
          <w:rFonts w:eastAsia="宋体"/>
        </w:rPr>
        <w:t>Rangrej</w:t>
      </w:r>
      <w:proofErr w:type="spellEnd"/>
      <w:r w:rsidRPr="005F3E29">
        <w:rPr>
          <w:rFonts w:eastAsia="宋体"/>
        </w:rPr>
        <w:t xml:space="preserve"> SB, Hutchinson S, Lewis M, </w:t>
      </w:r>
      <w:proofErr w:type="spellStart"/>
      <w:r w:rsidRPr="005F3E29">
        <w:rPr>
          <w:rFonts w:eastAsia="宋体"/>
        </w:rPr>
        <w:t>Ojilere</w:t>
      </w:r>
      <w:proofErr w:type="spellEnd"/>
      <w:r w:rsidRPr="005F3E29">
        <w:rPr>
          <w:rFonts w:eastAsia="宋体"/>
        </w:rPr>
        <w:t xml:space="preserve"> S, </w:t>
      </w:r>
      <w:r w:rsidRPr="005F3E29">
        <w:rPr>
          <w:rFonts w:eastAsia="宋体"/>
          <w:i/>
          <w:iCs/>
        </w:rPr>
        <w:t>et al</w:t>
      </w:r>
      <w:r w:rsidRPr="005F3E29">
        <w:rPr>
          <w:rFonts w:eastAsia="宋体"/>
        </w:rPr>
        <w:t xml:space="preserve">. Gene Therapy for Spinal Muscular Atrophy (SMA): A Review of Current Challenges and Safety Considerations for </w:t>
      </w:r>
      <w:proofErr w:type="spellStart"/>
      <w:r w:rsidRPr="005F3E29">
        <w:rPr>
          <w:rFonts w:eastAsia="宋体"/>
        </w:rPr>
        <w:t>Onasemnogene</w:t>
      </w:r>
      <w:proofErr w:type="spellEnd"/>
      <w:r w:rsidRPr="005F3E29">
        <w:rPr>
          <w:rFonts w:eastAsia="宋体"/>
        </w:rPr>
        <w:t xml:space="preserve"> </w:t>
      </w:r>
      <w:proofErr w:type="spellStart"/>
      <w:r w:rsidRPr="005F3E29">
        <w:rPr>
          <w:rFonts w:eastAsia="宋体"/>
        </w:rPr>
        <w:t>Abeparvovec</w:t>
      </w:r>
      <w:proofErr w:type="spellEnd"/>
      <w:r w:rsidRPr="005F3E29">
        <w:rPr>
          <w:rFonts w:eastAsia="宋体"/>
        </w:rPr>
        <w:t xml:space="preserve"> (</w:t>
      </w:r>
      <w:proofErr w:type="spellStart"/>
      <w:r w:rsidRPr="005F3E29">
        <w:rPr>
          <w:rFonts w:eastAsia="宋体"/>
        </w:rPr>
        <w:t>Zolgensma</w:t>
      </w:r>
      <w:proofErr w:type="spellEnd"/>
      <w:r w:rsidRPr="005F3E29">
        <w:rPr>
          <w:rFonts w:eastAsia="宋体"/>
        </w:rPr>
        <w:t xml:space="preserve">). </w:t>
      </w:r>
      <w:proofErr w:type="spellStart"/>
      <w:r w:rsidRPr="005F3E29">
        <w:rPr>
          <w:rFonts w:eastAsia="宋体"/>
        </w:rPr>
        <w:t>Cureus</w:t>
      </w:r>
      <w:proofErr w:type="spellEnd"/>
      <w:r w:rsidRPr="005F3E29">
        <w:rPr>
          <w:rFonts w:eastAsia="宋体"/>
        </w:rPr>
        <w:t>. 2023; 15: e36197. https://doi.org/10.7759/cureus.36197.</w:t>
      </w:r>
    </w:p>
    <w:p w14:paraId="3D4B46BB" w14:textId="77777777" w:rsidR="004922C8" w:rsidRPr="005F3E29" w:rsidRDefault="00605271">
      <w:pPr>
        <w:pStyle w:val="Reference"/>
        <w:ind w:left="360" w:hanging="360"/>
        <w:rPr>
          <w:rFonts w:eastAsia="宋体"/>
        </w:rPr>
      </w:pPr>
      <w:r w:rsidRPr="005F3E29">
        <w:rPr>
          <w:rFonts w:eastAsia="宋体"/>
        </w:rPr>
        <w:t xml:space="preserve">[4] Alves CRR, Ha LL, </w:t>
      </w:r>
      <w:proofErr w:type="spellStart"/>
      <w:r w:rsidRPr="005F3E29">
        <w:rPr>
          <w:rFonts w:eastAsia="宋体"/>
        </w:rPr>
        <w:t>Yaworski</w:t>
      </w:r>
      <w:proofErr w:type="spellEnd"/>
      <w:r w:rsidRPr="005F3E29">
        <w:rPr>
          <w:rFonts w:eastAsia="宋体"/>
        </w:rPr>
        <w:t xml:space="preserve"> R, Sutton ER, </w:t>
      </w:r>
      <w:proofErr w:type="spellStart"/>
      <w:r w:rsidRPr="005F3E29">
        <w:rPr>
          <w:rFonts w:eastAsia="宋体"/>
        </w:rPr>
        <w:t>Lazzarotto</w:t>
      </w:r>
      <w:proofErr w:type="spellEnd"/>
      <w:r w:rsidRPr="005F3E29">
        <w:rPr>
          <w:rFonts w:eastAsia="宋体"/>
        </w:rPr>
        <w:t xml:space="preserve"> CR, Christie KA, </w:t>
      </w:r>
      <w:r w:rsidRPr="005F3E29">
        <w:rPr>
          <w:rFonts w:eastAsia="宋体"/>
          <w:i/>
          <w:iCs/>
        </w:rPr>
        <w:t>et al</w:t>
      </w:r>
      <w:r w:rsidRPr="005F3E29">
        <w:rPr>
          <w:rFonts w:eastAsia="宋体"/>
        </w:rPr>
        <w:t>. Optimization of base editors for the functional correction of SMN2 as a treatment for spinal muscular atrophy. Nature Biomedical Engineering. 2024; 8: 118–131. https://doi.org/10.1038/s41551-023-01132-z.</w:t>
      </w:r>
    </w:p>
    <w:p w14:paraId="0BE54443" w14:textId="77777777" w:rsidR="004922C8" w:rsidRPr="005F3E29" w:rsidRDefault="00605271">
      <w:pPr>
        <w:pStyle w:val="Reference"/>
        <w:ind w:left="360" w:hanging="360"/>
        <w:rPr>
          <w:rFonts w:eastAsia="宋体"/>
        </w:rPr>
      </w:pPr>
      <w:r w:rsidRPr="005F3E29">
        <w:rPr>
          <w:rFonts w:eastAsia="宋体"/>
        </w:rPr>
        <w:t xml:space="preserve">[5] </w:t>
      </w:r>
      <w:proofErr w:type="spellStart"/>
      <w:r w:rsidRPr="005F3E29">
        <w:rPr>
          <w:rFonts w:eastAsia="宋体"/>
        </w:rPr>
        <w:t>Savad</w:t>
      </w:r>
      <w:proofErr w:type="spellEnd"/>
      <w:r w:rsidRPr="005F3E29">
        <w:rPr>
          <w:rFonts w:eastAsia="宋体"/>
        </w:rPr>
        <w:t xml:space="preserve"> S, Ashrafi MR, </w:t>
      </w:r>
      <w:proofErr w:type="spellStart"/>
      <w:r w:rsidRPr="005F3E29">
        <w:rPr>
          <w:rFonts w:eastAsia="宋体"/>
        </w:rPr>
        <w:t>Samadaian</w:t>
      </w:r>
      <w:proofErr w:type="spellEnd"/>
      <w:r w:rsidRPr="005F3E29">
        <w:rPr>
          <w:rFonts w:eastAsia="宋体"/>
        </w:rPr>
        <w:t xml:space="preserve"> N, </w:t>
      </w:r>
      <w:proofErr w:type="spellStart"/>
      <w:r w:rsidRPr="005F3E29">
        <w:rPr>
          <w:rFonts w:eastAsia="宋体"/>
        </w:rPr>
        <w:t>Heidari</w:t>
      </w:r>
      <w:proofErr w:type="spellEnd"/>
      <w:r w:rsidRPr="005F3E29">
        <w:rPr>
          <w:rFonts w:eastAsia="宋体"/>
        </w:rPr>
        <w:t xml:space="preserve"> M, </w:t>
      </w:r>
      <w:proofErr w:type="spellStart"/>
      <w:r w:rsidRPr="005F3E29">
        <w:rPr>
          <w:rFonts w:eastAsia="宋体"/>
        </w:rPr>
        <w:t>Modarressi</w:t>
      </w:r>
      <w:proofErr w:type="spellEnd"/>
      <w:r w:rsidRPr="005F3E29">
        <w:rPr>
          <w:rFonts w:eastAsia="宋体"/>
        </w:rPr>
        <w:t xml:space="preserve"> MH, Zamani G, </w:t>
      </w:r>
      <w:r w:rsidRPr="005F3E29">
        <w:rPr>
          <w:rFonts w:eastAsia="宋体"/>
          <w:i/>
          <w:iCs/>
        </w:rPr>
        <w:t>et al</w:t>
      </w:r>
      <w:r w:rsidRPr="005F3E29">
        <w:rPr>
          <w:rFonts w:eastAsia="宋体"/>
        </w:rPr>
        <w:t>. A comprehensive overview of SMN and NAIP copy numbers in Iranian SMA patients. Scientific Reports. 2023; 13: 3202. https://doi.org/10.1038/s41598-023-30449-7.</w:t>
      </w:r>
    </w:p>
    <w:p w14:paraId="75786706" w14:textId="77777777" w:rsidR="004922C8" w:rsidRPr="005F3E29" w:rsidRDefault="00605271">
      <w:pPr>
        <w:pStyle w:val="Reference"/>
        <w:ind w:left="360" w:hanging="360"/>
        <w:rPr>
          <w:rFonts w:eastAsia="宋体"/>
        </w:rPr>
      </w:pPr>
      <w:r w:rsidRPr="005F3E29">
        <w:rPr>
          <w:rFonts w:eastAsia="宋体"/>
        </w:rPr>
        <w:t xml:space="preserve">[6] Gregg AR, </w:t>
      </w:r>
      <w:proofErr w:type="spellStart"/>
      <w:r w:rsidRPr="005F3E29">
        <w:rPr>
          <w:rFonts w:eastAsia="宋体"/>
        </w:rPr>
        <w:t>Aarabi</w:t>
      </w:r>
      <w:proofErr w:type="spellEnd"/>
      <w:r w:rsidRPr="005F3E29">
        <w:rPr>
          <w:rFonts w:eastAsia="宋体"/>
        </w:rPr>
        <w:t xml:space="preserve"> M, Klugman S, Leach NT, Bashford MT, </w:t>
      </w:r>
      <w:proofErr w:type="spellStart"/>
      <w:r w:rsidRPr="005F3E29">
        <w:rPr>
          <w:rFonts w:eastAsia="宋体"/>
        </w:rPr>
        <w:t>Goldwaser</w:t>
      </w:r>
      <w:proofErr w:type="spellEnd"/>
      <w:r w:rsidRPr="005F3E29">
        <w:rPr>
          <w:rFonts w:eastAsia="宋体"/>
        </w:rPr>
        <w:t xml:space="preserve"> T, </w:t>
      </w:r>
      <w:r w:rsidRPr="005F3E29">
        <w:rPr>
          <w:rFonts w:eastAsia="宋体"/>
          <w:i/>
          <w:iCs/>
        </w:rPr>
        <w:t>et al</w:t>
      </w:r>
      <w:r w:rsidRPr="005F3E29">
        <w:rPr>
          <w:rFonts w:eastAsia="宋体"/>
        </w:rPr>
        <w:t>. Screening for autosomal recessive and X-linked conditions during pregnancy and preconception: a practice resource of the American College of Medical Genetics and Genomics (ACMG). Genetics in Medicine: Official Journal of the American College of Medical Genetics. 2021; 23: 1793–1806. https://doi.org/10.1038/s41436-021-01203-z.</w:t>
      </w:r>
    </w:p>
    <w:p w14:paraId="27154339" w14:textId="77777777" w:rsidR="004922C8" w:rsidRPr="005F3E29" w:rsidRDefault="00605271">
      <w:pPr>
        <w:pStyle w:val="Reference"/>
        <w:ind w:left="360" w:hanging="360"/>
        <w:rPr>
          <w:rFonts w:eastAsia="宋体"/>
        </w:rPr>
      </w:pPr>
      <w:r w:rsidRPr="005F3E29">
        <w:rPr>
          <w:rFonts w:eastAsia="宋体"/>
        </w:rPr>
        <w:t xml:space="preserve">[7] Riegel M, Bender W, Critchlow E, </w:t>
      </w:r>
      <w:proofErr w:type="spellStart"/>
      <w:r w:rsidRPr="005F3E29">
        <w:rPr>
          <w:rFonts w:eastAsia="宋体"/>
        </w:rPr>
        <w:t>Dugoff</w:t>
      </w:r>
      <w:proofErr w:type="spellEnd"/>
      <w:r w:rsidRPr="005F3E29">
        <w:rPr>
          <w:rFonts w:eastAsia="宋体"/>
        </w:rPr>
        <w:t xml:space="preserve"> L. Spinal Muscular Atrophy Carrier Screening: Assessment of Provider Knowledge and Clinical Practice. Prenatal Diagnosis. </w:t>
      </w:r>
      <w:r w:rsidRPr="00A31907">
        <w:rPr>
          <w:rFonts w:eastAsia="宋体"/>
        </w:rPr>
        <w:t>2026; 46: 229–235.</w:t>
      </w:r>
      <w:r w:rsidRPr="005F3E29">
        <w:rPr>
          <w:rFonts w:eastAsia="宋体"/>
        </w:rPr>
        <w:t xml:space="preserve"> https://doi.org/10.1002/pd.70023.</w:t>
      </w:r>
    </w:p>
    <w:p w14:paraId="75C0A6DD" w14:textId="77777777" w:rsidR="004922C8" w:rsidRPr="005F3E29" w:rsidRDefault="00605271">
      <w:pPr>
        <w:pStyle w:val="Reference"/>
        <w:ind w:left="360" w:hanging="360"/>
        <w:rPr>
          <w:rFonts w:eastAsia="宋体"/>
          <w:color w:val="auto"/>
        </w:rPr>
      </w:pPr>
      <w:r w:rsidRPr="005F3E29">
        <w:rPr>
          <w:rFonts w:eastAsia="宋体"/>
          <w:color w:val="auto"/>
        </w:rPr>
        <w:t xml:space="preserve">[8] Day JW, Howell K, Place A, Long K, Rossello J, </w:t>
      </w:r>
      <w:proofErr w:type="spellStart"/>
      <w:r w:rsidRPr="005F3E29">
        <w:rPr>
          <w:rFonts w:eastAsia="宋体"/>
          <w:color w:val="auto"/>
        </w:rPr>
        <w:t>Kertesz</w:t>
      </w:r>
      <w:proofErr w:type="spellEnd"/>
      <w:r w:rsidRPr="005F3E29">
        <w:rPr>
          <w:rFonts w:eastAsia="宋体"/>
          <w:color w:val="auto"/>
        </w:rPr>
        <w:t xml:space="preserve"> N, </w:t>
      </w:r>
      <w:r w:rsidRPr="005F3E29">
        <w:rPr>
          <w:rFonts w:eastAsia="宋体"/>
          <w:i/>
          <w:color w:val="auto"/>
        </w:rPr>
        <w:t>et al</w:t>
      </w:r>
      <w:r w:rsidRPr="005F3E29">
        <w:rPr>
          <w:rFonts w:eastAsia="宋体"/>
          <w:color w:val="auto"/>
        </w:rPr>
        <w:t>. Advances and limitations for the treatment of spinal muscular atrophy. BMC Pediatrics. 2022; 22: 632.</w:t>
      </w:r>
      <w:r w:rsidRPr="005F3E29">
        <w:rPr>
          <w:color w:val="auto"/>
        </w:rPr>
        <w:t xml:space="preserve"> </w:t>
      </w:r>
      <w:r w:rsidRPr="005F3E29">
        <w:rPr>
          <w:rFonts w:eastAsia="宋体"/>
          <w:color w:val="auto"/>
        </w:rPr>
        <w:t>https://doi.org/10.1186/s12887-022-03671-x.</w:t>
      </w:r>
    </w:p>
    <w:p w14:paraId="7ACE5F39" w14:textId="77777777" w:rsidR="004922C8" w:rsidRPr="005F3E29" w:rsidRDefault="00605271">
      <w:pPr>
        <w:pStyle w:val="Reference"/>
        <w:ind w:left="360" w:hanging="360"/>
        <w:rPr>
          <w:rFonts w:eastAsia="宋体"/>
        </w:rPr>
      </w:pPr>
      <w:r w:rsidRPr="005F3E29">
        <w:rPr>
          <w:rFonts w:eastAsia="宋体"/>
        </w:rPr>
        <w:t xml:space="preserve">[9] </w:t>
      </w:r>
      <w:proofErr w:type="spellStart"/>
      <w:r w:rsidRPr="005F3E29">
        <w:rPr>
          <w:rFonts w:eastAsia="宋体"/>
        </w:rPr>
        <w:t>Eliks</w:t>
      </w:r>
      <w:proofErr w:type="spellEnd"/>
      <w:r w:rsidRPr="005F3E29">
        <w:rPr>
          <w:rFonts w:eastAsia="宋体"/>
        </w:rPr>
        <w:t xml:space="preserve"> M, </w:t>
      </w:r>
      <w:proofErr w:type="spellStart"/>
      <w:r w:rsidRPr="005F3E29">
        <w:rPr>
          <w:rFonts w:eastAsia="宋体"/>
        </w:rPr>
        <w:t>Gajewska</w:t>
      </w:r>
      <w:proofErr w:type="spellEnd"/>
      <w:r w:rsidRPr="005F3E29">
        <w:rPr>
          <w:rFonts w:eastAsia="宋体"/>
        </w:rPr>
        <w:t xml:space="preserve"> E. The Alberta Infant Motor Scale: A tool for the assessment of motor aspects of neurodevelopment in infancy and early childhood. Frontiers in Neurology. 2022; 13: 927502. https://doi.org/10.3389/fneur.2022.927502.</w:t>
      </w:r>
    </w:p>
    <w:p w14:paraId="5A28001F" w14:textId="77777777" w:rsidR="004922C8" w:rsidRPr="005F3E29" w:rsidRDefault="00605271">
      <w:pPr>
        <w:pStyle w:val="Reference"/>
        <w:ind w:left="360" w:hanging="360"/>
        <w:rPr>
          <w:rFonts w:eastAsia="宋体"/>
          <w:color w:val="auto"/>
        </w:rPr>
      </w:pPr>
      <w:r w:rsidRPr="005F3E29">
        <w:rPr>
          <w:rFonts w:eastAsia="宋体"/>
          <w:color w:val="auto"/>
        </w:rPr>
        <w:t xml:space="preserve">[10] Wang LJ, Song YQ, Gao H, Hu ZY, Wang YL, Ma D, </w:t>
      </w:r>
      <w:r w:rsidRPr="005F3E29">
        <w:rPr>
          <w:rFonts w:eastAsia="宋体"/>
          <w:i/>
        </w:rPr>
        <w:t>et al</w:t>
      </w:r>
      <w:r w:rsidRPr="005F3E29">
        <w:rPr>
          <w:rFonts w:eastAsia="宋体"/>
          <w:color w:val="auto"/>
        </w:rPr>
        <w:t xml:space="preserve">. Genetic testing and prenatal diagnosis of spinal muscular atrophy in pregnant and prenatal populations in Shenzhen area. </w:t>
      </w:r>
      <w:r w:rsidRPr="00A31907">
        <w:rPr>
          <w:rFonts w:eastAsia="宋体"/>
        </w:rPr>
        <w:t>Progress in Obstetrics and Gynecology</w:t>
      </w:r>
      <w:r w:rsidRPr="005F3E29">
        <w:rPr>
          <w:rFonts w:eastAsia="宋体"/>
        </w:rPr>
        <w:t>.</w:t>
      </w:r>
      <w:r w:rsidRPr="005F3E29">
        <w:rPr>
          <w:rFonts w:eastAsia="宋体"/>
          <w:color w:val="auto"/>
        </w:rPr>
        <w:t xml:space="preserve"> 2023</w:t>
      </w:r>
      <w:r w:rsidRPr="005F3E29">
        <w:rPr>
          <w:rFonts w:eastAsia="宋体"/>
        </w:rPr>
        <w:t>;</w:t>
      </w:r>
      <w:r w:rsidRPr="005F3E29">
        <w:rPr>
          <w:rFonts w:eastAsia="宋体"/>
          <w:color w:val="auto"/>
        </w:rPr>
        <w:t xml:space="preserve"> 32:</w:t>
      </w:r>
      <w:r w:rsidRPr="005F3E29">
        <w:rPr>
          <w:rFonts w:eastAsia="宋体"/>
        </w:rPr>
        <w:t xml:space="preserve"> </w:t>
      </w:r>
      <w:r w:rsidRPr="005F3E29">
        <w:rPr>
          <w:rFonts w:eastAsia="宋体"/>
          <w:color w:val="auto"/>
        </w:rPr>
        <w:t>360</w:t>
      </w:r>
      <w:r w:rsidRPr="005F3E29">
        <w:rPr>
          <w:rFonts w:eastAsia="宋体"/>
        </w:rPr>
        <w:t>–</w:t>
      </w:r>
      <w:r w:rsidRPr="005F3E29">
        <w:rPr>
          <w:rFonts w:eastAsia="宋体"/>
          <w:color w:val="auto"/>
        </w:rPr>
        <w:t>364.</w:t>
      </w:r>
      <w:r w:rsidRPr="005F3E29">
        <w:rPr>
          <w:rFonts w:eastAsia="宋体"/>
        </w:rPr>
        <w:t xml:space="preserve"> </w:t>
      </w:r>
      <w:r w:rsidRPr="00A31907">
        <w:rPr>
          <w:rFonts w:eastAsia="宋体"/>
        </w:rPr>
        <w:t>(In Chinese)</w:t>
      </w:r>
    </w:p>
    <w:p w14:paraId="4B998D30" w14:textId="77777777" w:rsidR="004922C8" w:rsidRPr="005F3E29" w:rsidRDefault="00605271">
      <w:pPr>
        <w:pStyle w:val="Reference"/>
        <w:ind w:left="360" w:hanging="360"/>
        <w:rPr>
          <w:rFonts w:eastAsia="宋体"/>
          <w:color w:val="auto"/>
        </w:rPr>
      </w:pPr>
      <w:r w:rsidRPr="005F3E29">
        <w:rPr>
          <w:rFonts w:eastAsia="宋体"/>
          <w:color w:val="auto"/>
        </w:rPr>
        <w:t xml:space="preserve">[11] Ma B, Hao S J, Hui L, Chen X, Zhang C. Screening and prenatal diagnosis of 13,022 pregnant women with spinal muscular atrophy in Gansu region. </w:t>
      </w:r>
      <w:r w:rsidRPr="00A31907">
        <w:rPr>
          <w:rFonts w:eastAsia="宋体"/>
          <w:color w:val="auto"/>
        </w:rPr>
        <w:t>Chinese Journal of Birth Health &amp; Heredity</w:t>
      </w:r>
      <w:r w:rsidRPr="005F3E29">
        <w:rPr>
          <w:rFonts w:eastAsia="宋体"/>
          <w:color w:val="auto"/>
        </w:rPr>
        <w:t>. 2024</w:t>
      </w:r>
      <w:r w:rsidRPr="005F3E29">
        <w:rPr>
          <w:rFonts w:eastAsia="宋体"/>
        </w:rPr>
        <w:t>;</w:t>
      </w:r>
      <w:r w:rsidRPr="005F3E29">
        <w:rPr>
          <w:rFonts w:eastAsia="宋体"/>
          <w:color w:val="auto"/>
        </w:rPr>
        <w:t xml:space="preserve"> 32: 157–160.</w:t>
      </w:r>
      <w:r w:rsidRPr="005F3E29">
        <w:rPr>
          <w:rFonts w:eastAsia="宋体"/>
        </w:rPr>
        <w:t xml:space="preserve"> </w:t>
      </w:r>
      <w:r w:rsidRPr="00A31907">
        <w:rPr>
          <w:rFonts w:eastAsia="宋体"/>
        </w:rPr>
        <w:t>(In Chinese)</w:t>
      </w:r>
    </w:p>
    <w:p w14:paraId="5CCA41CD" w14:textId="293BA8F8" w:rsidR="004922C8" w:rsidRPr="005F3E29" w:rsidRDefault="00605271">
      <w:pPr>
        <w:pStyle w:val="Reference"/>
        <w:ind w:left="360" w:hanging="360"/>
        <w:rPr>
          <w:rFonts w:eastAsia="宋体"/>
          <w:color w:val="auto"/>
        </w:rPr>
      </w:pPr>
      <w:r w:rsidRPr="005F3E29">
        <w:rPr>
          <w:rFonts w:eastAsia="宋体"/>
          <w:color w:val="auto"/>
        </w:rPr>
        <w:t xml:space="preserve">[12] Zhang JJ, Wang YG, Ma DY, Liu G, Luo CY, Hu P, </w:t>
      </w:r>
      <w:r w:rsidRPr="005F3E29">
        <w:rPr>
          <w:rFonts w:eastAsia="宋体"/>
          <w:i/>
          <w:color w:val="auto"/>
        </w:rPr>
        <w:t>et al</w:t>
      </w:r>
      <w:r w:rsidRPr="005F3E29">
        <w:rPr>
          <w:rFonts w:eastAsia="宋体"/>
          <w:color w:val="auto"/>
        </w:rPr>
        <w:t xml:space="preserve">. Screening and prenatal diagnosis of 5776 pregnant women with spinal muscular atrophy in Jiangsu region. </w:t>
      </w:r>
      <w:r w:rsidRPr="00A31907">
        <w:rPr>
          <w:rFonts w:eastAsia="宋体"/>
          <w:color w:val="auto"/>
        </w:rPr>
        <w:t>Progress in Obstetrics and Gynecology</w:t>
      </w:r>
      <w:r w:rsidRPr="005F3E29">
        <w:rPr>
          <w:rFonts w:eastAsia="宋体"/>
          <w:color w:val="auto"/>
        </w:rPr>
        <w:t>. 2021; 30: 434</w:t>
      </w:r>
      <w:r w:rsidRPr="005F3E29">
        <w:rPr>
          <w:rFonts w:eastAsia="宋体"/>
        </w:rPr>
        <w:t>–</w:t>
      </w:r>
      <w:r w:rsidRPr="005F3E29">
        <w:rPr>
          <w:rFonts w:eastAsia="宋体"/>
          <w:color w:val="auto"/>
        </w:rPr>
        <w:t xml:space="preserve">437. </w:t>
      </w:r>
      <w:r w:rsidRPr="00A31907">
        <w:rPr>
          <w:rFonts w:eastAsia="宋体"/>
          <w:color w:val="auto"/>
        </w:rPr>
        <w:t>(In Chinese)</w:t>
      </w:r>
    </w:p>
    <w:p w14:paraId="564B4DBB" w14:textId="77777777" w:rsidR="004922C8" w:rsidRPr="005F3E29" w:rsidRDefault="00605271">
      <w:pPr>
        <w:pStyle w:val="Reference"/>
        <w:ind w:left="360" w:hanging="360"/>
        <w:rPr>
          <w:rFonts w:eastAsia="宋体"/>
        </w:rPr>
      </w:pPr>
      <w:r w:rsidRPr="005F3E29">
        <w:rPr>
          <w:rFonts w:eastAsia="宋体"/>
        </w:rPr>
        <w:t xml:space="preserve">[13] Yeo CJJ, </w:t>
      </w:r>
      <w:proofErr w:type="spellStart"/>
      <w:r w:rsidRPr="005F3E29">
        <w:rPr>
          <w:rFonts w:eastAsia="宋体"/>
        </w:rPr>
        <w:t>Tizzano</w:t>
      </w:r>
      <w:proofErr w:type="spellEnd"/>
      <w:r w:rsidRPr="005F3E29">
        <w:rPr>
          <w:rFonts w:eastAsia="宋体"/>
        </w:rPr>
        <w:t xml:space="preserve"> EF, Darras BT. Challenges and opportunities in spinal muscular atrophy therapeutics. The Lancet. Neurology. 2024; 23: 205–218. https://doi.org/10.1016/S1474-4422(23)00419-2.</w:t>
      </w:r>
    </w:p>
    <w:p w14:paraId="21F1ED3B" w14:textId="77777777" w:rsidR="004922C8" w:rsidRPr="005F3E29" w:rsidRDefault="00605271">
      <w:pPr>
        <w:pStyle w:val="Reference"/>
        <w:ind w:left="360" w:hanging="360"/>
        <w:rPr>
          <w:rFonts w:eastAsia="宋体"/>
        </w:rPr>
      </w:pPr>
      <w:r w:rsidRPr="005F3E29">
        <w:rPr>
          <w:rFonts w:eastAsia="宋体"/>
        </w:rPr>
        <w:t xml:space="preserve">[14] </w:t>
      </w:r>
      <w:proofErr w:type="spellStart"/>
      <w:r w:rsidRPr="005F3E29">
        <w:rPr>
          <w:rFonts w:eastAsia="宋体"/>
        </w:rPr>
        <w:t>Chiriboga</w:t>
      </w:r>
      <w:proofErr w:type="spellEnd"/>
      <w:r w:rsidRPr="005F3E29">
        <w:rPr>
          <w:rFonts w:eastAsia="宋体"/>
        </w:rPr>
        <w:t xml:space="preserve"> CA. Pharmacotherapy for Spinal Muscular Atrophy in Babies and Children: A Review of Approved and Experimental Therapies. </w:t>
      </w:r>
      <w:proofErr w:type="spellStart"/>
      <w:r w:rsidRPr="005F3E29">
        <w:rPr>
          <w:rFonts w:eastAsia="宋体"/>
        </w:rPr>
        <w:t>Paediatric</w:t>
      </w:r>
      <w:proofErr w:type="spellEnd"/>
      <w:r w:rsidRPr="005F3E29">
        <w:rPr>
          <w:rFonts w:eastAsia="宋体"/>
        </w:rPr>
        <w:t xml:space="preserve"> Drugs. 2022; 24: 585–602. https://doi.org/10.1007/s40272-022-00529-8.</w:t>
      </w:r>
    </w:p>
    <w:p w14:paraId="5926B24B" w14:textId="77777777" w:rsidR="004922C8" w:rsidRPr="005F3E29" w:rsidRDefault="00605271">
      <w:pPr>
        <w:pStyle w:val="Reference"/>
        <w:ind w:left="360" w:hanging="360"/>
        <w:rPr>
          <w:rFonts w:eastAsia="宋体"/>
        </w:rPr>
      </w:pPr>
      <w:r w:rsidRPr="005F3E29">
        <w:rPr>
          <w:rFonts w:eastAsia="宋体"/>
        </w:rPr>
        <w:t xml:space="preserve">[15] </w:t>
      </w:r>
      <w:proofErr w:type="spellStart"/>
      <w:r w:rsidRPr="005F3E29">
        <w:rPr>
          <w:rFonts w:eastAsia="宋体"/>
        </w:rPr>
        <w:t>Chongmelaxme</w:t>
      </w:r>
      <w:proofErr w:type="spellEnd"/>
      <w:r w:rsidRPr="005F3E29">
        <w:rPr>
          <w:rFonts w:eastAsia="宋体"/>
        </w:rPr>
        <w:t xml:space="preserve"> B, </w:t>
      </w:r>
      <w:proofErr w:type="spellStart"/>
      <w:r w:rsidRPr="005F3E29">
        <w:rPr>
          <w:rFonts w:eastAsia="宋体"/>
        </w:rPr>
        <w:t>Yodsurang</w:t>
      </w:r>
      <w:proofErr w:type="spellEnd"/>
      <w:r w:rsidRPr="005F3E29">
        <w:rPr>
          <w:rFonts w:eastAsia="宋体"/>
        </w:rPr>
        <w:t xml:space="preserve"> V, </w:t>
      </w:r>
      <w:proofErr w:type="spellStart"/>
      <w:r w:rsidRPr="005F3E29">
        <w:rPr>
          <w:rFonts w:eastAsia="宋体"/>
        </w:rPr>
        <w:t>Vichayachaipat</w:t>
      </w:r>
      <w:proofErr w:type="spellEnd"/>
      <w:r w:rsidRPr="005F3E29">
        <w:rPr>
          <w:rFonts w:eastAsia="宋体"/>
        </w:rPr>
        <w:t xml:space="preserve"> P, </w:t>
      </w:r>
      <w:proofErr w:type="spellStart"/>
      <w:r w:rsidRPr="005F3E29">
        <w:rPr>
          <w:rFonts w:eastAsia="宋体"/>
        </w:rPr>
        <w:t>Srimatimanon</w:t>
      </w:r>
      <w:proofErr w:type="spellEnd"/>
      <w:r w:rsidRPr="005F3E29">
        <w:rPr>
          <w:rFonts w:eastAsia="宋体"/>
        </w:rPr>
        <w:t xml:space="preserve"> T, </w:t>
      </w:r>
      <w:proofErr w:type="spellStart"/>
      <w:r w:rsidRPr="005F3E29">
        <w:rPr>
          <w:rFonts w:eastAsia="宋体"/>
        </w:rPr>
        <w:t>Sanmaneechai</w:t>
      </w:r>
      <w:proofErr w:type="spellEnd"/>
      <w:r w:rsidRPr="005F3E29">
        <w:rPr>
          <w:rFonts w:eastAsia="宋体"/>
        </w:rPr>
        <w:t xml:space="preserve"> O. Gene-based therapy for the treatment of spinal muscular atrophy types 1 and 2: a systematic review and meta-analysis. Gene Therapy. 2025; 32: 301–330. https://doi.org/10.1038/s41434-024-00503-8.</w:t>
      </w:r>
    </w:p>
    <w:p w14:paraId="3C92DA7D" w14:textId="77777777" w:rsidR="004922C8" w:rsidRPr="005F3E29" w:rsidRDefault="00605271">
      <w:pPr>
        <w:pStyle w:val="Reference"/>
        <w:ind w:left="360" w:hanging="360"/>
        <w:rPr>
          <w:rFonts w:eastAsia="宋体"/>
        </w:rPr>
      </w:pPr>
      <w:r w:rsidRPr="005F3E29">
        <w:rPr>
          <w:rFonts w:eastAsia="宋体"/>
        </w:rPr>
        <w:t xml:space="preserve">[16] Weng WC, Lee WT, </w:t>
      </w:r>
      <w:proofErr w:type="spellStart"/>
      <w:r w:rsidRPr="005F3E29">
        <w:rPr>
          <w:rFonts w:eastAsia="宋体"/>
        </w:rPr>
        <w:t>Chien</w:t>
      </w:r>
      <w:proofErr w:type="spellEnd"/>
      <w:r w:rsidRPr="005F3E29">
        <w:rPr>
          <w:rFonts w:eastAsia="宋体"/>
        </w:rPr>
        <w:t xml:space="preserve"> YH, Tsai LK. Updates of spinal muscular atrophy in advanced therapies. Journal of the Formosan Medical Association = Taiwan Yi </w:t>
      </w:r>
      <w:proofErr w:type="spellStart"/>
      <w:r w:rsidRPr="005F3E29">
        <w:rPr>
          <w:rFonts w:eastAsia="宋体"/>
        </w:rPr>
        <w:t>Zhi</w:t>
      </w:r>
      <w:proofErr w:type="spellEnd"/>
      <w:r w:rsidRPr="005F3E29">
        <w:rPr>
          <w:rFonts w:eastAsia="宋体"/>
        </w:rPr>
        <w:t>. 2025. https://doi.org/10.1016/j.jfma.2025.10.018. (online ahead of print)</w:t>
      </w:r>
    </w:p>
    <w:p w14:paraId="68D4AED2" w14:textId="77777777" w:rsidR="004922C8" w:rsidRPr="005F3E29" w:rsidRDefault="00605271">
      <w:pPr>
        <w:pStyle w:val="Reference"/>
        <w:ind w:left="360" w:hanging="360"/>
        <w:rPr>
          <w:rFonts w:eastAsia="宋体"/>
        </w:rPr>
      </w:pPr>
      <w:r w:rsidRPr="005F3E29">
        <w:rPr>
          <w:rFonts w:eastAsia="宋体"/>
        </w:rPr>
        <w:t xml:space="preserve">[17] </w:t>
      </w:r>
      <w:proofErr w:type="spellStart"/>
      <w:r w:rsidRPr="005F3E29">
        <w:rPr>
          <w:rFonts w:eastAsia="宋体"/>
        </w:rPr>
        <w:t>Angilletta</w:t>
      </w:r>
      <w:proofErr w:type="spellEnd"/>
      <w:r w:rsidRPr="005F3E29">
        <w:rPr>
          <w:rFonts w:eastAsia="宋体"/>
        </w:rPr>
        <w:t xml:space="preserve"> I, Ferrante R, </w:t>
      </w:r>
      <w:proofErr w:type="spellStart"/>
      <w:r w:rsidRPr="005F3E29">
        <w:rPr>
          <w:rFonts w:eastAsia="宋体"/>
        </w:rPr>
        <w:t>Giansante</w:t>
      </w:r>
      <w:proofErr w:type="spellEnd"/>
      <w:r w:rsidRPr="005F3E29">
        <w:rPr>
          <w:rFonts w:eastAsia="宋体"/>
        </w:rPr>
        <w:t xml:space="preserve"> R, Lombardi L, </w:t>
      </w:r>
      <w:proofErr w:type="spellStart"/>
      <w:r w:rsidRPr="005F3E29">
        <w:rPr>
          <w:rFonts w:eastAsia="宋体"/>
        </w:rPr>
        <w:t>Babore</w:t>
      </w:r>
      <w:proofErr w:type="spellEnd"/>
      <w:r w:rsidRPr="005F3E29">
        <w:rPr>
          <w:rFonts w:eastAsia="宋体"/>
        </w:rPr>
        <w:t xml:space="preserve"> A, </w:t>
      </w:r>
      <w:proofErr w:type="spellStart"/>
      <w:r w:rsidRPr="005F3E29">
        <w:rPr>
          <w:rFonts w:eastAsia="宋体"/>
        </w:rPr>
        <w:t>Dell'Elice</w:t>
      </w:r>
      <w:proofErr w:type="spellEnd"/>
      <w:r w:rsidRPr="005F3E29">
        <w:rPr>
          <w:rFonts w:eastAsia="宋体"/>
        </w:rPr>
        <w:t xml:space="preserve"> A, </w:t>
      </w:r>
      <w:r w:rsidRPr="005F3E29">
        <w:rPr>
          <w:rFonts w:eastAsia="宋体"/>
          <w:i/>
          <w:iCs/>
        </w:rPr>
        <w:t>et al</w:t>
      </w:r>
      <w:r w:rsidRPr="005F3E29">
        <w:rPr>
          <w:rFonts w:eastAsia="宋体"/>
        </w:rPr>
        <w:t>. Spinal Muscular Atrophy: An Evolving Scenario through New Perspectives in Diagnosis and Advances in Therapies. International Journal of Molecular Sciences. 2023; 24: 14873. https://doi.org/10.3390/ijms241914873.</w:t>
      </w:r>
    </w:p>
    <w:p w14:paraId="42439E15" w14:textId="77777777" w:rsidR="004922C8" w:rsidRPr="005F3E29" w:rsidRDefault="00605271">
      <w:pPr>
        <w:pStyle w:val="Reference"/>
        <w:ind w:left="360" w:hanging="360"/>
        <w:rPr>
          <w:rFonts w:eastAsia="宋体"/>
          <w:color w:val="auto"/>
        </w:rPr>
      </w:pPr>
      <w:r w:rsidRPr="005F3E29">
        <w:rPr>
          <w:rFonts w:eastAsia="宋体"/>
          <w:color w:val="auto"/>
        </w:rPr>
        <w:t xml:space="preserve">[18] Schwartz O, </w:t>
      </w:r>
      <w:proofErr w:type="spellStart"/>
      <w:r w:rsidRPr="005F3E29">
        <w:rPr>
          <w:rFonts w:eastAsia="宋体"/>
          <w:color w:val="auto"/>
        </w:rPr>
        <w:t>Vill</w:t>
      </w:r>
      <w:proofErr w:type="spellEnd"/>
      <w:r w:rsidRPr="005F3E29">
        <w:rPr>
          <w:rFonts w:eastAsia="宋体"/>
          <w:color w:val="auto"/>
        </w:rPr>
        <w:t xml:space="preserve"> K, </w:t>
      </w:r>
      <w:proofErr w:type="spellStart"/>
      <w:r w:rsidRPr="005F3E29">
        <w:rPr>
          <w:rFonts w:eastAsia="宋体"/>
          <w:color w:val="auto"/>
        </w:rPr>
        <w:t>Pfaffenlehner</w:t>
      </w:r>
      <w:proofErr w:type="spellEnd"/>
      <w:r w:rsidRPr="005F3E29">
        <w:rPr>
          <w:rFonts w:eastAsia="宋体"/>
          <w:color w:val="auto"/>
        </w:rPr>
        <w:t xml:space="preserve"> M, Behrens M, </w:t>
      </w:r>
      <w:proofErr w:type="spellStart"/>
      <w:r w:rsidRPr="005F3E29">
        <w:rPr>
          <w:rFonts w:eastAsia="宋体"/>
          <w:color w:val="auto"/>
        </w:rPr>
        <w:t>Weiß</w:t>
      </w:r>
      <w:proofErr w:type="spellEnd"/>
      <w:r w:rsidRPr="005F3E29">
        <w:rPr>
          <w:rFonts w:eastAsia="宋体"/>
          <w:color w:val="auto"/>
        </w:rPr>
        <w:t xml:space="preserve"> C, Johannsen J, </w:t>
      </w:r>
      <w:r w:rsidRPr="005F3E29">
        <w:rPr>
          <w:rFonts w:eastAsia="宋体"/>
          <w:i/>
          <w:color w:val="auto"/>
        </w:rPr>
        <w:t>et al</w:t>
      </w:r>
      <w:r w:rsidRPr="005F3E29">
        <w:rPr>
          <w:rFonts w:eastAsia="宋体"/>
          <w:color w:val="auto"/>
        </w:rPr>
        <w:t>. Clinical Effectiveness of Newborn Screening for Spinal Muscular Atrophy: A Nonrandomized Controlled Trial. JAMA Pediatrics. 2024; 178: 540–547.</w:t>
      </w:r>
      <w:r w:rsidRPr="005F3E29">
        <w:rPr>
          <w:color w:val="auto"/>
        </w:rPr>
        <w:t xml:space="preserve"> </w:t>
      </w:r>
      <w:r w:rsidRPr="005F3E29">
        <w:rPr>
          <w:rFonts w:eastAsia="宋体"/>
          <w:color w:val="auto"/>
        </w:rPr>
        <w:t>https://doi.org/10.1001/jamapediatrics.2024.0492.</w:t>
      </w:r>
    </w:p>
    <w:p w14:paraId="371465C5" w14:textId="77777777" w:rsidR="004922C8" w:rsidRPr="005F3E29" w:rsidRDefault="00605271">
      <w:pPr>
        <w:pStyle w:val="Reference"/>
        <w:ind w:left="360" w:hanging="360"/>
        <w:rPr>
          <w:rFonts w:eastAsia="宋体"/>
        </w:rPr>
      </w:pPr>
      <w:r w:rsidRPr="005F3E29">
        <w:rPr>
          <w:rFonts w:eastAsia="宋体"/>
        </w:rPr>
        <w:t xml:space="preserve">[19] </w:t>
      </w:r>
      <w:proofErr w:type="spellStart"/>
      <w:r w:rsidRPr="005F3E29">
        <w:rPr>
          <w:rFonts w:eastAsia="宋体"/>
        </w:rPr>
        <w:t>Dangouloff</w:t>
      </w:r>
      <w:proofErr w:type="spellEnd"/>
      <w:r w:rsidRPr="005F3E29">
        <w:rPr>
          <w:rFonts w:eastAsia="宋体"/>
        </w:rPr>
        <w:t xml:space="preserve"> T, </w:t>
      </w:r>
      <w:proofErr w:type="spellStart"/>
      <w:r w:rsidRPr="005F3E29">
        <w:rPr>
          <w:rFonts w:eastAsia="宋体"/>
        </w:rPr>
        <w:t>Vrščaj</w:t>
      </w:r>
      <w:proofErr w:type="spellEnd"/>
      <w:r w:rsidRPr="005F3E29">
        <w:rPr>
          <w:rFonts w:eastAsia="宋体"/>
        </w:rPr>
        <w:t xml:space="preserve"> E, Servais L, </w:t>
      </w:r>
      <w:proofErr w:type="spellStart"/>
      <w:r w:rsidRPr="005F3E29">
        <w:rPr>
          <w:rFonts w:eastAsia="宋体"/>
        </w:rPr>
        <w:t>Osredkar</w:t>
      </w:r>
      <w:proofErr w:type="spellEnd"/>
      <w:r w:rsidRPr="005F3E29">
        <w:rPr>
          <w:rFonts w:eastAsia="宋体"/>
        </w:rPr>
        <w:t xml:space="preserve"> D, SMA NBS World Study Group. Newborn screening programs for spinal muscular atrophy worldwide: Where we stand and where to go. Neuromuscular Disorders: NMD. 2021; 31: 574–582. https://doi.org/10.1016/j.nmd.2021.03.007.</w:t>
      </w:r>
    </w:p>
    <w:p w14:paraId="2490FDC0" w14:textId="77777777" w:rsidR="004922C8" w:rsidRPr="005F3E29" w:rsidRDefault="00605271">
      <w:pPr>
        <w:pStyle w:val="Reference"/>
        <w:ind w:left="360" w:hanging="360"/>
        <w:rPr>
          <w:rFonts w:eastAsia="宋体"/>
        </w:rPr>
      </w:pPr>
      <w:r w:rsidRPr="005F3E29">
        <w:rPr>
          <w:rFonts w:eastAsia="宋体"/>
        </w:rPr>
        <w:lastRenderedPageBreak/>
        <w:t>[20] Aragon-</w:t>
      </w:r>
      <w:proofErr w:type="spellStart"/>
      <w:r w:rsidRPr="005F3E29">
        <w:rPr>
          <w:rFonts w:eastAsia="宋体"/>
        </w:rPr>
        <w:t>Gawinska</w:t>
      </w:r>
      <w:proofErr w:type="spellEnd"/>
      <w:r w:rsidRPr="005F3E29">
        <w:rPr>
          <w:rFonts w:eastAsia="宋体"/>
        </w:rPr>
        <w:t xml:space="preserve"> K, </w:t>
      </w:r>
      <w:proofErr w:type="spellStart"/>
      <w:r w:rsidRPr="005F3E29">
        <w:rPr>
          <w:rFonts w:eastAsia="宋体"/>
        </w:rPr>
        <w:t>Mouraux</w:t>
      </w:r>
      <w:proofErr w:type="spellEnd"/>
      <w:r w:rsidRPr="005F3E29">
        <w:rPr>
          <w:rFonts w:eastAsia="宋体"/>
        </w:rPr>
        <w:t xml:space="preserve"> C, </w:t>
      </w:r>
      <w:proofErr w:type="spellStart"/>
      <w:r w:rsidRPr="005F3E29">
        <w:rPr>
          <w:rFonts w:eastAsia="宋体"/>
        </w:rPr>
        <w:t>Dangouloff</w:t>
      </w:r>
      <w:proofErr w:type="spellEnd"/>
      <w:r w:rsidRPr="005F3E29">
        <w:rPr>
          <w:rFonts w:eastAsia="宋体"/>
        </w:rPr>
        <w:t xml:space="preserve"> T, Servais L. Spinal Muscular Atrophy Treatment in Patients Identified by Newborn Screening-A Systematic Review. Genes. 2023; 14: 1377. https://doi.org/10.3390/genes14071377.</w:t>
      </w:r>
    </w:p>
    <w:p w14:paraId="696377A7" w14:textId="77777777" w:rsidR="004922C8" w:rsidRPr="005F3E29" w:rsidRDefault="00605271">
      <w:pPr>
        <w:pStyle w:val="Reference"/>
        <w:ind w:left="360" w:hanging="360"/>
        <w:rPr>
          <w:rFonts w:eastAsia="宋体"/>
          <w:color w:val="auto"/>
        </w:rPr>
      </w:pPr>
      <w:r w:rsidRPr="005F3E29">
        <w:rPr>
          <w:rFonts w:eastAsia="宋体"/>
          <w:color w:val="auto"/>
        </w:rPr>
        <w:t xml:space="preserve">[21] Pediatrician Branch of Chinese Medical Doctor Association, Pediatric Respiratory Group of Pediatrician Branch of Chinese Medical Doctor Association, Cao L, Yang J, Chang L. Expert Consensus on Respiratory Management in Spinal Muscular Atrophy (2022 Edition). Chinese Journal of Practical Pediatrics. 2022; 37: 401–411. </w:t>
      </w:r>
      <w:r w:rsidRPr="00A31907">
        <w:rPr>
          <w:rFonts w:eastAsia="宋体"/>
          <w:color w:val="auto"/>
        </w:rPr>
        <w:t>(In Chinese)</w:t>
      </w:r>
    </w:p>
    <w:p w14:paraId="27F237C2" w14:textId="77777777" w:rsidR="004922C8" w:rsidRDefault="00605271">
      <w:pPr>
        <w:pStyle w:val="Reference"/>
        <w:ind w:left="360" w:hanging="360"/>
        <w:rPr>
          <w:rFonts w:eastAsia="宋体"/>
        </w:rPr>
      </w:pPr>
      <w:r w:rsidRPr="005F3E29">
        <w:rPr>
          <w:rFonts w:eastAsia="宋体"/>
        </w:rPr>
        <w:t xml:space="preserve">[22] Davidson JE, Russell JS, Martinez NN, Mowat DR, Jones KJ, Kirk EP, </w:t>
      </w:r>
      <w:r w:rsidRPr="005F3E29">
        <w:rPr>
          <w:rFonts w:eastAsia="宋体"/>
          <w:i/>
          <w:iCs/>
        </w:rPr>
        <w:t>et al</w:t>
      </w:r>
      <w:r w:rsidRPr="005F3E29">
        <w:rPr>
          <w:rFonts w:eastAsia="宋体"/>
        </w:rPr>
        <w:t>. The Carri</w:t>
      </w:r>
      <w:r>
        <w:rPr>
          <w:rFonts w:eastAsia="宋体"/>
        </w:rPr>
        <w:t xml:space="preserve">er Frequency of Two </w:t>
      </w:r>
      <w:r>
        <w:rPr>
          <w:rFonts w:eastAsia="宋体"/>
          <w:i/>
          <w:iCs/>
        </w:rPr>
        <w:t>SMN1</w:t>
      </w:r>
      <w:r>
        <w:rPr>
          <w:rFonts w:eastAsia="宋体"/>
        </w:rPr>
        <w:t xml:space="preserve"> Genes in Parents of Symptomatic Children with SMA and the Significance of </w:t>
      </w:r>
      <w:r>
        <w:rPr>
          <w:rFonts w:eastAsia="宋体"/>
          <w:i/>
          <w:iCs/>
        </w:rPr>
        <w:t>SMN1</w:t>
      </w:r>
      <w:r>
        <w:rPr>
          <w:rFonts w:eastAsia="宋体"/>
        </w:rPr>
        <w:t xml:space="preserve"> Exon 8 in Carriers. Genes. 2023; 14: 1403. https://doi.org/10.3390/genes14071403.</w:t>
      </w:r>
    </w:p>
    <w:p w14:paraId="1251CB25" w14:textId="77777777" w:rsidR="004922C8" w:rsidRDefault="00605271">
      <w:pPr>
        <w:pStyle w:val="Reference"/>
        <w:ind w:left="360" w:hanging="360"/>
        <w:rPr>
          <w:rFonts w:eastAsia="宋体"/>
        </w:rPr>
      </w:pPr>
      <w:r>
        <w:rPr>
          <w:rFonts w:eastAsia="宋体"/>
        </w:rPr>
        <w:t xml:space="preserve">[23] </w:t>
      </w:r>
      <w:proofErr w:type="spellStart"/>
      <w:r>
        <w:rPr>
          <w:rFonts w:eastAsia="宋体"/>
        </w:rPr>
        <w:t>Shekhawat</w:t>
      </w:r>
      <w:proofErr w:type="spellEnd"/>
      <w:r>
        <w:rPr>
          <w:rFonts w:eastAsia="宋体"/>
        </w:rPr>
        <w:t xml:space="preserve"> DS, </w:t>
      </w:r>
      <w:proofErr w:type="spellStart"/>
      <w:r>
        <w:rPr>
          <w:rFonts w:eastAsia="宋体"/>
        </w:rPr>
        <w:t>Didel</w:t>
      </w:r>
      <w:proofErr w:type="spellEnd"/>
      <w:r>
        <w:rPr>
          <w:rFonts w:eastAsia="宋体"/>
        </w:rPr>
        <w:t xml:space="preserve"> S, Dixit SG, Singh P, Singh K. Carrier Screening and Diagnosis for Spinal Muscular Atrophy Using Droplet Digital PCR Versus MLPA: Analytical Validation and Early Test Outcome. Genetic Testing and Molecular Biomarkers. 2024; 28: 207–212. https://doi.org/10.1089/gtmb.2023.0073.</w:t>
      </w:r>
    </w:p>
    <w:p w14:paraId="66EB10B9" w14:textId="77777777" w:rsidR="004922C8" w:rsidRDefault="00605271">
      <w:pPr>
        <w:pStyle w:val="Reference"/>
        <w:ind w:left="360" w:hanging="360"/>
        <w:rPr>
          <w:rFonts w:eastAsia="宋体"/>
        </w:rPr>
      </w:pPr>
      <w:r>
        <w:rPr>
          <w:rFonts w:eastAsia="宋体"/>
        </w:rPr>
        <w:t xml:space="preserve">[24] Chen X, </w:t>
      </w:r>
      <w:proofErr w:type="spellStart"/>
      <w:r>
        <w:rPr>
          <w:rFonts w:eastAsia="宋体"/>
        </w:rPr>
        <w:t>Harting</w:t>
      </w:r>
      <w:proofErr w:type="spellEnd"/>
      <w:r>
        <w:rPr>
          <w:rFonts w:eastAsia="宋体"/>
        </w:rPr>
        <w:t xml:space="preserve"> J, Farrow E, </w:t>
      </w:r>
      <w:proofErr w:type="spellStart"/>
      <w:r>
        <w:rPr>
          <w:rFonts w:eastAsia="宋体"/>
        </w:rPr>
        <w:t>Thiffault</w:t>
      </w:r>
      <w:proofErr w:type="spellEnd"/>
      <w:r>
        <w:rPr>
          <w:rFonts w:eastAsia="宋体"/>
        </w:rPr>
        <w:t xml:space="preserve"> I, </w:t>
      </w:r>
      <w:proofErr w:type="spellStart"/>
      <w:r>
        <w:rPr>
          <w:rFonts w:eastAsia="宋体"/>
        </w:rPr>
        <w:t>Kasperaviciute</w:t>
      </w:r>
      <w:proofErr w:type="spellEnd"/>
      <w:r>
        <w:rPr>
          <w:rFonts w:eastAsia="宋体"/>
        </w:rPr>
        <w:t xml:space="preserve"> D, Genomics England Research Consortium, </w:t>
      </w:r>
      <w:r>
        <w:rPr>
          <w:rFonts w:eastAsia="宋体"/>
          <w:i/>
          <w:iCs/>
        </w:rPr>
        <w:t>et al</w:t>
      </w:r>
      <w:r>
        <w:rPr>
          <w:rFonts w:eastAsia="宋体"/>
        </w:rPr>
        <w:t>. Comprehensive SMN1 and SMN2 profiling for spinal muscular atrophy analysis using long-read PacBio HiFi sequencing. American Journal of Human Genetics. 2023; 110: 240–250. https://doi.org/10.1016/j.ajhg.2023.01.001.</w:t>
      </w:r>
    </w:p>
    <w:p w14:paraId="62ED7195" w14:textId="77777777" w:rsidR="004922C8" w:rsidRDefault="00605271">
      <w:pPr>
        <w:pStyle w:val="Reference"/>
        <w:ind w:left="360" w:hanging="360"/>
        <w:rPr>
          <w:rFonts w:eastAsia="宋体"/>
        </w:rPr>
      </w:pPr>
      <w:r>
        <w:rPr>
          <w:rFonts w:eastAsia="宋体"/>
        </w:rPr>
        <w:t xml:space="preserve">[25] Lapp HS, </w:t>
      </w:r>
      <w:proofErr w:type="spellStart"/>
      <w:r>
        <w:rPr>
          <w:rFonts w:eastAsia="宋体"/>
        </w:rPr>
        <w:t>Freigang</w:t>
      </w:r>
      <w:proofErr w:type="spellEnd"/>
      <w:r>
        <w:rPr>
          <w:rFonts w:eastAsia="宋体"/>
        </w:rPr>
        <w:t xml:space="preserve"> M, </w:t>
      </w:r>
      <w:proofErr w:type="spellStart"/>
      <w:r>
        <w:rPr>
          <w:rFonts w:eastAsia="宋体"/>
        </w:rPr>
        <w:t>Hagenacker</w:t>
      </w:r>
      <w:proofErr w:type="spellEnd"/>
      <w:r>
        <w:rPr>
          <w:rFonts w:eastAsia="宋体"/>
        </w:rPr>
        <w:t xml:space="preserve"> T, </w:t>
      </w:r>
      <w:proofErr w:type="spellStart"/>
      <w:r>
        <w:rPr>
          <w:rFonts w:eastAsia="宋体"/>
        </w:rPr>
        <w:t>Weiler</w:t>
      </w:r>
      <w:proofErr w:type="spellEnd"/>
      <w:r>
        <w:rPr>
          <w:rFonts w:eastAsia="宋体"/>
        </w:rPr>
        <w:t xml:space="preserve"> M, Wurster CD, Günther R. Biomarkers in 5q-associated spinal muscular atrophy-a narrative review. Journal of Neurology. 2023; 270: 4157–4178. https://doi.org/10.1007/s00415-023-11787-y.</w:t>
      </w:r>
    </w:p>
    <w:p w14:paraId="4A2B3BF1" w14:textId="77777777" w:rsidR="004922C8" w:rsidRDefault="00605271">
      <w:pPr>
        <w:pStyle w:val="Reference"/>
        <w:ind w:left="360" w:hanging="360"/>
        <w:rPr>
          <w:rFonts w:eastAsia="宋体"/>
        </w:rPr>
      </w:pPr>
      <w:r>
        <w:rPr>
          <w:rFonts w:eastAsia="宋体"/>
        </w:rPr>
        <w:t xml:space="preserve">[26] </w:t>
      </w:r>
      <w:proofErr w:type="spellStart"/>
      <w:r>
        <w:rPr>
          <w:rFonts w:eastAsia="宋体"/>
        </w:rPr>
        <w:t>Schüning</w:t>
      </w:r>
      <w:proofErr w:type="spellEnd"/>
      <w:r>
        <w:rPr>
          <w:rFonts w:eastAsia="宋体"/>
        </w:rPr>
        <w:t xml:space="preserve"> T, </w:t>
      </w:r>
      <w:proofErr w:type="spellStart"/>
      <w:r>
        <w:rPr>
          <w:rFonts w:eastAsia="宋体"/>
        </w:rPr>
        <w:t>Zeug</w:t>
      </w:r>
      <w:proofErr w:type="spellEnd"/>
      <w:r>
        <w:rPr>
          <w:rFonts w:eastAsia="宋体"/>
        </w:rPr>
        <w:t xml:space="preserve"> A, </w:t>
      </w:r>
      <w:proofErr w:type="spellStart"/>
      <w:r>
        <w:rPr>
          <w:rFonts w:eastAsia="宋体"/>
        </w:rPr>
        <w:t>Strienke</w:t>
      </w:r>
      <w:proofErr w:type="spellEnd"/>
      <w:r>
        <w:rPr>
          <w:rFonts w:eastAsia="宋体"/>
        </w:rPr>
        <w:t xml:space="preserve"> K, Franz P, </w:t>
      </w:r>
      <w:proofErr w:type="spellStart"/>
      <w:r>
        <w:rPr>
          <w:rFonts w:eastAsia="宋体"/>
        </w:rPr>
        <w:t>Tsiavaliaris</w:t>
      </w:r>
      <w:proofErr w:type="spellEnd"/>
      <w:r>
        <w:rPr>
          <w:rFonts w:eastAsia="宋体"/>
        </w:rPr>
        <w:t xml:space="preserve"> G, Hensel N, </w:t>
      </w:r>
      <w:r>
        <w:rPr>
          <w:rFonts w:eastAsia="宋体"/>
          <w:i/>
          <w:iCs/>
        </w:rPr>
        <w:t>et al</w:t>
      </w:r>
      <w:r>
        <w:rPr>
          <w:rFonts w:eastAsia="宋体"/>
        </w:rPr>
        <w:t>. The spinal muscular atrophy gene product regulates actin dynamics. FASEB Journal: Official Publication of the Federation of American Societies for Experimental Biology. 2024; 38: e70055. https://doi.org/10.1096/fj.202300183R.</w:t>
      </w:r>
    </w:p>
    <w:p w14:paraId="77A76C15" w14:textId="77777777" w:rsidR="004922C8" w:rsidRDefault="00605271">
      <w:pPr>
        <w:pStyle w:val="Reference"/>
        <w:ind w:left="360" w:hanging="360"/>
        <w:rPr>
          <w:rFonts w:eastAsia="宋体"/>
        </w:rPr>
      </w:pPr>
      <w:r>
        <w:rPr>
          <w:rFonts w:eastAsia="宋体"/>
        </w:rPr>
        <w:t xml:space="preserve">[27] </w:t>
      </w:r>
      <w:proofErr w:type="spellStart"/>
      <w:r>
        <w:rPr>
          <w:rFonts w:eastAsia="宋体"/>
        </w:rPr>
        <w:t>Nilay</w:t>
      </w:r>
      <w:proofErr w:type="spellEnd"/>
      <w:r>
        <w:rPr>
          <w:rFonts w:eastAsia="宋体"/>
        </w:rPr>
        <w:t xml:space="preserve"> M, </w:t>
      </w:r>
      <w:proofErr w:type="spellStart"/>
      <w:r>
        <w:rPr>
          <w:rFonts w:eastAsia="宋体"/>
        </w:rPr>
        <w:t>Moirangthem</w:t>
      </w:r>
      <w:proofErr w:type="spellEnd"/>
      <w:r>
        <w:rPr>
          <w:rFonts w:eastAsia="宋体"/>
        </w:rPr>
        <w:t xml:space="preserve"> A, Saxena D, Mandal K, </w:t>
      </w:r>
      <w:proofErr w:type="spellStart"/>
      <w:r>
        <w:rPr>
          <w:rFonts w:eastAsia="宋体"/>
        </w:rPr>
        <w:t>Phadke</w:t>
      </w:r>
      <w:proofErr w:type="spellEnd"/>
      <w:r>
        <w:rPr>
          <w:rFonts w:eastAsia="宋体"/>
        </w:rPr>
        <w:t xml:space="preserve"> SR. Carrier frequency of SMN1-related spinal muscular atrophy in north Indian population: The need for </w:t>
      </w:r>
      <w:proofErr w:type="gramStart"/>
      <w:r>
        <w:rPr>
          <w:rFonts w:eastAsia="宋体"/>
        </w:rPr>
        <w:t>population based</w:t>
      </w:r>
      <w:proofErr w:type="gramEnd"/>
      <w:r>
        <w:rPr>
          <w:rFonts w:eastAsia="宋体"/>
        </w:rPr>
        <w:t xml:space="preserve"> screening program. American Journal of Medical Genetics. Part a. 2021; 185: 274–277. https://doi.org/10.1002/ajmg.a.61918.</w:t>
      </w:r>
    </w:p>
    <w:p w14:paraId="6CEA522B" w14:textId="77777777" w:rsidR="004922C8" w:rsidRDefault="00605271">
      <w:pPr>
        <w:pStyle w:val="Reference"/>
        <w:ind w:left="360" w:hanging="360"/>
        <w:rPr>
          <w:rFonts w:eastAsia="宋体"/>
        </w:rPr>
      </w:pPr>
      <w:r>
        <w:rPr>
          <w:rFonts w:eastAsia="宋体"/>
        </w:rPr>
        <w:t xml:space="preserve">[28] </w:t>
      </w:r>
      <w:proofErr w:type="spellStart"/>
      <w:r>
        <w:rPr>
          <w:rFonts w:eastAsia="宋体"/>
        </w:rPr>
        <w:t>Dosi</w:t>
      </w:r>
      <w:proofErr w:type="spellEnd"/>
      <w:r>
        <w:rPr>
          <w:rFonts w:eastAsia="宋体"/>
        </w:rPr>
        <w:t xml:space="preserve"> C, Masson R. The impact of three </w:t>
      </w:r>
      <w:r>
        <w:rPr>
          <w:rFonts w:eastAsia="宋体"/>
          <w:i/>
          <w:iCs/>
        </w:rPr>
        <w:t>SMN2</w:t>
      </w:r>
      <w:r>
        <w:rPr>
          <w:rFonts w:eastAsia="宋体"/>
        </w:rPr>
        <w:t xml:space="preserve"> gene copies on clinical characteristics and effect of disease-modifying treatment in patients with spinal muscular atrophy: a systematic literature review. Frontiers in Neurology. 2024; 15: 1308296. https://doi.org/10.3389/fneur.2024.1308296.</w:t>
      </w:r>
    </w:p>
    <w:p w14:paraId="745F353A" w14:textId="77777777" w:rsidR="004922C8" w:rsidRDefault="00605271">
      <w:pPr>
        <w:pStyle w:val="Reference"/>
        <w:ind w:left="360" w:hanging="360"/>
        <w:rPr>
          <w:rFonts w:eastAsia="宋体"/>
          <w:color w:val="auto"/>
        </w:rPr>
      </w:pPr>
      <w:r>
        <w:rPr>
          <w:rFonts w:eastAsia="宋体"/>
          <w:color w:val="auto"/>
        </w:rPr>
        <w:t xml:space="preserve">[29] Roshan S, Prasanna S, </w:t>
      </w:r>
      <w:proofErr w:type="spellStart"/>
      <w:r>
        <w:rPr>
          <w:rFonts w:eastAsia="宋体"/>
          <w:color w:val="auto"/>
        </w:rPr>
        <w:t>Jagan</w:t>
      </w:r>
      <w:proofErr w:type="spellEnd"/>
      <w:r>
        <w:rPr>
          <w:rFonts w:eastAsia="宋体"/>
          <w:color w:val="auto"/>
        </w:rPr>
        <w:t xml:space="preserve"> S, </w:t>
      </w:r>
      <w:proofErr w:type="spellStart"/>
      <w:r>
        <w:rPr>
          <w:rFonts w:eastAsia="宋体"/>
          <w:color w:val="auto"/>
        </w:rPr>
        <w:t>Phani</w:t>
      </w:r>
      <w:proofErr w:type="spellEnd"/>
      <w:r>
        <w:rPr>
          <w:rFonts w:eastAsia="宋体"/>
          <w:color w:val="auto"/>
        </w:rPr>
        <w:t xml:space="preserve"> NM, Prakash G, </w:t>
      </w:r>
      <w:r>
        <w:rPr>
          <w:rFonts w:eastAsia="宋体"/>
          <w:i/>
          <w:color w:val="auto"/>
        </w:rPr>
        <w:t>et al</w:t>
      </w:r>
      <w:r>
        <w:rPr>
          <w:rFonts w:eastAsia="宋体"/>
          <w:color w:val="auto"/>
        </w:rPr>
        <w:t xml:space="preserve">. Concurrent diagnosis of spinal muscular atrophy and trisomy 21: Value of comprehensive analysis in prenatal genetic testing. </w:t>
      </w:r>
      <w:proofErr w:type="spellStart"/>
      <w:r>
        <w:rPr>
          <w:rFonts w:eastAsia="宋体"/>
          <w:color w:val="auto"/>
        </w:rPr>
        <w:t>Clinica</w:t>
      </w:r>
      <w:proofErr w:type="spellEnd"/>
      <w:r>
        <w:rPr>
          <w:rFonts w:eastAsia="宋体"/>
          <w:color w:val="auto"/>
        </w:rPr>
        <w:t xml:space="preserve"> </w:t>
      </w:r>
      <w:proofErr w:type="spellStart"/>
      <w:r>
        <w:rPr>
          <w:rFonts w:eastAsia="宋体"/>
          <w:color w:val="auto"/>
        </w:rPr>
        <w:t>Chimica</w:t>
      </w:r>
      <w:proofErr w:type="spellEnd"/>
      <w:r>
        <w:rPr>
          <w:rFonts w:eastAsia="宋体"/>
          <w:color w:val="auto"/>
        </w:rPr>
        <w:t xml:space="preserve"> Acta. 2025; 13: 120723.</w:t>
      </w:r>
      <w:r>
        <w:rPr>
          <w:color w:val="auto"/>
        </w:rPr>
        <w:t xml:space="preserve"> </w:t>
      </w:r>
      <w:r>
        <w:rPr>
          <w:rFonts w:eastAsia="宋体"/>
          <w:color w:val="auto"/>
        </w:rPr>
        <w:t>https://doi.org/10.1016/j.cca.2025.120723.</w:t>
      </w:r>
    </w:p>
    <w:p w14:paraId="249C4763" w14:textId="77777777" w:rsidR="004922C8" w:rsidRDefault="00605271">
      <w:pPr>
        <w:pStyle w:val="Reference"/>
        <w:ind w:left="360" w:hanging="360"/>
        <w:rPr>
          <w:rFonts w:eastAsia="宋体"/>
          <w:color w:val="auto"/>
        </w:rPr>
      </w:pPr>
      <w:r>
        <w:rPr>
          <w:rFonts w:eastAsia="宋体"/>
          <w:color w:val="auto"/>
        </w:rPr>
        <w:t xml:space="preserve">[30] </w:t>
      </w:r>
      <w:proofErr w:type="spellStart"/>
      <w:r>
        <w:rPr>
          <w:rFonts w:eastAsia="宋体"/>
          <w:color w:val="auto"/>
        </w:rPr>
        <w:t>Khorshid</w:t>
      </w:r>
      <w:proofErr w:type="spellEnd"/>
      <w:r>
        <w:rPr>
          <w:rFonts w:eastAsia="宋体"/>
          <w:color w:val="auto"/>
        </w:rPr>
        <w:t xml:space="preserve"> A, Boyd ALH, Behr B, Zhao Q, </w:t>
      </w:r>
      <w:proofErr w:type="spellStart"/>
      <w:r>
        <w:rPr>
          <w:rFonts w:eastAsia="宋体"/>
          <w:color w:val="auto"/>
        </w:rPr>
        <w:t>Alvero</w:t>
      </w:r>
      <w:proofErr w:type="spellEnd"/>
      <w:r>
        <w:rPr>
          <w:rFonts w:eastAsia="宋体"/>
          <w:color w:val="auto"/>
        </w:rPr>
        <w:t xml:space="preserve"> R, </w:t>
      </w:r>
      <w:proofErr w:type="spellStart"/>
      <w:r>
        <w:rPr>
          <w:rFonts w:eastAsia="宋体"/>
          <w:color w:val="auto"/>
        </w:rPr>
        <w:t>Bavan</w:t>
      </w:r>
      <w:proofErr w:type="spellEnd"/>
      <w:r>
        <w:rPr>
          <w:rFonts w:eastAsia="宋体"/>
          <w:color w:val="auto"/>
        </w:rPr>
        <w:t xml:space="preserve"> B. Cost-effectiveness of IVF with PGT-M/A to prevent transmission of spinal muscular atrophy in offspring of carrier couples. Journal of Assisted Reproduction and Genetics. 2023; 40: 793–801.</w:t>
      </w:r>
      <w:r>
        <w:rPr>
          <w:color w:val="auto"/>
        </w:rPr>
        <w:t xml:space="preserve"> </w:t>
      </w:r>
      <w:r>
        <w:rPr>
          <w:rFonts w:eastAsia="宋体"/>
          <w:color w:val="auto"/>
        </w:rPr>
        <w:t>https://doi.org/10.1007/s10815-023-02738-7.</w:t>
      </w:r>
    </w:p>
    <w:p w14:paraId="48B8535C" w14:textId="77777777" w:rsidR="000663EF" w:rsidRDefault="000663EF"/>
    <w:sectPr w:rsidR="000663EF">
      <w:headerReference w:type="default" r:id="rId11"/>
      <w:headerReference w:type="first" r:id="rId12"/>
      <w:pgSz w:w="11906" w:h="16838"/>
      <w:pgMar w:top="851" w:right="1134" w:bottom="851" w:left="1134" w:header="284" w:footer="113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9DC415" w14:textId="77777777" w:rsidR="00A445B9" w:rsidRDefault="00A445B9">
      <w:r>
        <w:separator/>
      </w:r>
    </w:p>
  </w:endnote>
  <w:endnote w:type="continuationSeparator" w:id="0">
    <w:p w14:paraId="1D556904" w14:textId="77777777" w:rsidR="00A445B9" w:rsidRDefault="00A44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MBX12">
    <w:altName w:val="Segoe Print"/>
    <w:charset w:val="00"/>
    <w:family w:val="auto"/>
    <w:pitch w:val="default"/>
  </w:font>
  <w:font w:name="CMR10">
    <w:altName w:val="Segoe Print"/>
    <w:charset w:val="00"/>
    <w:family w:val="auto"/>
    <w:pitch w:val="default"/>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06FB20" w14:textId="77777777" w:rsidR="00A445B9" w:rsidRDefault="00A445B9">
      <w:r>
        <w:separator/>
      </w:r>
    </w:p>
  </w:footnote>
  <w:footnote w:type="continuationSeparator" w:id="0">
    <w:p w14:paraId="7929CBF3" w14:textId="77777777" w:rsidR="00A445B9" w:rsidRDefault="00A44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E571A" w14:textId="77777777" w:rsidR="004922C8" w:rsidRDefault="004922C8">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A6EC94" w14:textId="77777777" w:rsidR="004922C8" w:rsidRDefault="00605271">
    <w:pPr>
      <w:pStyle w:val="a9"/>
      <w:pBdr>
        <w:bottom w:val="none" w:sz="0" w:space="0" w:color="auto"/>
      </w:pBdr>
      <w:jc w:val="left"/>
    </w:pPr>
    <w:r>
      <w:rPr>
        <w:noProof/>
      </w:rPr>
      <w:drawing>
        <wp:inline distT="0" distB="0" distL="0" distR="0" wp14:anchorId="0ADE1180" wp14:editId="0451FF05">
          <wp:extent cx="1548130" cy="4025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48130" cy="4025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468F5"/>
    <w:multiLevelType w:val="multilevel"/>
    <w:tmpl w:val="18B468F5"/>
    <w:lvl w:ilvl="0">
      <w:start w:val="1"/>
      <w:numFmt w:val="bullet"/>
      <w:pStyle w:val="Bullet"/>
      <w:lvlText w:val=""/>
      <w:lvlJc w:val="left"/>
      <w:pPr>
        <w:ind w:left="3033" w:hanging="425"/>
      </w:pPr>
      <w:rPr>
        <w:rFonts w:ascii="Symbol" w:hAnsi="Symbol" w:hint="default"/>
        <w:b w:val="0"/>
        <w:i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B2173DC"/>
    <w:multiLevelType w:val="multilevel"/>
    <w:tmpl w:val="7B2173DC"/>
    <w:lvl w:ilvl="0">
      <w:start w:val="1"/>
      <w:numFmt w:val="decimal"/>
      <w:pStyle w:val="References"/>
      <w:lvlText w:val="%1."/>
      <w:lvlJc w:val="left"/>
      <w:pPr>
        <w:ind w:left="425" w:hanging="425"/>
      </w:pPr>
      <w:rPr>
        <w:b w:val="0"/>
        <w:i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420"/>
  <w:drawingGridHorizontalSpacing w:val="105"/>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8E7610"/>
    <w:rsid w:val="00001E17"/>
    <w:rsid w:val="000304AA"/>
    <w:rsid w:val="000354FD"/>
    <w:rsid w:val="000663EF"/>
    <w:rsid w:val="000677D8"/>
    <w:rsid w:val="0006789A"/>
    <w:rsid w:val="0008540D"/>
    <w:rsid w:val="000946D6"/>
    <w:rsid w:val="000A02C6"/>
    <w:rsid w:val="000A2BE1"/>
    <w:rsid w:val="000B0359"/>
    <w:rsid w:val="000B0F20"/>
    <w:rsid w:val="000B6884"/>
    <w:rsid w:val="000C5503"/>
    <w:rsid w:val="000E04E8"/>
    <w:rsid w:val="000E234A"/>
    <w:rsid w:val="000F0EE8"/>
    <w:rsid w:val="000F174C"/>
    <w:rsid w:val="001009A8"/>
    <w:rsid w:val="001102FD"/>
    <w:rsid w:val="00122285"/>
    <w:rsid w:val="001353AD"/>
    <w:rsid w:val="001373E5"/>
    <w:rsid w:val="00140D3C"/>
    <w:rsid w:val="001433C0"/>
    <w:rsid w:val="00152CB2"/>
    <w:rsid w:val="0018793A"/>
    <w:rsid w:val="001A5D53"/>
    <w:rsid w:val="001B59DF"/>
    <w:rsid w:val="001D0E00"/>
    <w:rsid w:val="001F0FD7"/>
    <w:rsid w:val="0021115D"/>
    <w:rsid w:val="002119E9"/>
    <w:rsid w:val="00215F1D"/>
    <w:rsid w:val="002246BE"/>
    <w:rsid w:val="002367B0"/>
    <w:rsid w:val="00240445"/>
    <w:rsid w:val="0024082C"/>
    <w:rsid w:val="00245341"/>
    <w:rsid w:val="00252EBB"/>
    <w:rsid w:val="00253B7A"/>
    <w:rsid w:val="00266533"/>
    <w:rsid w:val="00275282"/>
    <w:rsid w:val="0028371D"/>
    <w:rsid w:val="00285AC0"/>
    <w:rsid w:val="002B1E19"/>
    <w:rsid w:val="002C001B"/>
    <w:rsid w:val="002D3173"/>
    <w:rsid w:val="002D3FAF"/>
    <w:rsid w:val="002D68C5"/>
    <w:rsid w:val="002E40BA"/>
    <w:rsid w:val="002F49C7"/>
    <w:rsid w:val="00300A17"/>
    <w:rsid w:val="00337BA0"/>
    <w:rsid w:val="0034084E"/>
    <w:rsid w:val="00351550"/>
    <w:rsid w:val="00373DC3"/>
    <w:rsid w:val="0039476F"/>
    <w:rsid w:val="003A0BAA"/>
    <w:rsid w:val="003A6141"/>
    <w:rsid w:val="003A6E37"/>
    <w:rsid w:val="003C477C"/>
    <w:rsid w:val="003C72AF"/>
    <w:rsid w:val="003E5367"/>
    <w:rsid w:val="003F22F0"/>
    <w:rsid w:val="00411096"/>
    <w:rsid w:val="00433BB4"/>
    <w:rsid w:val="00444EB0"/>
    <w:rsid w:val="00450797"/>
    <w:rsid w:val="004676C1"/>
    <w:rsid w:val="00467BAD"/>
    <w:rsid w:val="004710C1"/>
    <w:rsid w:val="00482DD3"/>
    <w:rsid w:val="00486B1A"/>
    <w:rsid w:val="004922C8"/>
    <w:rsid w:val="004A0530"/>
    <w:rsid w:val="004A1093"/>
    <w:rsid w:val="004E3492"/>
    <w:rsid w:val="004E3C14"/>
    <w:rsid w:val="004F46D8"/>
    <w:rsid w:val="004F4C8F"/>
    <w:rsid w:val="004F544F"/>
    <w:rsid w:val="00500F39"/>
    <w:rsid w:val="00500F45"/>
    <w:rsid w:val="00562F89"/>
    <w:rsid w:val="00567D55"/>
    <w:rsid w:val="005706AA"/>
    <w:rsid w:val="0058665B"/>
    <w:rsid w:val="005952BA"/>
    <w:rsid w:val="005A745B"/>
    <w:rsid w:val="005F3E29"/>
    <w:rsid w:val="006045E7"/>
    <w:rsid w:val="00605271"/>
    <w:rsid w:val="00606034"/>
    <w:rsid w:val="00610CA0"/>
    <w:rsid w:val="00616454"/>
    <w:rsid w:val="00621AC0"/>
    <w:rsid w:val="0062551D"/>
    <w:rsid w:val="00644B7F"/>
    <w:rsid w:val="00656959"/>
    <w:rsid w:val="00663309"/>
    <w:rsid w:val="00667887"/>
    <w:rsid w:val="00681F3A"/>
    <w:rsid w:val="00682691"/>
    <w:rsid w:val="0069542C"/>
    <w:rsid w:val="006A1CE2"/>
    <w:rsid w:val="006B0D6B"/>
    <w:rsid w:val="006B4ECC"/>
    <w:rsid w:val="006C5CF7"/>
    <w:rsid w:val="006D22A5"/>
    <w:rsid w:val="006E06E5"/>
    <w:rsid w:val="006E39E8"/>
    <w:rsid w:val="006F3415"/>
    <w:rsid w:val="006F46C6"/>
    <w:rsid w:val="007069BC"/>
    <w:rsid w:val="007346E9"/>
    <w:rsid w:val="00735CF6"/>
    <w:rsid w:val="00744661"/>
    <w:rsid w:val="007568D4"/>
    <w:rsid w:val="0076108D"/>
    <w:rsid w:val="0077421E"/>
    <w:rsid w:val="00790B8C"/>
    <w:rsid w:val="007913BE"/>
    <w:rsid w:val="007B3C78"/>
    <w:rsid w:val="007D304D"/>
    <w:rsid w:val="007D3C09"/>
    <w:rsid w:val="007E5DCD"/>
    <w:rsid w:val="007F1DEB"/>
    <w:rsid w:val="00812939"/>
    <w:rsid w:val="00826B88"/>
    <w:rsid w:val="00827EF9"/>
    <w:rsid w:val="00833AEE"/>
    <w:rsid w:val="00843D6D"/>
    <w:rsid w:val="00851E60"/>
    <w:rsid w:val="00851E96"/>
    <w:rsid w:val="0086249A"/>
    <w:rsid w:val="00866F87"/>
    <w:rsid w:val="00891BBA"/>
    <w:rsid w:val="0089333E"/>
    <w:rsid w:val="008A0B5D"/>
    <w:rsid w:val="008B4A4E"/>
    <w:rsid w:val="008C195D"/>
    <w:rsid w:val="008C409F"/>
    <w:rsid w:val="008C52E3"/>
    <w:rsid w:val="008D56DA"/>
    <w:rsid w:val="008E2320"/>
    <w:rsid w:val="008F0879"/>
    <w:rsid w:val="008F0AB0"/>
    <w:rsid w:val="008F4794"/>
    <w:rsid w:val="009153E7"/>
    <w:rsid w:val="0092332C"/>
    <w:rsid w:val="00926F45"/>
    <w:rsid w:val="00937413"/>
    <w:rsid w:val="009427FB"/>
    <w:rsid w:val="009756C2"/>
    <w:rsid w:val="00976269"/>
    <w:rsid w:val="00993803"/>
    <w:rsid w:val="009D09FF"/>
    <w:rsid w:val="009D6A4B"/>
    <w:rsid w:val="009D6EA2"/>
    <w:rsid w:val="009E34F6"/>
    <w:rsid w:val="009F6419"/>
    <w:rsid w:val="00A013E8"/>
    <w:rsid w:val="00A31907"/>
    <w:rsid w:val="00A32AEF"/>
    <w:rsid w:val="00A350EA"/>
    <w:rsid w:val="00A4314A"/>
    <w:rsid w:val="00A445B9"/>
    <w:rsid w:val="00A4509F"/>
    <w:rsid w:val="00A46099"/>
    <w:rsid w:val="00A46BFB"/>
    <w:rsid w:val="00A4729D"/>
    <w:rsid w:val="00AA321D"/>
    <w:rsid w:val="00AB3B76"/>
    <w:rsid w:val="00AD3F2B"/>
    <w:rsid w:val="00AD594E"/>
    <w:rsid w:val="00AE7ED3"/>
    <w:rsid w:val="00AF25A1"/>
    <w:rsid w:val="00AF333C"/>
    <w:rsid w:val="00AF723A"/>
    <w:rsid w:val="00B07C5B"/>
    <w:rsid w:val="00B10467"/>
    <w:rsid w:val="00B13FF6"/>
    <w:rsid w:val="00B35B68"/>
    <w:rsid w:val="00B37029"/>
    <w:rsid w:val="00B50EFC"/>
    <w:rsid w:val="00B630C7"/>
    <w:rsid w:val="00B676C7"/>
    <w:rsid w:val="00B70939"/>
    <w:rsid w:val="00B763F2"/>
    <w:rsid w:val="00B76C9D"/>
    <w:rsid w:val="00B82588"/>
    <w:rsid w:val="00B86D4A"/>
    <w:rsid w:val="00B96126"/>
    <w:rsid w:val="00BB1845"/>
    <w:rsid w:val="00BB403F"/>
    <w:rsid w:val="00BB6D37"/>
    <w:rsid w:val="00BC0151"/>
    <w:rsid w:val="00BC3370"/>
    <w:rsid w:val="00BC33D5"/>
    <w:rsid w:val="00BC4D6C"/>
    <w:rsid w:val="00BC63FC"/>
    <w:rsid w:val="00C336C6"/>
    <w:rsid w:val="00C647B1"/>
    <w:rsid w:val="00C801E4"/>
    <w:rsid w:val="00C90DE0"/>
    <w:rsid w:val="00C9735C"/>
    <w:rsid w:val="00CB2007"/>
    <w:rsid w:val="00CB439C"/>
    <w:rsid w:val="00CE1D9A"/>
    <w:rsid w:val="00CF1869"/>
    <w:rsid w:val="00CF4B0E"/>
    <w:rsid w:val="00CF6BD1"/>
    <w:rsid w:val="00D003D5"/>
    <w:rsid w:val="00D060E2"/>
    <w:rsid w:val="00D104B0"/>
    <w:rsid w:val="00D235B2"/>
    <w:rsid w:val="00D30A31"/>
    <w:rsid w:val="00D31524"/>
    <w:rsid w:val="00D54BE6"/>
    <w:rsid w:val="00D71FC0"/>
    <w:rsid w:val="00D72A6E"/>
    <w:rsid w:val="00DA5844"/>
    <w:rsid w:val="00DB5EA8"/>
    <w:rsid w:val="00DC161D"/>
    <w:rsid w:val="00DD0D3F"/>
    <w:rsid w:val="00DD5D04"/>
    <w:rsid w:val="00DE2A2D"/>
    <w:rsid w:val="00DF4C15"/>
    <w:rsid w:val="00E1277F"/>
    <w:rsid w:val="00E347E8"/>
    <w:rsid w:val="00E37E41"/>
    <w:rsid w:val="00E859BD"/>
    <w:rsid w:val="00E94107"/>
    <w:rsid w:val="00E97ED6"/>
    <w:rsid w:val="00EA0C69"/>
    <w:rsid w:val="00EB298E"/>
    <w:rsid w:val="00EC3853"/>
    <w:rsid w:val="00F02293"/>
    <w:rsid w:val="00F05CC0"/>
    <w:rsid w:val="00F331DE"/>
    <w:rsid w:val="00F4768F"/>
    <w:rsid w:val="00F540C5"/>
    <w:rsid w:val="00F57208"/>
    <w:rsid w:val="00F6203D"/>
    <w:rsid w:val="00F731E9"/>
    <w:rsid w:val="00F87BED"/>
    <w:rsid w:val="00F927B5"/>
    <w:rsid w:val="00FC4C1F"/>
    <w:rsid w:val="00FD4639"/>
    <w:rsid w:val="00FE2F29"/>
    <w:rsid w:val="00FF5FB1"/>
    <w:rsid w:val="075060EF"/>
    <w:rsid w:val="0BF21C8E"/>
    <w:rsid w:val="0F5418EC"/>
    <w:rsid w:val="103A04BC"/>
    <w:rsid w:val="104D5F60"/>
    <w:rsid w:val="109127D2"/>
    <w:rsid w:val="11D013F3"/>
    <w:rsid w:val="12304255"/>
    <w:rsid w:val="16AE5760"/>
    <w:rsid w:val="17CF1E32"/>
    <w:rsid w:val="17F43647"/>
    <w:rsid w:val="1CA71245"/>
    <w:rsid w:val="23103A2A"/>
    <w:rsid w:val="23DD0ED9"/>
    <w:rsid w:val="24C96699"/>
    <w:rsid w:val="25F56F08"/>
    <w:rsid w:val="26B710CD"/>
    <w:rsid w:val="283F090E"/>
    <w:rsid w:val="28E05C66"/>
    <w:rsid w:val="2A73489F"/>
    <w:rsid w:val="2FCD251F"/>
    <w:rsid w:val="31B7581F"/>
    <w:rsid w:val="352D3B06"/>
    <w:rsid w:val="35E6686D"/>
    <w:rsid w:val="36CC7811"/>
    <w:rsid w:val="3BF515B8"/>
    <w:rsid w:val="3CB5260E"/>
    <w:rsid w:val="3D565C05"/>
    <w:rsid w:val="3D6B7F3F"/>
    <w:rsid w:val="3E030650"/>
    <w:rsid w:val="40181324"/>
    <w:rsid w:val="418554A9"/>
    <w:rsid w:val="44006D4C"/>
    <w:rsid w:val="4A655B5A"/>
    <w:rsid w:val="4AF56EDE"/>
    <w:rsid w:val="4D930EFA"/>
    <w:rsid w:val="525A1D1D"/>
    <w:rsid w:val="56C650A7"/>
    <w:rsid w:val="56FA774A"/>
    <w:rsid w:val="57A1098B"/>
    <w:rsid w:val="5878114F"/>
    <w:rsid w:val="598E7610"/>
    <w:rsid w:val="5A131BFF"/>
    <w:rsid w:val="5A3122A9"/>
    <w:rsid w:val="5DAF5613"/>
    <w:rsid w:val="5E6934F3"/>
    <w:rsid w:val="621E2D67"/>
    <w:rsid w:val="64081389"/>
    <w:rsid w:val="64F10C5C"/>
    <w:rsid w:val="66AB50D8"/>
    <w:rsid w:val="6C645530"/>
    <w:rsid w:val="70960848"/>
    <w:rsid w:val="710A6D82"/>
    <w:rsid w:val="7D5E6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295DAF"/>
  <w15:docId w15:val="{68197DE2-B1C9-47E5-8135-4AC01AD4D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11" w:qFormat="1"/>
    <w:lsdException w:name="heading 2" w:uiPriority="11" w:qFormat="1"/>
    <w:lsdException w:name="heading 3" w:uiPriority="11" w:qFormat="1"/>
    <w:lsdException w:name="heading 4" w:uiPriority="1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uiPriority="99" w:qFormat="1"/>
    <w:lsdException w:name="header" w:semiHidden="1" w:qFormat="1"/>
    <w:lsdException w:name="footer" w:semiHidden="1"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iPriority="99" w:qFormat="1"/>
    <w:lsdException w:name="line number" w:semiHidden="1" w:qFormat="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qFormat="1"/>
    <w:lsdException w:name="FollowedHyperlink" w:semiHidden="1"/>
    <w:lsdException w:name="Strong" w:uiPriority="22" w:qFormat="1"/>
    <w:lsdException w:name="Emphasis"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semiHidden/>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11"/>
    <w:qFormat/>
    <w:pPr>
      <w:keepNext/>
      <w:keepLines/>
      <w:widowControl/>
      <w:adjustRightInd w:val="0"/>
      <w:snapToGrid w:val="0"/>
      <w:spacing w:before="360" w:after="360"/>
      <w:outlineLvl w:val="0"/>
    </w:pPr>
    <w:rPr>
      <w:rFonts w:ascii="Times New Roman" w:eastAsia="Times New Roman" w:hAnsi="Times New Roman" w:cs="Times New Roman"/>
      <w:b/>
      <w:bCs/>
      <w:color w:val="000000"/>
      <w:kern w:val="44"/>
      <w:sz w:val="24"/>
    </w:rPr>
  </w:style>
  <w:style w:type="paragraph" w:styleId="2">
    <w:name w:val="heading 2"/>
    <w:basedOn w:val="a"/>
    <w:next w:val="a"/>
    <w:link w:val="20"/>
    <w:uiPriority w:val="11"/>
    <w:qFormat/>
    <w:pPr>
      <w:keepNext/>
      <w:keepLines/>
      <w:widowControl/>
      <w:adjustRightInd w:val="0"/>
      <w:snapToGrid w:val="0"/>
      <w:spacing w:before="240" w:after="240"/>
      <w:outlineLvl w:val="1"/>
    </w:pPr>
    <w:rPr>
      <w:rFonts w:ascii="Times New Roman" w:eastAsia="Times New Roman" w:hAnsi="Times New Roman" w:cs="Times New Roman"/>
      <w:b/>
      <w:bCs/>
      <w:i/>
      <w:color w:val="000000"/>
      <w:kern w:val="0"/>
      <w:szCs w:val="21"/>
    </w:rPr>
  </w:style>
  <w:style w:type="paragraph" w:styleId="3">
    <w:name w:val="heading 3"/>
    <w:basedOn w:val="a"/>
    <w:next w:val="a"/>
    <w:link w:val="30"/>
    <w:uiPriority w:val="11"/>
    <w:qFormat/>
    <w:pPr>
      <w:keepNext/>
      <w:keepLines/>
      <w:widowControl/>
      <w:adjustRightInd w:val="0"/>
      <w:snapToGrid w:val="0"/>
      <w:spacing w:before="160" w:after="160"/>
      <w:outlineLvl w:val="2"/>
    </w:pPr>
    <w:rPr>
      <w:rFonts w:ascii="Times New Roman" w:eastAsia="Times New Roman" w:hAnsi="Times New Roman" w:cs="Times New Roman"/>
      <w:bCs/>
      <w:i/>
      <w:color w:val="000000"/>
      <w:kern w:val="0"/>
      <w:szCs w:val="21"/>
    </w:rPr>
  </w:style>
  <w:style w:type="paragraph" w:styleId="4">
    <w:name w:val="heading 4"/>
    <w:basedOn w:val="a"/>
    <w:next w:val="a"/>
    <w:link w:val="40"/>
    <w:uiPriority w:val="11"/>
    <w:qFormat/>
    <w:pPr>
      <w:keepNext/>
      <w:keepLines/>
      <w:widowControl/>
      <w:spacing w:before="120" w:after="120"/>
      <w:outlineLvl w:val="3"/>
    </w:pPr>
    <w:rPr>
      <w:rFonts w:ascii="Times New Roman" w:eastAsia="Times New Roman" w:hAnsi="Times New Roman" w:cs="Times New Roman"/>
      <w:bCs/>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widowControl/>
      <w:adjustRightInd w:val="0"/>
      <w:snapToGrid w:val="0"/>
      <w:jc w:val="left"/>
    </w:pPr>
    <w:rPr>
      <w:rFonts w:ascii="Times New Roman" w:eastAsia="Times New Roman" w:hAnsi="Times New Roman" w:cs="Times New Roman"/>
      <w:kern w:val="0"/>
      <w:szCs w:val="21"/>
      <w:lang w:eastAsia="es-ES"/>
    </w:rPr>
  </w:style>
  <w:style w:type="paragraph" w:styleId="a5">
    <w:name w:val="Balloon Text"/>
    <w:basedOn w:val="a"/>
    <w:link w:val="a6"/>
    <w:semiHidden/>
    <w:qFormat/>
    <w:rPr>
      <w:sz w:val="18"/>
      <w:szCs w:val="18"/>
    </w:rPr>
  </w:style>
  <w:style w:type="paragraph" w:styleId="a7">
    <w:name w:val="footer"/>
    <w:basedOn w:val="a"/>
    <w:link w:val="a8"/>
    <w:semiHidden/>
    <w:qFormat/>
    <w:pPr>
      <w:tabs>
        <w:tab w:val="center" w:pos="4153"/>
        <w:tab w:val="right" w:pos="8306"/>
      </w:tabs>
      <w:snapToGrid w:val="0"/>
      <w:jc w:val="left"/>
    </w:pPr>
    <w:rPr>
      <w:sz w:val="18"/>
      <w:szCs w:val="18"/>
    </w:rPr>
  </w:style>
  <w:style w:type="paragraph" w:styleId="a9">
    <w:name w:val="header"/>
    <w:basedOn w:val="a"/>
    <w:link w:val="aa"/>
    <w:semiHidden/>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qFormat/>
    <w:pPr>
      <w:spacing w:beforeAutospacing="1" w:afterAutospacing="1"/>
      <w:jc w:val="left"/>
    </w:pPr>
    <w:rPr>
      <w:rFonts w:cs="Times New Roman"/>
      <w:kern w:val="0"/>
      <w:sz w:val="24"/>
    </w:rPr>
  </w:style>
  <w:style w:type="paragraph" w:styleId="ac">
    <w:name w:val="annotation subject"/>
    <w:basedOn w:val="a3"/>
    <w:next w:val="a3"/>
    <w:link w:val="ad"/>
    <w:semiHidden/>
    <w:qFormat/>
    <w:rPr>
      <w:b/>
      <w:bCs/>
    </w:rPr>
  </w:style>
  <w:style w:type="character" w:styleId="ae">
    <w:name w:val="Strong"/>
    <w:basedOn w:val="a0"/>
    <w:uiPriority w:val="22"/>
    <w:qFormat/>
    <w:rPr>
      <w:b/>
    </w:rPr>
  </w:style>
  <w:style w:type="character" w:styleId="af">
    <w:name w:val="line number"/>
    <w:basedOn w:val="a0"/>
    <w:semiHidden/>
    <w:qFormat/>
  </w:style>
  <w:style w:type="character" w:styleId="af0">
    <w:name w:val="Hyperlink"/>
    <w:basedOn w:val="a0"/>
    <w:uiPriority w:val="99"/>
    <w:semiHidden/>
    <w:qFormat/>
    <w:rPr>
      <w:color w:val="0000FF"/>
      <w:u w:val="single"/>
    </w:rPr>
  </w:style>
  <w:style w:type="character" w:styleId="af1">
    <w:name w:val="annotation reference"/>
    <w:basedOn w:val="a0"/>
    <w:uiPriority w:val="99"/>
    <w:semiHidden/>
    <w:qFormat/>
    <w:rPr>
      <w:sz w:val="21"/>
      <w:szCs w:val="21"/>
    </w:rPr>
  </w:style>
  <w:style w:type="character" w:customStyle="1" w:styleId="aa">
    <w:name w:val="页眉 字符"/>
    <w:basedOn w:val="a0"/>
    <w:link w:val="a9"/>
    <w:semiHidden/>
    <w:qFormat/>
    <w:rPr>
      <w:rFonts w:asciiTheme="minorHAnsi" w:eastAsiaTheme="minorEastAsia" w:hAnsiTheme="minorHAnsi" w:cstheme="minorBidi"/>
      <w:kern w:val="2"/>
      <w:sz w:val="18"/>
      <w:szCs w:val="18"/>
    </w:rPr>
  </w:style>
  <w:style w:type="character" w:customStyle="1" w:styleId="a8">
    <w:name w:val="页脚 字符"/>
    <w:basedOn w:val="a0"/>
    <w:link w:val="a7"/>
    <w:semiHidden/>
    <w:qFormat/>
    <w:rPr>
      <w:rFonts w:asciiTheme="minorHAnsi" w:eastAsiaTheme="minorEastAsia" w:hAnsiTheme="minorHAnsi" w:cstheme="minorBidi"/>
      <w:kern w:val="2"/>
      <w:sz w:val="18"/>
      <w:szCs w:val="18"/>
    </w:rPr>
  </w:style>
  <w:style w:type="character" w:customStyle="1" w:styleId="a6">
    <w:name w:val="批注框文本 字符"/>
    <w:basedOn w:val="a0"/>
    <w:link w:val="a5"/>
    <w:semiHidden/>
    <w:qFormat/>
    <w:rPr>
      <w:rFonts w:asciiTheme="minorHAnsi" w:eastAsiaTheme="minorEastAsia" w:hAnsiTheme="minorHAnsi" w:cstheme="minorBidi"/>
      <w:kern w:val="2"/>
      <w:sz w:val="18"/>
      <w:szCs w:val="18"/>
    </w:rPr>
  </w:style>
  <w:style w:type="paragraph" w:customStyle="1" w:styleId="Abstract">
    <w:name w:val="Abstract"/>
    <w:next w:val="a"/>
    <w:uiPriority w:val="9"/>
    <w:qFormat/>
    <w:pPr>
      <w:jc w:val="both"/>
    </w:pPr>
    <w:rPr>
      <w:rFonts w:eastAsia="Times New Roman"/>
      <w:color w:val="000000"/>
      <w:sz w:val="21"/>
      <w:szCs w:val="21"/>
      <w:lang w:eastAsia="de-DE" w:bidi="en-US"/>
    </w:rPr>
  </w:style>
  <w:style w:type="paragraph" w:customStyle="1" w:styleId="Academiceditor">
    <w:name w:val="Academic editor"/>
    <w:uiPriority w:val="6"/>
    <w:qFormat/>
    <w:pPr>
      <w:jc w:val="both"/>
    </w:pPr>
    <w:rPr>
      <w:rFonts w:eastAsia="Times New Roman"/>
      <w:color w:val="000000"/>
      <w:sz w:val="21"/>
      <w:szCs w:val="21"/>
      <w:lang w:eastAsia="de-DE" w:bidi="en-US"/>
    </w:rPr>
  </w:style>
  <w:style w:type="paragraph" w:customStyle="1" w:styleId="Affiliation">
    <w:name w:val="Affiliation"/>
    <w:uiPriority w:val="3"/>
    <w:qFormat/>
    <w:pPr>
      <w:jc w:val="both"/>
    </w:pPr>
    <w:rPr>
      <w:rFonts w:eastAsia="Times New Roman"/>
      <w:color w:val="000000"/>
      <w:sz w:val="21"/>
      <w:szCs w:val="21"/>
      <w:lang w:eastAsia="de-DE" w:bidi="en-US"/>
    </w:rPr>
  </w:style>
  <w:style w:type="paragraph" w:customStyle="1" w:styleId="Articletitle">
    <w:name w:val="Article title"/>
    <w:next w:val="a"/>
    <w:uiPriority w:val="1"/>
    <w:qFormat/>
    <w:pPr>
      <w:adjustRightInd w:val="0"/>
      <w:snapToGrid w:val="0"/>
      <w:jc w:val="both"/>
    </w:pPr>
    <w:rPr>
      <w:rFonts w:eastAsia="Times New Roman"/>
      <w:b/>
      <w:snapToGrid w:val="0"/>
      <w:color w:val="000000"/>
      <w:sz w:val="36"/>
      <w:lang w:eastAsia="de-DE" w:bidi="en-US"/>
    </w:rPr>
  </w:style>
  <w:style w:type="paragraph" w:customStyle="1" w:styleId="Articletype">
    <w:name w:val="Article type"/>
    <w:next w:val="a"/>
    <w:qFormat/>
    <w:pPr>
      <w:adjustRightInd w:val="0"/>
      <w:snapToGrid w:val="0"/>
    </w:pPr>
    <w:rPr>
      <w:rFonts w:eastAsia="Times New Roman"/>
      <w:i/>
      <w:snapToGrid w:val="0"/>
      <w:color w:val="000000"/>
      <w:szCs w:val="22"/>
      <w:lang w:eastAsia="de-DE" w:bidi="en-US"/>
    </w:rPr>
  </w:style>
  <w:style w:type="paragraph" w:customStyle="1" w:styleId="Authornames">
    <w:name w:val="Authornames"/>
    <w:next w:val="a"/>
    <w:uiPriority w:val="2"/>
    <w:qFormat/>
    <w:pPr>
      <w:jc w:val="both"/>
    </w:pPr>
    <w:rPr>
      <w:rFonts w:eastAsia="Times New Roman"/>
      <w:color w:val="000000"/>
      <w:sz w:val="21"/>
      <w:szCs w:val="21"/>
      <w:lang w:eastAsia="de-DE" w:bidi="en-US"/>
    </w:rPr>
  </w:style>
  <w:style w:type="paragraph" w:customStyle="1" w:styleId="Backmatter">
    <w:name w:val="Back matter"/>
    <w:uiPriority w:val="18"/>
    <w:qFormat/>
    <w:pPr>
      <w:adjustRightInd w:val="0"/>
      <w:snapToGrid w:val="0"/>
      <w:spacing w:beforeLines="50" w:before="50" w:afterLines="50" w:after="50"/>
      <w:jc w:val="both"/>
    </w:pPr>
    <w:rPr>
      <w:rFonts w:eastAsia="Times New Roman"/>
      <w:b/>
      <w:snapToGrid w:val="0"/>
      <w:color w:val="000000"/>
      <w:sz w:val="24"/>
      <w:szCs w:val="24"/>
      <w:lang w:eastAsia="en-US" w:bidi="en-US"/>
    </w:rPr>
  </w:style>
  <w:style w:type="paragraph" w:customStyle="1" w:styleId="Bullet">
    <w:name w:val="Bullet"/>
    <w:uiPriority w:val="16"/>
    <w:semiHidden/>
    <w:qFormat/>
    <w:pPr>
      <w:numPr>
        <w:numId w:val="1"/>
      </w:numPr>
      <w:adjustRightInd w:val="0"/>
      <w:snapToGrid w:val="0"/>
      <w:spacing w:before="40" w:after="40"/>
      <w:ind w:hangingChars="200" w:hanging="200"/>
      <w:jc w:val="both"/>
    </w:pPr>
    <w:rPr>
      <w:rFonts w:eastAsia="Times New Roman"/>
      <w:color w:val="000000"/>
      <w:sz w:val="21"/>
      <w:szCs w:val="21"/>
      <w:lang w:eastAsia="de-DE" w:bidi="en-US"/>
    </w:rPr>
  </w:style>
  <w:style w:type="paragraph" w:customStyle="1" w:styleId="E-mail">
    <w:name w:val="E-mail"/>
    <w:link w:val="E-mail0"/>
    <w:uiPriority w:val="5"/>
    <w:qFormat/>
    <w:rPr>
      <w:rFonts w:eastAsia="Times New Roman"/>
      <w:snapToGrid w:val="0"/>
      <w:color w:val="000000"/>
      <w:sz w:val="21"/>
      <w:szCs w:val="21"/>
      <w:lang w:eastAsia="de-DE" w:bidi="en-US"/>
    </w:rPr>
  </w:style>
  <w:style w:type="character" w:customStyle="1" w:styleId="E-mail0">
    <w:name w:val="E-mail 字符"/>
    <w:basedOn w:val="a0"/>
    <w:link w:val="E-mail"/>
    <w:uiPriority w:val="5"/>
    <w:qFormat/>
    <w:rPr>
      <w:rFonts w:eastAsia="Times New Roman"/>
      <w:snapToGrid w:val="0"/>
      <w:color w:val="000000"/>
      <w:sz w:val="21"/>
      <w:szCs w:val="21"/>
      <w:lang w:eastAsia="de-DE" w:bidi="en-US"/>
    </w:rPr>
  </w:style>
  <w:style w:type="paragraph" w:customStyle="1" w:styleId="Equation">
    <w:name w:val="Equation"/>
    <w:uiPriority w:val="17"/>
    <w:qFormat/>
    <w:pPr>
      <w:adjustRightInd w:val="0"/>
      <w:snapToGrid w:val="0"/>
      <w:spacing w:before="60" w:after="60"/>
      <w:ind w:left="709"/>
      <w:jc w:val="center"/>
    </w:pPr>
    <w:rPr>
      <w:rFonts w:eastAsia="Times New Roman"/>
      <w:snapToGrid w:val="0"/>
      <w:color w:val="000000"/>
      <w:sz w:val="21"/>
      <w:szCs w:val="21"/>
      <w:lang w:eastAsia="de-DE" w:bidi="en-US"/>
    </w:rPr>
  </w:style>
  <w:style w:type="paragraph" w:customStyle="1" w:styleId="Figure">
    <w:name w:val="Figure"/>
    <w:uiPriority w:val="16"/>
    <w:qFormat/>
    <w:pPr>
      <w:adjustRightInd w:val="0"/>
      <w:snapToGrid w:val="0"/>
      <w:jc w:val="center"/>
    </w:pPr>
    <w:rPr>
      <w:rFonts w:eastAsia="Times New Roman"/>
      <w:snapToGrid w:val="0"/>
      <w:color w:val="000000"/>
      <w:sz w:val="21"/>
      <w:szCs w:val="21"/>
      <w:lang w:eastAsia="de-DE" w:bidi="en-US"/>
    </w:rPr>
  </w:style>
  <w:style w:type="paragraph" w:customStyle="1" w:styleId="Figurecaption">
    <w:name w:val="Figure caption"/>
    <w:uiPriority w:val="16"/>
    <w:qFormat/>
    <w:pPr>
      <w:jc w:val="both"/>
    </w:pPr>
    <w:rPr>
      <w:rFonts w:eastAsia="Times New Roman"/>
      <w:color w:val="000000"/>
      <w:sz w:val="21"/>
      <w:szCs w:val="21"/>
      <w:lang w:eastAsia="de-DE" w:bidi="en-US"/>
    </w:rPr>
  </w:style>
  <w:style w:type="paragraph" w:customStyle="1" w:styleId="Figuretitle">
    <w:name w:val="Figure title"/>
    <w:uiPriority w:val="13"/>
    <w:semiHidden/>
    <w:qFormat/>
    <w:pPr>
      <w:adjustRightInd w:val="0"/>
      <w:snapToGrid w:val="0"/>
      <w:spacing w:after="100" w:afterAutospacing="1"/>
      <w:jc w:val="center"/>
    </w:pPr>
    <w:rPr>
      <w:rFonts w:eastAsia="Times New Roman"/>
      <w:b/>
      <w:color w:val="000000"/>
      <w:sz w:val="21"/>
      <w:szCs w:val="21"/>
      <w:lang w:bidi="en-US"/>
    </w:rPr>
  </w:style>
  <w:style w:type="paragraph" w:customStyle="1" w:styleId="history">
    <w:name w:val="history"/>
    <w:basedOn w:val="a"/>
    <w:next w:val="a"/>
    <w:semiHidden/>
    <w:qFormat/>
    <w:pPr>
      <w:widowControl/>
      <w:adjustRightInd w:val="0"/>
      <w:snapToGrid w:val="0"/>
      <w:jc w:val="left"/>
    </w:pPr>
    <w:rPr>
      <w:rFonts w:ascii="Times New Roman" w:eastAsia="Times New Roman" w:hAnsi="Times New Roman" w:cs="Times New Roman"/>
      <w:color w:val="000000"/>
      <w:kern w:val="0"/>
      <w:szCs w:val="21"/>
      <w:lang w:eastAsia="de-DE" w:bidi="en-US"/>
    </w:rPr>
  </w:style>
  <w:style w:type="paragraph" w:customStyle="1" w:styleId="Keywords">
    <w:name w:val="Keywords"/>
    <w:next w:val="a"/>
    <w:link w:val="Keywords0"/>
    <w:uiPriority w:val="10"/>
    <w:qFormat/>
    <w:pPr>
      <w:adjustRightInd w:val="0"/>
      <w:snapToGrid w:val="0"/>
      <w:jc w:val="both"/>
    </w:pPr>
    <w:rPr>
      <w:rFonts w:eastAsia="Times New Roman"/>
      <w:snapToGrid w:val="0"/>
      <w:color w:val="000000"/>
      <w:sz w:val="21"/>
      <w:szCs w:val="21"/>
      <w:lang w:eastAsia="de-DE" w:bidi="en-US"/>
    </w:rPr>
  </w:style>
  <w:style w:type="character" w:customStyle="1" w:styleId="Keywords0">
    <w:name w:val="Keywords 字符"/>
    <w:basedOn w:val="a0"/>
    <w:link w:val="Keywords"/>
    <w:uiPriority w:val="10"/>
    <w:qFormat/>
    <w:rPr>
      <w:rFonts w:eastAsia="Times New Roman"/>
      <w:snapToGrid w:val="0"/>
      <w:color w:val="000000"/>
      <w:sz w:val="21"/>
      <w:szCs w:val="21"/>
      <w:lang w:eastAsia="de-DE" w:bidi="en-US"/>
    </w:rPr>
  </w:style>
  <w:style w:type="paragraph" w:customStyle="1" w:styleId="line">
    <w:name w:val="line"/>
    <w:uiPriority w:val="20"/>
    <w:semiHidden/>
    <w:qFormat/>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 w:val="21"/>
      <w:szCs w:val="24"/>
      <w:lang w:eastAsia="de-DE" w:bidi="en-US"/>
    </w:rPr>
  </w:style>
  <w:style w:type="paragraph" w:customStyle="1" w:styleId="Reference">
    <w:name w:val="Reference"/>
    <w:link w:val="Reference0"/>
    <w:uiPriority w:val="19"/>
    <w:qFormat/>
    <w:pPr>
      <w:ind w:left="200" w:hangingChars="200" w:hanging="200"/>
      <w:jc w:val="both"/>
    </w:pPr>
    <w:rPr>
      <w:rFonts w:eastAsia="Times New Roman"/>
      <w:snapToGrid w:val="0"/>
      <w:color w:val="000000"/>
      <w:sz w:val="18"/>
      <w:szCs w:val="21"/>
      <w:lang w:eastAsia="de-DE" w:bidi="en-US"/>
    </w:rPr>
  </w:style>
  <w:style w:type="character" w:customStyle="1" w:styleId="Reference0">
    <w:name w:val="Reference 字符"/>
    <w:basedOn w:val="Keywords0"/>
    <w:link w:val="Reference"/>
    <w:uiPriority w:val="19"/>
    <w:qFormat/>
    <w:rPr>
      <w:rFonts w:eastAsia="Times New Roman"/>
      <w:snapToGrid w:val="0"/>
      <w:color w:val="000000"/>
      <w:sz w:val="18"/>
      <w:szCs w:val="21"/>
      <w:lang w:eastAsia="de-DE" w:bidi="en-US"/>
    </w:rPr>
  </w:style>
  <w:style w:type="paragraph" w:customStyle="1" w:styleId="References">
    <w:name w:val="References"/>
    <w:uiPriority w:val="99"/>
    <w:semiHidden/>
    <w:qFormat/>
    <w:pPr>
      <w:numPr>
        <w:numId w:val="2"/>
      </w:numPr>
      <w:adjustRightInd w:val="0"/>
      <w:snapToGrid w:val="0"/>
      <w:jc w:val="both"/>
    </w:pPr>
    <w:rPr>
      <w:rFonts w:eastAsia="Times New Roman"/>
      <w:color w:val="000000"/>
      <w:sz w:val="21"/>
      <w:szCs w:val="21"/>
      <w:lang w:eastAsia="de-DE" w:bidi="en-US"/>
    </w:rPr>
  </w:style>
  <w:style w:type="paragraph" w:customStyle="1" w:styleId="Tablebody">
    <w:name w:val="Table body"/>
    <w:uiPriority w:val="13"/>
    <w:qFormat/>
    <w:pPr>
      <w:jc w:val="both"/>
    </w:pPr>
    <w:rPr>
      <w:rFonts w:eastAsia="Times New Roman"/>
      <w:snapToGrid w:val="0"/>
      <w:color w:val="000000"/>
      <w:sz w:val="21"/>
      <w:szCs w:val="21"/>
      <w:lang w:eastAsia="de-DE" w:bidi="en-US"/>
    </w:rPr>
  </w:style>
  <w:style w:type="paragraph" w:customStyle="1" w:styleId="Tablecaption">
    <w:name w:val="Table caption"/>
    <w:uiPriority w:val="14"/>
    <w:qFormat/>
    <w:pPr>
      <w:adjustRightInd w:val="0"/>
      <w:snapToGrid w:val="0"/>
      <w:spacing w:beforeLines="100" w:before="100" w:afterLines="100" w:after="100"/>
      <w:jc w:val="center"/>
    </w:pPr>
    <w:rPr>
      <w:rFonts w:eastAsia="Times New Roman"/>
      <w:b/>
      <w:color w:val="000000"/>
      <w:sz w:val="21"/>
      <w:szCs w:val="24"/>
      <w:lang w:bidi="en-US"/>
    </w:rPr>
  </w:style>
  <w:style w:type="paragraph" w:customStyle="1" w:styleId="Tablefooter">
    <w:name w:val="Table footer"/>
    <w:next w:val="a"/>
    <w:uiPriority w:val="15"/>
    <w:qFormat/>
    <w:pPr>
      <w:jc w:val="both"/>
    </w:pPr>
    <w:rPr>
      <w:rFonts w:eastAsia="Times New Roman"/>
      <w:color w:val="000000"/>
      <w:sz w:val="21"/>
      <w:szCs w:val="21"/>
      <w:lang w:eastAsia="de-DE" w:bidi="en-US"/>
    </w:rPr>
  </w:style>
  <w:style w:type="paragraph" w:customStyle="1" w:styleId="Text">
    <w:name w:val="Text"/>
    <w:link w:val="Text0"/>
    <w:uiPriority w:val="12"/>
    <w:qFormat/>
    <w:pPr>
      <w:ind w:firstLineChars="200" w:firstLine="200"/>
      <w:jc w:val="both"/>
    </w:pPr>
    <w:rPr>
      <w:rFonts w:eastAsia="Times New Roman"/>
      <w:snapToGrid w:val="0"/>
      <w:color w:val="000000"/>
      <w:sz w:val="21"/>
      <w:szCs w:val="28"/>
      <w:lang w:eastAsia="de-DE" w:bidi="en-US"/>
    </w:rPr>
  </w:style>
  <w:style w:type="character" w:customStyle="1" w:styleId="Text0">
    <w:name w:val="Text 字符"/>
    <w:basedOn w:val="a0"/>
    <w:link w:val="Text"/>
    <w:uiPriority w:val="12"/>
    <w:qFormat/>
    <w:rPr>
      <w:rFonts w:eastAsia="Times New Roman"/>
      <w:snapToGrid w:val="0"/>
      <w:color w:val="000000"/>
      <w:sz w:val="21"/>
      <w:szCs w:val="28"/>
      <w:lang w:eastAsia="de-DE" w:bidi="en-US"/>
    </w:rPr>
  </w:style>
  <w:style w:type="character" w:customStyle="1" w:styleId="10">
    <w:name w:val="标题 1 字符"/>
    <w:basedOn w:val="a0"/>
    <w:link w:val="1"/>
    <w:uiPriority w:val="11"/>
    <w:qFormat/>
    <w:rPr>
      <w:rFonts w:eastAsia="Times New Roman"/>
      <w:b/>
      <w:bCs/>
      <w:color w:val="000000"/>
      <w:kern w:val="44"/>
      <w:sz w:val="24"/>
      <w:szCs w:val="24"/>
    </w:rPr>
  </w:style>
  <w:style w:type="character" w:customStyle="1" w:styleId="20">
    <w:name w:val="标题 2 字符"/>
    <w:basedOn w:val="a0"/>
    <w:link w:val="2"/>
    <w:uiPriority w:val="11"/>
    <w:qFormat/>
    <w:rPr>
      <w:rFonts w:eastAsia="Times New Roman"/>
      <w:b/>
      <w:bCs/>
      <w:i/>
      <w:color w:val="000000"/>
      <w:sz w:val="21"/>
      <w:szCs w:val="21"/>
    </w:rPr>
  </w:style>
  <w:style w:type="character" w:customStyle="1" w:styleId="30">
    <w:name w:val="标题 3 字符"/>
    <w:basedOn w:val="a0"/>
    <w:link w:val="3"/>
    <w:uiPriority w:val="11"/>
    <w:qFormat/>
    <w:rPr>
      <w:rFonts w:eastAsia="Times New Roman"/>
      <w:bCs/>
      <w:i/>
      <w:color w:val="000000"/>
      <w:sz w:val="21"/>
      <w:szCs w:val="21"/>
    </w:rPr>
  </w:style>
  <w:style w:type="paragraph" w:styleId="af2">
    <w:name w:val="List Paragraph"/>
    <w:basedOn w:val="a"/>
    <w:uiPriority w:val="1"/>
    <w:qFormat/>
    <w:pPr>
      <w:ind w:firstLineChars="200" w:firstLine="420"/>
    </w:pPr>
  </w:style>
  <w:style w:type="character" w:customStyle="1" w:styleId="11">
    <w:name w:val="未处理的提及1"/>
    <w:basedOn w:val="a0"/>
    <w:uiPriority w:val="99"/>
    <w:semiHidden/>
    <w:qFormat/>
    <w:rPr>
      <w:color w:val="605E5C"/>
      <w:shd w:val="clear" w:color="auto" w:fill="E1DFDD"/>
    </w:rPr>
  </w:style>
  <w:style w:type="character" w:customStyle="1" w:styleId="a4">
    <w:name w:val="批注文字 字符"/>
    <w:basedOn w:val="a0"/>
    <w:link w:val="a3"/>
    <w:uiPriority w:val="99"/>
    <w:qFormat/>
    <w:rPr>
      <w:rFonts w:eastAsia="Times New Roman"/>
      <w:sz w:val="21"/>
      <w:szCs w:val="21"/>
      <w:lang w:eastAsia="es-ES"/>
    </w:rPr>
  </w:style>
  <w:style w:type="character" w:customStyle="1" w:styleId="ad">
    <w:name w:val="批注主题 字符"/>
    <w:basedOn w:val="a4"/>
    <w:link w:val="ac"/>
    <w:semiHidden/>
    <w:qFormat/>
    <w:rPr>
      <w:rFonts w:eastAsia="Times New Roman"/>
      <w:b/>
      <w:bCs/>
      <w:sz w:val="21"/>
      <w:szCs w:val="21"/>
      <w:lang w:eastAsia="es-ES"/>
    </w:rPr>
  </w:style>
  <w:style w:type="paragraph" w:customStyle="1" w:styleId="Backmattertext">
    <w:name w:val="Back matter text"/>
    <w:link w:val="Backmattertext0"/>
    <w:uiPriority w:val="19"/>
    <w:qFormat/>
    <w:pPr>
      <w:ind w:firstLineChars="200" w:firstLine="200"/>
      <w:jc w:val="both"/>
    </w:pPr>
    <w:rPr>
      <w:rFonts w:eastAsia="Times New Roman"/>
      <w:snapToGrid w:val="0"/>
      <w:color w:val="000000"/>
      <w:sz w:val="21"/>
      <w:szCs w:val="22"/>
      <w:lang w:eastAsia="de-DE" w:bidi="en-US"/>
    </w:rPr>
  </w:style>
  <w:style w:type="character" w:customStyle="1" w:styleId="Backmattertext0">
    <w:name w:val="Back matter text 字符"/>
    <w:basedOn w:val="a0"/>
    <w:link w:val="Backmattertext"/>
    <w:uiPriority w:val="19"/>
    <w:qFormat/>
    <w:rPr>
      <w:rFonts w:eastAsia="Times New Roman"/>
      <w:snapToGrid w:val="0"/>
      <w:color w:val="000000"/>
      <w:sz w:val="21"/>
      <w:szCs w:val="22"/>
      <w:lang w:eastAsia="de-DE" w:bidi="en-US"/>
    </w:rPr>
  </w:style>
  <w:style w:type="paragraph" w:customStyle="1" w:styleId="Frontmatter">
    <w:name w:val="Front matter"/>
    <w:uiPriority w:val="8"/>
    <w:qFormat/>
    <w:pPr>
      <w:spacing w:beforeLines="50" w:before="50" w:afterLines="50" w:after="50"/>
      <w:jc w:val="both"/>
    </w:pPr>
    <w:rPr>
      <w:rFonts w:eastAsia="Times New Roman"/>
      <w:b/>
      <w:snapToGrid w:val="0"/>
      <w:color w:val="000000"/>
      <w:sz w:val="24"/>
      <w:szCs w:val="22"/>
      <w:lang w:eastAsia="de-DE" w:bidi="en-US"/>
    </w:rPr>
  </w:style>
  <w:style w:type="paragraph" w:customStyle="1" w:styleId="Historytime">
    <w:name w:val="History time"/>
    <w:next w:val="Articletype"/>
    <w:uiPriority w:val="7"/>
    <w:qFormat/>
    <w:rPr>
      <w:rFonts w:eastAsia="Times New Roman"/>
      <w:color w:val="000000"/>
      <w:sz w:val="21"/>
      <w:szCs w:val="21"/>
      <w:lang w:eastAsia="de-DE" w:bidi="en-US"/>
    </w:rPr>
  </w:style>
  <w:style w:type="character" w:customStyle="1" w:styleId="40">
    <w:name w:val="标题 4 字符"/>
    <w:basedOn w:val="a0"/>
    <w:link w:val="4"/>
    <w:uiPriority w:val="11"/>
    <w:qFormat/>
    <w:rPr>
      <w:rFonts w:eastAsia="Times New Roman"/>
      <w:bCs/>
      <w:color w:val="000000"/>
      <w:sz w:val="21"/>
      <w:szCs w:val="21"/>
    </w:rPr>
  </w:style>
  <w:style w:type="paragraph" w:customStyle="1" w:styleId="12">
    <w:name w:val="修订1"/>
    <w:hidden/>
    <w:uiPriority w:val="99"/>
    <w:semiHidden/>
    <w:qFormat/>
    <w:rPr>
      <w:rFonts w:asciiTheme="minorHAnsi" w:eastAsiaTheme="minorEastAsia" w:hAnsiTheme="minorHAnsi" w:cstheme="minorBidi"/>
      <w:kern w:val="2"/>
      <w:sz w:val="21"/>
      <w:szCs w:val="24"/>
    </w:rPr>
  </w:style>
  <w:style w:type="paragraph" w:styleId="af3">
    <w:name w:val="Revision"/>
    <w:hidden/>
    <w:uiPriority w:val="99"/>
    <w:semiHidden/>
    <w:rsid w:val="0092332C"/>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51253">
      <w:bodyDiv w:val="1"/>
      <w:marLeft w:val="0"/>
      <w:marRight w:val="0"/>
      <w:marTop w:val="0"/>
      <w:marBottom w:val="0"/>
      <w:divBdr>
        <w:top w:val="none" w:sz="0" w:space="0" w:color="auto"/>
        <w:left w:val="none" w:sz="0" w:space="0" w:color="auto"/>
        <w:bottom w:val="none" w:sz="0" w:space="0" w:color="auto"/>
        <w:right w:val="none" w:sz="0" w:space="0" w:color="auto"/>
      </w:divBdr>
      <w:divsChild>
        <w:div w:id="822310090">
          <w:marLeft w:val="0"/>
          <w:marRight w:val="0"/>
          <w:marTop w:val="0"/>
          <w:marBottom w:val="0"/>
          <w:divBdr>
            <w:top w:val="none" w:sz="0" w:space="0" w:color="auto"/>
            <w:left w:val="none" w:sz="0" w:space="0" w:color="auto"/>
            <w:bottom w:val="none" w:sz="0" w:space="0" w:color="auto"/>
            <w:right w:val="none" w:sz="0" w:space="0" w:color="auto"/>
          </w:divBdr>
          <w:divsChild>
            <w:div w:id="1906984562">
              <w:marLeft w:val="0"/>
              <w:marRight w:val="0"/>
              <w:marTop w:val="0"/>
              <w:marBottom w:val="0"/>
              <w:divBdr>
                <w:top w:val="none" w:sz="0" w:space="0" w:color="auto"/>
                <w:left w:val="none" w:sz="0" w:space="0" w:color="auto"/>
                <w:bottom w:val="none" w:sz="0" w:space="0" w:color="auto"/>
                <w:right w:val="none" w:sz="0" w:space="0" w:color="auto"/>
              </w:divBdr>
              <w:divsChild>
                <w:div w:id="637759332">
                  <w:marLeft w:val="0"/>
                  <w:marRight w:val="0"/>
                  <w:marTop w:val="0"/>
                  <w:marBottom w:val="0"/>
                  <w:divBdr>
                    <w:top w:val="none" w:sz="0" w:space="0" w:color="auto"/>
                    <w:left w:val="none" w:sz="0" w:space="0" w:color="auto"/>
                    <w:bottom w:val="none" w:sz="0" w:space="0" w:color="auto"/>
                    <w:right w:val="none" w:sz="0" w:space="0" w:color="auto"/>
                  </w:divBdr>
                  <w:divsChild>
                    <w:div w:id="1851529682">
                      <w:marLeft w:val="0"/>
                      <w:marRight w:val="0"/>
                      <w:marTop w:val="0"/>
                      <w:marBottom w:val="0"/>
                      <w:divBdr>
                        <w:top w:val="none" w:sz="0" w:space="0" w:color="auto"/>
                        <w:left w:val="none" w:sz="0" w:space="0" w:color="auto"/>
                        <w:bottom w:val="none" w:sz="0" w:space="0" w:color="auto"/>
                        <w:right w:val="none" w:sz="0" w:space="0" w:color="auto"/>
                      </w:divBdr>
                      <w:divsChild>
                        <w:div w:id="806165105">
                          <w:marLeft w:val="0"/>
                          <w:marRight w:val="0"/>
                          <w:marTop w:val="0"/>
                          <w:marBottom w:val="0"/>
                          <w:divBdr>
                            <w:top w:val="none" w:sz="0" w:space="0" w:color="auto"/>
                            <w:left w:val="none" w:sz="0" w:space="0" w:color="auto"/>
                            <w:bottom w:val="none" w:sz="0" w:space="0" w:color="auto"/>
                            <w:right w:val="none" w:sz="0" w:space="0" w:color="auto"/>
                          </w:divBdr>
                          <w:divsChild>
                            <w:div w:id="31198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992230">
      <w:bodyDiv w:val="1"/>
      <w:marLeft w:val="0"/>
      <w:marRight w:val="0"/>
      <w:marTop w:val="0"/>
      <w:marBottom w:val="0"/>
      <w:divBdr>
        <w:top w:val="none" w:sz="0" w:space="0" w:color="auto"/>
        <w:left w:val="none" w:sz="0" w:space="0" w:color="auto"/>
        <w:bottom w:val="none" w:sz="0" w:space="0" w:color="auto"/>
        <w:right w:val="none" w:sz="0" w:space="0" w:color="auto"/>
      </w:divBdr>
      <w:divsChild>
        <w:div w:id="1591696648">
          <w:marLeft w:val="0"/>
          <w:marRight w:val="0"/>
          <w:marTop w:val="0"/>
          <w:marBottom w:val="0"/>
          <w:divBdr>
            <w:top w:val="none" w:sz="0" w:space="0" w:color="auto"/>
            <w:left w:val="none" w:sz="0" w:space="0" w:color="auto"/>
            <w:bottom w:val="none" w:sz="0" w:space="0" w:color="auto"/>
            <w:right w:val="none" w:sz="0" w:space="0" w:color="auto"/>
          </w:divBdr>
          <w:divsChild>
            <w:div w:id="1379278602">
              <w:marLeft w:val="0"/>
              <w:marRight w:val="0"/>
              <w:marTop w:val="0"/>
              <w:marBottom w:val="0"/>
              <w:divBdr>
                <w:top w:val="none" w:sz="0" w:space="0" w:color="auto"/>
                <w:left w:val="none" w:sz="0" w:space="0" w:color="auto"/>
                <w:bottom w:val="none" w:sz="0" w:space="0" w:color="auto"/>
                <w:right w:val="none" w:sz="0" w:space="0" w:color="auto"/>
              </w:divBdr>
              <w:divsChild>
                <w:div w:id="1430197755">
                  <w:marLeft w:val="0"/>
                  <w:marRight w:val="0"/>
                  <w:marTop w:val="0"/>
                  <w:marBottom w:val="0"/>
                  <w:divBdr>
                    <w:top w:val="none" w:sz="0" w:space="0" w:color="auto"/>
                    <w:left w:val="none" w:sz="0" w:space="0" w:color="auto"/>
                    <w:bottom w:val="none" w:sz="0" w:space="0" w:color="auto"/>
                    <w:right w:val="none" w:sz="0" w:space="0" w:color="auto"/>
                  </w:divBdr>
                  <w:divsChild>
                    <w:div w:id="104886956">
                      <w:marLeft w:val="0"/>
                      <w:marRight w:val="0"/>
                      <w:marTop w:val="0"/>
                      <w:marBottom w:val="0"/>
                      <w:divBdr>
                        <w:top w:val="none" w:sz="0" w:space="0" w:color="auto"/>
                        <w:left w:val="none" w:sz="0" w:space="0" w:color="auto"/>
                        <w:bottom w:val="none" w:sz="0" w:space="0" w:color="auto"/>
                        <w:right w:val="none" w:sz="0" w:space="0" w:color="auto"/>
                      </w:divBdr>
                      <w:divsChild>
                        <w:div w:id="509833361">
                          <w:marLeft w:val="0"/>
                          <w:marRight w:val="0"/>
                          <w:marTop w:val="0"/>
                          <w:marBottom w:val="0"/>
                          <w:divBdr>
                            <w:top w:val="none" w:sz="0" w:space="0" w:color="auto"/>
                            <w:left w:val="none" w:sz="0" w:space="0" w:color="auto"/>
                            <w:bottom w:val="none" w:sz="0" w:space="0" w:color="auto"/>
                            <w:right w:val="none" w:sz="0" w:space="0" w:color="auto"/>
                          </w:divBdr>
                          <w:divsChild>
                            <w:div w:id="186267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6CEFD-A5B8-482B-8916-6F5176BF3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6495</Words>
  <Characters>37022</Characters>
  <Application>Microsoft Office Word</Application>
  <DocSecurity>0</DocSecurity>
  <Lines>308</Lines>
  <Paragraphs>86</Paragraphs>
  <ScaleCrop>false</ScaleCrop>
  <Company/>
  <LinksUpToDate>false</LinksUpToDate>
  <CharactersWithSpaces>43431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Adminstrator</dc:creator>
  <cp:lastModifiedBy>Minnie</cp:lastModifiedBy>
  <cp:revision>2</cp:revision>
  <cp:lastPrinted>2025-11-26T09:11:00Z</cp:lastPrinted>
  <dcterms:created xsi:type="dcterms:W3CDTF">2026-04-30T02:01:00Z</dcterms:created>
  <dcterms:modified xsi:type="dcterms:W3CDTF">2026-04-30T02:01:00Z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E225934FFD934F0E9711FA512AA4A0CA_13</vt:lpwstr>
  </property>
  <property fmtid="{D5CDD505-2E9C-101B-9397-08002B2CF9AE}" pid="4" name="KSOTemplateDocerSaveRecord">
    <vt:lpwstr>eyJoZGlkIjoiZDYyZGFjM2JhNTQ4NDE3ODk2MmZmNDczZTY5ZGFhMTMiLCJ1c2VySWQiOiIxNjY5NjI4ODgzIn0=</vt:lpwstr>
  </property>
  <property fmtid="{D5CDD505-2E9C-101B-9397-08002B2CF9AE}" pid="5" name="GrammarlyDocumentId">
    <vt:lpwstr>8626f97a-2ad3-49c0-b31f-61cc485e9f5f</vt:lpwstr>
  </property>
</Properties>
</file>