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D2222D" w14:textId="7566A2FB" w:rsidR="00555E42" w:rsidRPr="00E915DB" w:rsidRDefault="00555E42" w:rsidP="00DB5BD1">
      <w:pPr>
        <w:pStyle w:val="Articletype"/>
      </w:pPr>
      <w:r w:rsidRPr="00E915DB">
        <w:rPr>
          <w:shd w:val="clear" w:color="auto" w:fill="FFFFFF"/>
        </w:rPr>
        <w:t>Review</w:t>
      </w:r>
    </w:p>
    <w:p w14:paraId="002077CF" w14:textId="7C5857D9" w:rsidR="002424D1" w:rsidRPr="00E915DB" w:rsidRDefault="00D13531" w:rsidP="00DB5BD1">
      <w:pPr>
        <w:pStyle w:val="Articletitle"/>
      </w:pPr>
      <w:r w:rsidRPr="00E915DB">
        <w:t xml:space="preserve">Signs o’ the Times. The Quiet Revolution of Molecular Pathology in </w:t>
      </w:r>
      <w:r w:rsidR="00264C75" w:rsidRPr="00E915DB">
        <w:t>Gynecologic Oncology</w:t>
      </w:r>
      <w:r w:rsidR="004A3022" w:rsidRPr="00E915DB">
        <w:t>: A Narrative Review</w:t>
      </w:r>
    </w:p>
    <w:p w14:paraId="048001CB" w14:textId="77777777" w:rsidR="00963941" w:rsidRPr="00E915DB" w:rsidRDefault="00963941" w:rsidP="00963941">
      <w:pPr>
        <w:pStyle w:val="Authornames"/>
        <w:rPr>
          <w:vertAlign w:val="superscript"/>
          <w:lang w:val="it-IT"/>
        </w:rPr>
      </w:pPr>
      <w:r w:rsidRPr="00E915DB">
        <w:rPr>
          <w:lang w:val="it-IT"/>
        </w:rPr>
        <w:t>Valerio Gaetano Vellone</w:t>
      </w:r>
      <w:r w:rsidRPr="00E915DB">
        <w:rPr>
          <w:vertAlign w:val="superscript"/>
          <w:lang w:val="it-IT"/>
        </w:rPr>
        <w:t>1,2,</w:t>
      </w:r>
      <w:r w:rsidRPr="00E915DB">
        <w:rPr>
          <w:lang w:val="it-IT"/>
        </w:rPr>
        <w:t>*, Michele Paudice</w:t>
      </w:r>
      <w:r w:rsidRPr="00E915DB">
        <w:rPr>
          <w:vertAlign w:val="superscript"/>
          <w:lang w:val="it-IT"/>
        </w:rPr>
        <w:t>2,3</w:t>
      </w:r>
      <w:r w:rsidRPr="00E915DB">
        <w:rPr>
          <w:lang w:val="it-IT"/>
        </w:rPr>
        <w:t>, Gabriele Gaggero</w:t>
      </w:r>
      <w:r w:rsidRPr="00E915DB">
        <w:rPr>
          <w:vertAlign w:val="superscript"/>
          <w:lang w:val="it-IT"/>
        </w:rPr>
        <w:t>1</w:t>
      </w:r>
      <w:r w:rsidRPr="00E915DB">
        <w:rPr>
          <w:lang w:val="it-IT"/>
        </w:rPr>
        <w:t>, Francesca Buffelli</w:t>
      </w:r>
      <w:r w:rsidRPr="00E915DB">
        <w:rPr>
          <w:vertAlign w:val="superscript"/>
          <w:lang w:val="it-IT"/>
        </w:rPr>
        <w:t>1</w:t>
      </w:r>
      <w:r w:rsidRPr="00E915DB">
        <w:rPr>
          <w:lang w:val="it-IT"/>
        </w:rPr>
        <w:t>, Katia Mazzocco</w:t>
      </w:r>
      <w:r w:rsidRPr="00E915DB">
        <w:rPr>
          <w:vertAlign w:val="superscript"/>
          <w:lang w:val="it-IT"/>
        </w:rPr>
        <w:t>1</w:t>
      </w:r>
      <w:r w:rsidRPr="00E915DB">
        <w:rPr>
          <w:lang w:val="it-IT"/>
        </w:rPr>
        <w:t>, Roberta Musso</w:t>
      </w:r>
      <w:r w:rsidRPr="00E915DB">
        <w:rPr>
          <w:vertAlign w:val="superscript"/>
          <w:lang w:val="it-IT"/>
        </w:rPr>
        <w:t>1</w:t>
      </w:r>
      <w:r w:rsidRPr="00E915DB">
        <w:rPr>
          <w:lang w:val="it-IT"/>
        </w:rPr>
        <w:t>, Maria Teresa Gambaudo</w:t>
      </w:r>
      <w:r w:rsidRPr="00E915DB">
        <w:rPr>
          <w:vertAlign w:val="superscript"/>
          <w:lang w:val="it-IT"/>
        </w:rPr>
        <w:t>1</w:t>
      </w:r>
      <w:r w:rsidRPr="00E915DB">
        <w:rPr>
          <w:lang w:val="it-IT"/>
        </w:rPr>
        <w:t>, Serafina Mammoliti</w:t>
      </w:r>
      <w:r w:rsidRPr="00E915DB">
        <w:rPr>
          <w:vertAlign w:val="superscript"/>
          <w:lang w:val="it-IT"/>
        </w:rPr>
        <w:t>4</w:t>
      </w:r>
      <w:r w:rsidRPr="00E915DB">
        <w:rPr>
          <w:lang w:val="it-IT"/>
        </w:rPr>
        <w:t>, Simone Ferrero</w:t>
      </w:r>
      <w:r w:rsidRPr="00E915DB">
        <w:rPr>
          <w:vertAlign w:val="superscript"/>
          <w:lang w:val="it-IT"/>
        </w:rPr>
        <w:t>5,6</w:t>
      </w:r>
      <w:r w:rsidRPr="00E915DB">
        <w:rPr>
          <w:lang w:val="it-IT"/>
        </w:rPr>
        <w:t>, Emanuela Marcenaro</w:t>
      </w:r>
      <w:r w:rsidRPr="00E915DB">
        <w:rPr>
          <w:vertAlign w:val="superscript"/>
          <w:lang w:val="it-IT"/>
        </w:rPr>
        <w:t>7,8</w:t>
      </w:r>
    </w:p>
    <w:p w14:paraId="3DD18D3B" w14:textId="77777777" w:rsidR="00963941" w:rsidRPr="00E915DB" w:rsidRDefault="00963941" w:rsidP="00963941">
      <w:pPr>
        <w:pStyle w:val="Text"/>
        <w:ind w:firstLine="420"/>
        <w:rPr>
          <w:vertAlign w:val="superscript"/>
          <w:lang w:val="it-IT"/>
        </w:rPr>
      </w:pPr>
    </w:p>
    <w:p w14:paraId="2B23EB06" w14:textId="487E98FC" w:rsidR="00963941" w:rsidRPr="00E915DB" w:rsidRDefault="00963941" w:rsidP="00963941">
      <w:pPr>
        <w:pStyle w:val="Affiliation"/>
        <w:rPr>
          <w:lang w:val="it-IT"/>
        </w:rPr>
      </w:pPr>
      <w:r w:rsidRPr="00E915DB">
        <w:rPr>
          <w:vertAlign w:val="superscript"/>
          <w:lang w:val="it-IT"/>
        </w:rPr>
        <w:t>1</w:t>
      </w:r>
      <w:r w:rsidRPr="00E915DB">
        <w:rPr>
          <w:lang w:val="it-IT"/>
        </w:rPr>
        <w:t>Pathology Unit, IRCCS Istituto Giannina Gaslini, 16147 Genoa, Italy</w:t>
      </w:r>
    </w:p>
    <w:p w14:paraId="1BFC0FD0" w14:textId="3BBFE26D" w:rsidR="00963941" w:rsidRPr="00E915DB" w:rsidRDefault="00963941" w:rsidP="00963941">
      <w:pPr>
        <w:pStyle w:val="Affiliation"/>
      </w:pPr>
      <w:r w:rsidRPr="00E915DB">
        <w:rPr>
          <w:vertAlign w:val="superscript"/>
        </w:rPr>
        <w:t>2</w:t>
      </w:r>
      <w:r w:rsidRPr="00E915DB">
        <w:t xml:space="preserve">Department Of Integrated Surgical and Diagnostic Sciences (DISC), University of Genoa, </w:t>
      </w:r>
      <w:r w:rsidRPr="00E915DB">
        <w:rPr>
          <w:lang w:val="en-GB"/>
        </w:rPr>
        <w:t>16132 Genoa,</w:t>
      </w:r>
      <w:r w:rsidRPr="00E915DB">
        <w:t xml:space="preserve"> Italy</w:t>
      </w:r>
    </w:p>
    <w:p w14:paraId="2FF74EBE" w14:textId="4B5E3222" w:rsidR="00963941" w:rsidRPr="00E915DB" w:rsidRDefault="00963941" w:rsidP="00963941">
      <w:pPr>
        <w:pStyle w:val="Affiliation"/>
      </w:pPr>
      <w:r w:rsidRPr="00E915DB">
        <w:rPr>
          <w:vertAlign w:val="superscript"/>
        </w:rPr>
        <w:t>3</w:t>
      </w:r>
      <w:r w:rsidRPr="00E915DB">
        <w:t>Pathology Academic Unit, AOM IRCCS San Martino, 16132 Genoa, Italy</w:t>
      </w:r>
    </w:p>
    <w:p w14:paraId="3D94A0FF" w14:textId="77B62794" w:rsidR="00963941" w:rsidRPr="00E915DB" w:rsidRDefault="00963941" w:rsidP="00963941">
      <w:pPr>
        <w:pStyle w:val="Affiliation"/>
        <w:rPr>
          <w:lang w:val="it-IT"/>
        </w:rPr>
      </w:pPr>
      <w:r w:rsidRPr="00E915DB">
        <w:rPr>
          <w:vertAlign w:val="superscript"/>
          <w:lang w:val="it-IT"/>
        </w:rPr>
        <w:t>4</w:t>
      </w:r>
      <w:r w:rsidRPr="00E915DB">
        <w:rPr>
          <w:lang w:val="it-IT"/>
        </w:rPr>
        <w:t>Oncology Unit, AOM Villa Scassi, 16149 Genoa, Italy</w:t>
      </w:r>
    </w:p>
    <w:p w14:paraId="09F1258A" w14:textId="221941D1" w:rsidR="00963941" w:rsidRPr="00E915DB" w:rsidRDefault="00963941" w:rsidP="00963941">
      <w:pPr>
        <w:pStyle w:val="Affiliation"/>
      </w:pPr>
      <w:r w:rsidRPr="00E915DB">
        <w:rPr>
          <w:vertAlign w:val="superscript"/>
        </w:rPr>
        <w:t>5</w:t>
      </w:r>
      <w:r w:rsidRPr="00E915DB">
        <w:t>Gynecology Academic Unit, AOM IRCCS San Martino, 16132 Genoa, Italy</w:t>
      </w:r>
    </w:p>
    <w:p w14:paraId="0339DCE1" w14:textId="3DFEBBE1" w:rsidR="00963941" w:rsidRPr="00E915DB" w:rsidRDefault="00963941" w:rsidP="00963941">
      <w:pPr>
        <w:pStyle w:val="Affiliation"/>
      </w:pPr>
      <w:r w:rsidRPr="00E915DB">
        <w:rPr>
          <w:vertAlign w:val="superscript"/>
        </w:rPr>
        <w:t>6</w:t>
      </w:r>
      <w:r w:rsidRPr="00E915DB">
        <w:t xml:space="preserve">Department of Neuroscience, Rehabilitation, Ophthalmology, Genetics, Maternal and Child Health (DINOGMI), University of Genoa, </w:t>
      </w:r>
      <w:r w:rsidRPr="00E915DB">
        <w:rPr>
          <w:lang w:val="en-GB"/>
        </w:rPr>
        <w:t>16132 Genoa,</w:t>
      </w:r>
      <w:r w:rsidRPr="00E915DB">
        <w:t xml:space="preserve"> Italy</w:t>
      </w:r>
    </w:p>
    <w:p w14:paraId="5DDB4AA0" w14:textId="707A6F1E" w:rsidR="00963941" w:rsidRPr="00E915DB" w:rsidRDefault="00963941" w:rsidP="00963941">
      <w:pPr>
        <w:pStyle w:val="Affiliation"/>
      </w:pPr>
      <w:r w:rsidRPr="00E915DB">
        <w:rPr>
          <w:vertAlign w:val="superscript"/>
        </w:rPr>
        <w:t>7</w:t>
      </w:r>
      <w:r w:rsidRPr="00E915DB">
        <w:t xml:space="preserve">Department of Experimental Medicine (DIMES), University of Genoa, </w:t>
      </w:r>
      <w:r w:rsidRPr="00E915DB">
        <w:rPr>
          <w:lang w:val="en-GB"/>
        </w:rPr>
        <w:t>16132 Genoa, Italy</w:t>
      </w:r>
    </w:p>
    <w:p w14:paraId="40CAC062" w14:textId="2405BD93" w:rsidR="00963941" w:rsidRPr="00E915DB" w:rsidRDefault="00963941" w:rsidP="00963941">
      <w:pPr>
        <w:pStyle w:val="Affiliation"/>
        <w:rPr>
          <w:lang w:val="it-IT"/>
        </w:rPr>
      </w:pPr>
      <w:r w:rsidRPr="00E915DB">
        <w:rPr>
          <w:vertAlign w:val="superscript"/>
          <w:lang w:val="it-IT"/>
        </w:rPr>
        <w:t>8</w:t>
      </w:r>
      <w:r w:rsidRPr="00E915DB">
        <w:rPr>
          <w:lang w:val="it-IT"/>
        </w:rPr>
        <w:t>AOM IRCCS San Martino, 16132 Genoa, Italy</w:t>
      </w:r>
    </w:p>
    <w:p w14:paraId="3D433B6E" w14:textId="77777777" w:rsidR="00963941" w:rsidRPr="00E915DB" w:rsidRDefault="00963941" w:rsidP="00963941">
      <w:pPr>
        <w:pStyle w:val="Text"/>
        <w:ind w:firstLineChars="0" w:firstLine="0"/>
        <w:rPr>
          <w:lang w:val="it-IT"/>
        </w:rPr>
      </w:pPr>
    </w:p>
    <w:p w14:paraId="574BBDE8" w14:textId="77777777" w:rsidR="00963941" w:rsidRPr="00E915DB" w:rsidRDefault="00963941" w:rsidP="00963941">
      <w:pPr>
        <w:pStyle w:val="E-mail"/>
        <w:rPr>
          <w:lang w:val="it-IT"/>
        </w:rPr>
      </w:pPr>
      <w:r w:rsidRPr="00E915DB">
        <w:rPr>
          <w:lang w:val="it-IT"/>
        </w:rPr>
        <w:t>*Correspondence: valerio.vellone@unige.it; valeriovellone@gaslini.org (Valerio Gaetano Vellone)</w:t>
      </w:r>
    </w:p>
    <w:p w14:paraId="0FC14A0C" w14:textId="77777777" w:rsidR="00963941" w:rsidRPr="00E915DB" w:rsidRDefault="00963941" w:rsidP="00963941">
      <w:pPr>
        <w:pStyle w:val="E-mail"/>
        <w:rPr>
          <w:lang w:val="it-IT"/>
        </w:rPr>
      </w:pPr>
      <w:r w:rsidRPr="00E915DB">
        <w:rPr>
          <w:lang w:val="it-IT"/>
        </w:rPr>
        <w:t>ORCID:</w:t>
      </w:r>
    </w:p>
    <w:p w14:paraId="05425CE5" w14:textId="77777777" w:rsidR="00963941" w:rsidRPr="00E915DB" w:rsidRDefault="00963941" w:rsidP="00963941">
      <w:pPr>
        <w:pStyle w:val="E-mail"/>
        <w:rPr>
          <w:lang w:val="it-IT"/>
        </w:rPr>
      </w:pPr>
      <w:r w:rsidRPr="00E915DB">
        <w:rPr>
          <w:lang w:val="it-IT"/>
        </w:rPr>
        <w:t>Valerio Gaetano Vellone: 0000-0002-5107-1584</w:t>
      </w:r>
    </w:p>
    <w:p w14:paraId="5DF268F3" w14:textId="77777777" w:rsidR="00963941" w:rsidRPr="00E915DB" w:rsidRDefault="00963941" w:rsidP="00963941">
      <w:pPr>
        <w:pStyle w:val="E-mail"/>
        <w:rPr>
          <w:lang w:val="it-IT"/>
        </w:rPr>
      </w:pPr>
      <w:r w:rsidRPr="00E915DB">
        <w:rPr>
          <w:lang w:val="it-IT"/>
        </w:rPr>
        <w:t>Michele Paudice: 0000-0003-4188-4247</w:t>
      </w:r>
    </w:p>
    <w:p w14:paraId="37B10F1D" w14:textId="77777777" w:rsidR="00963941" w:rsidRPr="00E915DB" w:rsidRDefault="00963941" w:rsidP="00963941">
      <w:pPr>
        <w:pStyle w:val="E-mail"/>
        <w:rPr>
          <w:lang w:val="it-IT"/>
        </w:rPr>
      </w:pPr>
      <w:r w:rsidRPr="00E915DB">
        <w:rPr>
          <w:lang w:val="it-IT"/>
        </w:rPr>
        <w:t>Gabriele Gaggero: 0000-0001-9098-563X</w:t>
      </w:r>
    </w:p>
    <w:p w14:paraId="1E9DA766" w14:textId="77777777" w:rsidR="00963941" w:rsidRPr="00E915DB" w:rsidRDefault="00963941" w:rsidP="00963941">
      <w:pPr>
        <w:pStyle w:val="E-mail"/>
        <w:rPr>
          <w:lang w:val="it-IT"/>
        </w:rPr>
      </w:pPr>
      <w:r w:rsidRPr="00E915DB">
        <w:rPr>
          <w:lang w:val="it-IT"/>
        </w:rPr>
        <w:t>Francesca Buffelli: 0000-0003-1086-2651</w:t>
      </w:r>
    </w:p>
    <w:p w14:paraId="212BC20F" w14:textId="77777777" w:rsidR="00963941" w:rsidRPr="00E915DB" w:rsidRDefault="00963941" w:rsidP="00963941">
      <w:pPr>
        <w:pStyle w:val="E-mail"/>
        <w:rPr>
          <w:lang w:val="it-IT"/>
        </w:rPr>
      </w:pPr>
      <w:r w:rsidRPr="00E915DB">
        <w:rPr>
          <w:lang w:val="it-IT"/>
        </w:rPr>
        <w:t>Katia Mazzocco: 0000-0002-6599-5681</w:t>
      </w:r>
    </w:p>
    <w:p w14:paraId="26C0704C" w14:textId="77777777" w:rsidR="00963941" w:rsidRPr="00E915DB" w:rsidRDefault="00963941" w:rsidP="00963941">
      <w:pPr>
        <w:pStyle w:val="E-mail"/>
        <w:rPr>
          <w:lang w:val="it-IT"/>
        </w:rPr>
      </w:pPr>
      <w:r w:rsidRPr="00E915DB">
        <w:rPr>
          <w:lang w:val="it-IT"/>
        </w:rPr>
        <w:t>Roberta Musso: 0009-0004-5024-2486</w:t>
      </w:r>
    </w:p>
    <w:p w14:paraId="3FA0EBF3" w14:textId="77777777" w:rsidR="00963941" w:rsidRPr="00E915DB" w:rsidRDefault="00963941" w:rsidP="00963941">
      <w:pPr>
        <w:pStyle w:val="E-mail"/>
        <w:rPr>
          <w:lang w:val="it-IT"/>
        </w:rPr>
      </w:pPr>
      <w:r w:rsidRPr="00E915DB">
        <w:rPr>
          <w:lang w:val="it-IT"/>
        </w:rPr>
        <w:t>Maria Teresa Gambaudo: 0009-0005-5422-2463</w:t>
      </w:r>
    </w:p>
    <w:p w14:paraId="1B88A90A" w14:textId="77777777" w:rsidR="00963941" w:rsidRPr="00E915DB" w:rsidRDefault="00963941" w:rsidP="00963941">
      <w:pPr>
        <w:pStyle w:val="E-mail"/>
        <w:rPr>
          <w:lang w:val="it-IT"/>
        </w:rPr>
      </w:pPr>
      <w:r w:rsidRPr="00E915DB">
        <w:rPr>
          <w:lang w:val="it-IT"/>
        </w:rPr>
        <w:t>Serafina Mammoliti: 0000-0002-6560-0061</w:t>
      </w:r>
    </w:p>
    <w:p w14:paraId="64C99D5A" w14:textId="77777777" w:rsidR="00963941" w:rsidRPr="00E915DB" w:rsidRDefault="00963941" w:rsidP="00963941">
      <w:pPr>
        <w:pStyle w:val="E-mail"/>
        <w:rPr>
          <w:lang w:val="it-IT"/>
        </w:rPr>
      </w:pPr>
      <w:r w:rsidRPr="00E915DB">
        <w:rPr>
          <w:lang w:val="it-IT"/>
        </w:rPr>
        <w:t>Simone Ferrero: 0000-0003-2225-5568</w:t>
      </w:r>
    </w:p>
    <w:p w14:paraId="25A672CB" w14:textId="77777777" w:rsidR="00963941" w:rsidRPr="00E915DB" w:rsidRDefault="00963941" w:rsidP="00963941">
      <w:pPr>
        <w:pStyle w:val="E-mail"/>
        <w:rPr>
          <w:lang w:val="it-IT"/>
        </w:rPr>
      </w:pPr>
      <w:r w:rsidRPr="00E915DB">
        <w:rPr>
          <w:lang w:val="it-IT"/>
        </w:rPr>
        <w:t>Emanuela Marcenaro: 0000-0003-4103-7566</w:t>
      </w:r>
    </w:p>
    <w:p w14:paraId="7D8E9B34" w14:textId="77777777" w:rsidR="00963941" w:rsidRPr="00E915DB" w:rsidRDefault="00963941" w:rsidP="00963941">
      <w:pPr>
        <w:pStyle w:val="Text"/>
        <w:ind w:firstLine="420"/>
        <w:rPr>
          <w:lang w:val="it-IT"/>
        </w:rPr>
      </w:pPr>
    </w:p>
    <w:p w14:paraId="62E50257" w14:textId="77777777" w:rsidR="00963941" w:rsidRPr="00E915DB" w:rsidRDefault="00963941" w:rsidP="00963941">
      <w:pPr>
        <w:pStyle w:val="Academiceditor"/>
      </w:pPr>
      <w:r w:rsidRPr="00E915DB">
        <w:t xml:space="preserve">Academic Editors: Christos </w:t>
      </w:r>
      <w:proofErr w:type="spellStart"/>
      <w:r w:rsidRPr="00E915DB">
        <w:t>Iavazzo</w:t>
      </w:r>
      <w:proofErr w:type="spellEnd"/>
      <w:r w:rsidRPr="00E915DB">
        <w:t xml:space="preserve"> and Michael H. </w:t>
      </w:r>
      <w:proofErr w:type="spellStart"/>
      <w:r w:rsidRPr="00E915DB">
        <w:t>Dahan</w:t>
      </w:r>
      <w:proofErr w:type="spellEnd"/>
    </w:p>
    <w:p w14:paraId="0697A58A" w14:textId="77777777" w:rsidR="00963941" w:rsidRPr="00E915DB" w:rsidRDefault="00963941" w:rsidP="00963941">
      <w:pPr>
        <w:pStyle w:val="Text"/>
        <w:ind w:firstLine="420"/>
      </w:pPr>
    </w:p>
    <w:p w14:paraId="02B6621F" w14:textId="77777777" w:rsidR="00963941" w:rsidRPr="00E915DB" w:rsidRDefault="00963941" w:rsidP="00963941">
      <w:pPr>
        <w:pStyle w:val="Text"/>
        <w:ind w:firstLineChars="0" w:firstLine="0"/>
      </w:pPr>
      <w:r w:rsidRPr="00E915DB">
        <w:t xml:space="preserve">Submitted: 2 </w:t>
      </w:r>
      <w:r w:rsidRPr="00E915DB">
        <w:rPr>
          <w:rFonts w:hint="eastAsia"/>
        </w:rPr>
        <w:t>March</w:t>
      </w:r>
      <w:r w:rsidRPr="00E915DB">
        <w:t xml:space="preserve"> 2026</w:t>
      </w:r>
    </w:p>
    <w:p w14:paraId="29DF0193" w14:textId="77777777" w:rsidR="00963941" w:rsidRPr="00E915DB" w:rsidRDefault="00963941" w:rsidP="00963941">
      <w:pPr>
        <w:pStyle w:val="Text"/>
        <w:ind w:firstLineChars="0" w:firstLine="0"/>
      </w:pPr>
      <w:r w:rsidRPr="00E915DB">
        <w:t xml:space="preserve">Revised: 30 </w:t>
      </w:r>
      <w:r w:rsidRPr="00E915DB">
        <w:rPr>
          <w:rFonts w:hint="eastAsia"/>
        </w:rPr>
        <w:t>March</w:t>
      </w:r>
      <w:r w:rsidRPr="00E915DB">
        <w:t xml:space="preserve"> 2026</w:t>
      </w:r>
    </w:p>
    <w:p w14:paraId="6B4C34BA" w14:textId="77777777" w:rsidR="00963941" w:rsidRPr="00E915DB" w:rsidRDefault="00963941" w:rsidP="00963941">
      <w:pPr>
        <w:pStyle w:val="Text"/>
        <w:ind w:firstLineChars="0" w:firstLine="0"/>
      </w:pPr>
      <w:r w:rsidRPr="00E915DB">
        <w:t xml:space="preserve">Accepted: 14 </w:t>
      </w:r>
      <w:r w:rsidRPr="00E915DB">
        <w:rPr>
          <w:rFonts w:hint="eastAsia"/>
        </w:rPr>
        <w:t>April</w:t>
      </w:r>
      <w:r w:rsidRPr="00E915DB">
        <w:t xml:space="preserve"> 2026</w:t>
      </w:r>
    </w:p>
    <w:p w14:paraId="4AC371C8" w14:textId="77777777" w:rsidR="00FF2EAB" w:rsidRPr="00E915DB" w:rsidRDefault="00FF2EAB" w:rsidP="00F25F70">
      <w:pPr>
        <w:pStyle w:val="Text"/>
        <w:ind w:firstLineChars="0" w:firstLine="0"/>
      </w:pPr>
    </w:p>
    <w:p w14:paraId="19F67471" w14:textId="0314E516" w:rsidR="009D26E5" w:rsidRPr="00E915DB" w:rsidRDefault="009D26E5" w:rsidP="00DB6A33">
      <w:pPr>
        <w:pStyle w:val="Frontmatter"/>
        <w:spacing w:before="180" w:after="180"/>
      </w:pPr>
      <w:r w:rsidRPr="00E915DB">
        <w:t>Abstract</w:t>
      </w:r>
    </w:p>
    <w:p w14:paraId="4457303F" w14:textId="39B2E9E6" w:rsidR="000264AB" w:rsidRPr="00E915DB" w:rsidRDefault="000264AB" w:rsidP="00DB6A33">
      <w:pPr>
        <w:pStyle w:val="Text"/>
        <w:ind w:firstLineChars="0" w:firstLine="0"/>
      </w:pPr>
      <w:r w:rsidRPr="00E915DB">
        <w:rPr>
          <w:b/>
        </w:rPr>
        <w:t>Objective</w:t>
      </w:r>
      <w:r w:rsidRPr="00E915DB">
        <w:t xml:space="preserve">: To provide an updated overview of how molecular pathology is reshaping diagnostic, prognostic, and therapeutic paradigms in gynecologic oncology and redefining the role of the gynecologic pathologist </w:t>
      </w:r>
      <w:r w:rsidR="00457153" w:rsidRPr="00E915DB">
        <w:t xml:space="preserve">in the era of </w:t>
      </w:r>
      <w:r w:rsidRPr="00E915DB">
        <w:t>precision medicine.</w:t>
      </w:r>
      <w:r w:rsidR="00DB6A33" w:rsidRPr="00E915DB">
        <w:rPr>
          <w:rFonts w:eastAsiaTheme="minorEastAsia" w:hint="eastAsia"/>
          <w:lang w:eastAsia="zh-CN"/>
        </w:rPr>
        <w:t xml:space="preserve"> </w:t>
      </w:r>
      <w:r w:rsidRPr="00E915DB">
        <w:rPr>
          <w:b/>
        </w:rPr>
        <w:t>Mechanism</w:t>
      </w:r>
      <w:r w:rsidRPr="00E915DB">
        <w:t xml:space="preserve">: Advances in next-generation sequencing (NGS) and large-scale genomic initiatives </w:t>
      </w:r>
      <w:r w:rsidRPr="00E915DB">
        <w:lastRenderedPageBreak/>
        <w:t xml:space="preserve">have enabled comprehensive molecular characterization of endometrial, ovarian, and cervical carcinomas. </w:t>
      </w:r>
      <w:r w:rsidR="004F7971" w:rsidRPr="00E915DB">
        <w:t xml:space="preserve">The integration </w:t>
      </w:r>
      <w:r w:rsidRPr="00E915DB">
        <w:t xml:space="preserve">of genomic, immunophenotypic, and clinicopathologic data supports a multidimensional diagnostic </w:t>
      </w:r>
      <w:r w:rsidR="00821219" w:rsidRPr="00E915DB">
        <w:t xml:space="preserve">framework </w:t>
      </w:r>
      <w:r w:rsidRPr="00E915DB">
        <w:t>that refines risk stratification and guides targeted and immune-based therapies. Emerging tools</w:t>
      </w:r>
      <w:r w:rsidR="00457153" w:rsidRPr="00E915DB">
        <w:t>,</w:t>
      </w:r>
      <w:r w:rsidRPr="00E915DB">
        <w:t xml:space="preserve"> including liquid biopsy, digital pathology, and artificial intelligence</w:t>
      </w:r>
      <w:r w:rsidR="006303F2" w:rsidRPr="00E915DB">
        <w:t xml:space="preserve"> (AI)</w:t>
      </w:r>
      <w:r w:rsidR="00457153" w:rsidRPr="00E915DB">
        <w:t>,</w:t>
      </w:r>
      <w:r w:rsidRPr="00E915DB">
        <w:t xml:space="preserve"> are further </w:t>
      </w:r>
      <w:r w:rsidR="00821219" w:rsidRPr="00E915DB">
        <w:t xml:space="preserve">advancing </w:t>
      </w:r>
      <w:r w:rsidRPr="00E915DB">
        <w:t>the clinical integration of molecular data.</w:t>
      </w:r>
      <w:r w:rsidR="00DB6A33" w:rsidRPr="00E915DB">
        <w:rPr>
          <w:rFonts w:eastAsiaTheme="minorEastAsia" w:hint="eastAsia"/>
          <w:lang w:eastAsia="zh-CN"/>
        </w:rPr>
        <w:t xml:space="preserve"> </w:t>
      </w:r>
      <w:r w:rsidRPr="00E915DB">
        <w:rPr>
          <w:b/>
        </w:rPr>
        <w:t>Findings in Brief</w:t>
      </w:r>
      <w:r w:rsidRPr="00E915DB">
        <w:t>: In endometrial carcinoma</w:t>
      </w:r>
      <w:r w:rsidR="00810A41" w:rsidRPr="00E915DB">
        <w:t xml:space="preserve"> (EC)</w:t>
      </w:r>
      <w:r w:rsidRPr="00E915DB">
        <w:t xml:space="preserve">, molecular classification complements and often surpasses morphology-based systems </w:t>
      </w:r>
      <w:r w:rsidR="00821219" w:rsidRPr="00E915DB">
        <w:t xml:space="preserve">by providing more accurate </w:t>
      </w:r>
      <w:r w:rsidRPr="00E915DB">
        <w:t xml:space="preserve">prognostic assessment and </w:t>
      </w:r>
      <w:r w:rsidR="00821219" w:rsidRPr="00E915DB">
        <w:t xml:space="preserve">informing </w:t>
      </w:r>
      <w:r w:rsidRPr="00E915DB">
        <w:t xml:space="preserve">therapeutic decision-making. In ovarian carcinoma, </w:t>
      </w:r>
      <w:r w:rsidR="00821219" w:rsidRPr="00E915DB">
        <w:t>assessment of</w:t>
      </w:r>
      <w:r w:rsidR="00E4173A" w:rsidRPr="00E915DB">
        <w:t xml:space="preserve"> breast cancer susceptibility gene</w:t>
      </w:r>
      <w:r w:rsidRPr="00E915DB">
        <w:t xml:space="preserve"> </w:t>
      </w:r>
      <w:r w:rsidR="00E4173A" w:rsidRPr="00E915DB">
        <w:t>(</w:t>
      </w:r>
      <w:r w:rsidRPr="00E915DB">
        <w:t>BRCA</w:t>
      </w:r>
      <w:r w:rsidR="00E4173A" w:rsidRPr="00E915DB">
        <w:t>)</w:t>
      </w:r>
      <w:r w:rsidRPr="00E915DB">
        <w:t xml:space="preserve"> alterations and homologous recombination deficiency </w:t>
      </w:r>
      <w:r w:rsidR="00773DC6" w:rsidRPr="00E915DB">
        <w:t xml:space="preserve">(HRD) </w:t>
      </w:r>
      <w:r w:rsidRPr="00E915DB">
        <w:t xml:space="preserve">has become central to personalized treatment strategies. In cervical carcinoma, </w:t>
      </w:r>
      <w:r w:rsidR="004F7971" w:rsidRPr="00E915DB">
        <w:t xml:space="preserve">although </w:t>
      </w:r>
      <w:r w:rsidRPr="00E915DB">
        <w:t xml:space="preserve">persistent high-risk </w:t>
      </w:r>
      <w:r w:rsidR="007F0B2D" w:rsidRPr="00E915DB">
        <w:t>human papillomavirus (</w:t>
      </w:r>
      <w:r w:rsidRPr="00E915DB">
        <w:t>HPV</w:t>
      </w:r>
      <w:r w:rsidR="007F0B2D" w:rsidRPr="00E915DB">
        <w:t>)</w:t>
      </w:r>
      <w:r w:rsidRPr="00E915DB">
        <w:t xml:space="preserve"> infection remains the </w:t>
      </w:r>
      <w:r w:rsidR="004F7971" w:rsidRPr="00E915DB">
        <w:t xml:space="preserve">principal </w:t>
      </w:r>
      <w:r w:rsidRPr="00E915DB">
        <w:t xml:space="preserve">oncogenic driver, additional genomic alterations </w:t>
      </w:r>
      <w:r w:rsidR="004F7971" w:rsidRPr="00E915DB">
        <w:t xml:space="preserve">are </w:t>
      </w:r>
      <w:r w:rsidRPr="00E915DB">
        <w:t xml:space="preserve">increasingly </w:t>
      </w:r>
      <w:r w:rsidR="004F7971" w:rsidRPr="00E915DB">
        <w:t xml:space="preserve">being incorporated into the </w:t>
      </w:r>
      <w:r w:rsidRPr="00E915DB">
        <w:t xml:space="preserve">management </w:t>
      </w:r>
      <w:r w:rsidR="004F7971" w:rsidRPr="00E915DB">
        <w:t xml:space="preserve">of </w:t>
      </w:r>
      <w:r w:rsidRPr="00E915DB">
        <w:t xml:space="preserve">advanced disease. </w:t>
      </w:r>
      <w:r w:rsidR="004F7971" w:rsidRPr="00E915DB">
        <w:t xml:space="preserve">Furthermore, </w:t>
      </w:r>
      <w:r w:rsidRPr="00E915DB">
        <w:t xml:space="preserve">NGS enables </w:t>
      </w:r>
      <w:r w:rsidR="00821219" w:rsidRPr="00E915DB">
        <w:t xml:space="preserve">the identification </w:t>
      </w:r>
      <w:r w:rsidRPr="00E915DB">
        <w:t xml:space="preserve">of germline alterations associated with hereditary cancer syndromes, </w:t>
      </w:r>
      <w:r w:rsidR="00821219" w:rsidRPr="00E915DB">
        <w:t xml:space="preserve">thereby </w:t>
      </w:r>
      <w:r w:rsidRPr="00E915DB">
        <w:t xml:space="preserve">reinforcing the pathologist’s role in identifying familial </w:t>
      </w:r>
      <w:r w:rsidR="00821219" w:rsidRPr="00E915DB">
        <w:t xml:space="preserve">cancer predisposition </w:t>
      </w:r>
      <w:r w:rsidRPr="00E915DB">
        <w:t xml:space="preserve">and supporting appropriate </w:t>
      </w:r>
      <w:r w:rsidR="00821219" w:rsidRPr="00E915DB">
        <w:t xml:space="preserve">referral for </w:t>
      </w:r>
      <w:r w:rsidRPr="00E915DB">
        <w:t>genetic counseling.</w:t>
      </w:r>
      <w:r w:rsidR="00DB6A33" w:rsidRPr="00E915DB">
        <w:rPr>
          <w:rFonts w:eastAsiaTheme="minorEastAsia" w:hint="eastAsia"/>
          <w:lang w:eastAsia="zh-CN"/>
        </w:rPr>
        <w:t xml:space="preserve"> </w:t>
      </w:r>
      <w:r w:rsidRPr="00E915DB">
        <w:rPr>
          <w:b/>
        </w:rPr>
        <w:t>Conclusions</w:t>
      </w:r>
      <w:r w:rsidRPr="00E915DB">
        <w:t>: Molecular pathology is driving</w:t>
      </w:r>
      <w:r w:rsidR="00821219" w:rsidRPr="00E915DB">
        <w:t xml:space="preserve"> the</w:t>
      </w:r>
      <w:r w:rsidRPr="00E915DB">
        <w:t xml:space="preserve"> transition toward an integrated, biology-driven model of gynecologic oncology, positioning the gynecologic pathologist as a key clinical integrator in precision medicine.</w:t>
      </w:r>
    </w:p>
    <w:p w14:paraId="0474A70C" w14:textId="0BD00529" w:rsidR="009D26E5" w:rsidRPr="00E915DB" w:rsidRDefault="009D26E5" w:rsidP="00DB6A33">
      <w:pPr>
        <w:pStyle w:val="Frontmatter"/>
        <w:spacing w:before="180" w:after="180"/>
      </w:pPr>
      <w:r w:rsidRPr="00E915DB">
        <w:t>Key</w:t>
      </w:r>
      <w:r w:rsidR="005E31E4" w:rsidRPr="00E915DB">
        <w:t>w</w:t>
      </w:r>
      <w:r w:rsidRPr="00E915DB">
        <w:t>ords</w:t>
      </w:r>
    </w:p>
    <w:p w14:paraId="07BC4AE5" w14:textId="62987158" w:rsidR="000264AB" w:rsidRPr="00E915DB" w:rsidRDefault="00EF7E97" w:rsidP="00DB6A33">
      <w:pPr>
        <w:pStyle w:val="Keywords"/>
      </w:pPr>
      <w:r w:rsidRPr="00E915DB">
        <w:t>molecular pathology;</w:t>
      </w:r>
      <w:r w:rsidR="009D26E5" w:rsidRPr="00E915DB">
        <w:t xml:space="preserve"> gynecologic oncology</w:t>
      </w:r>
      <w:r w:rsidRPr="00E915DB">
        <w:t>;</w:t>
      </w:r>
      <w:r w:rsidR="009D26E5" w:rsidRPr="00E915DB">
        <w:t xml:space="preserve"> next-generation sequencing</w:t>
      </w:r>
      <w:r w:rsidRPr="00E915DB">
        <w:t>;</w:t>
      </w:r>
      <w:r w:rsidR="009D26E5" w:rsidRPr="00E915DB">
        <w:t xml:space="preserve"> precision medicine</w:t>
      </w:r>
      <w:r w:rsidRPr="00E915DB">
        <w:t>;</w:t>
      </w:r>
      <w:r w:rsidR="009D26E5" w:rsidRPr="00E915DB">
        <w:t xml:space="preserve"> integrated diagnostics</w:t>
      </w:r>
    </w:p>
    <w:p w14:paraId="439BF77A" w14:textId="4662B150" w:rsidR="00D13531" w:rsidRPr="00E915DB" w:rsidRDefault="00D13531" w:rsidP="00DB6A33">
      <w:pPr>
        <w:pStyle w:val="Text"/>
        <w:ind w:firstLine="420"/>
      </w:pPr>
    </w:p>
    <w:p w14:paraId="5171CE3F" w14:textId="1A6D1751" w:rsidR="00D13531" w:rsidRPr="00E915DB" w:rsidRDefault="00D13531" w:rsidP="00EF7E97">
      <w:pPr>
        <w:pStyle w:val="1"/>
      </w:pPr>
      <w:r w:rsidRPr="00E915DB">
        <w:t>1. Introduction</w:t>
      </w:r>
      <w:r w:rsidR="00EF7E97" w:rsidRPr="00E915DB">
        <w:t>—</w:t>
      </w:r>
      <w:r w:rsidRPr="00E915DB">
        <w:rPr>
          <w:i/>
          <w:iCs/>
        </w:rPr>
        <w:t>Signs o’ the Times</w:t>
      </w:r>
    </w:p>
    <w:p w14:paraId="6F1E848C" w14:textId="66242C5B" w:rsidR="00492BA6" w:rsidRPr="00E915DB" w:rsidRDefault="00492BA6" w:rsidP="00EF7E97">
      <w:pPr>
        <w:pStyle w:val="Text"/>
        <w:ind w:firstLine="420"/>
      </w:pPr>
      <w:r w:rsidRPr="00E915DB">
        <w:t>Gynecological carcinomas represent a major global public health challenge, with approximately 1.2 million new cases diagnosed worldwide each year. Gynecologic tumors comprise a heterogeneous group of neoplasms arising from the female reproductive tract, including malignancies of the endometrium, ovary, cervix, vulva, vagina, and placenta.</w:t>
      </w:r>
    </w:p>
    <w:p w14:paraId="07F8B814" w14:textId="3D90BE30" w:rsidR="00492BA6" w:rsidRPr="00E915DB" w:rsidRDefault="00492BA6" w:rsidP="00EF7E97">
      <w:pPr>
        <w:pStyle w:val="Text"/>
        <w:ind w:firstLine="420"/>
      </w:pPr>
      <w:r w:rsidRPr="00E915DB">
        <w:t>Their clinical management requires effective strategies for prevention, early diagnosis, and treatment</w:t>
      </w:r>
      <w:r w:rsidR="0087692E" w:rsidRPr="00E915DB">
        <w:t xml:space="preserve">. Although </w:t>
      </w:r>
      <w:r w:rsidRPr="00E915DB">
        <w:t>conventional histopathological evaluation remains a cornerstone of diagnosis, it is often insufficient to resolve diagnostically ambiguous cases or to identify actionable therapeutic targets.</w:t>
      </w:r>
    </w:p>
    <w:p w14:paraId="1ED60390" w14:textId="6AB001E9" w:rsidR="00492BA6" w:rsidRPr="00E915DB" w:rsidRDefault="00492BA6" w:rsidP="00EF7E97">
      <w:pPr>
        <w:pStyle w:val="Text"/>
        <w:ind w:firstLine="420"/>
      </w:pPr>
      <w:r w:rsidRPr="00E915DB">
        <w:t xml:space="preserve">Traditionally classified according to histologic and morphologic criteria, gynecologic malignancies are increasingly </w:t>
      </w:r>
      <w:r w:rsidR="0087692E" w:rsidRPr="00E915DB">
        <w:t xml:space="preserve">being redefined </w:t>
      </w:r>
      <w:r w:rsidRPr="00E915DB">
        <w:t xml:space="preserve">through the framework of molecular pathology. Advances in high-throughput sequencing technologies, particularly those generated by large-scale initiatives such as The Cancer Genome Atlas (TCGA), have profoundly </w:t>
      </w:r>
      <w:r w:rsidR="0087692E" w:rsidRPr="00E915DB">
        <w:t xml:space="preserve">expanded </w:t>
      </w:r>
      <w:r w:rsidRPr="00E915DB">
        <w:t xml:space="preserve">our understanding of the </w:t>
      </w:r>
      <w:r w:rsidR="00941A29" w:rsidRPr="00E915DB">
        <w:t xml:space="preserve">genomic landscapes </w:t>
      </w:r>
      <w:r w:rsidR="0087692E" w:rsidRPr="00E915DB">
        <w:t xml:space="preserve">underlying these tumors </w:t>
      </w:r>
      <w:r w:rsidR="00941A29" w:rsidRPr="00E915DB">
        <w:t>[1</w:t>
      </w:r>
      <w:r w:rsidRPr="00E915DB">
        <w:t>].</w:t>
      </w:r>
    </w:p>
    <w:p w14:paraId="6BBA8F76" w14:textId="44213628" w:rsidR="00492BA6" w:rsidRPr="00E915DB" w:rsidRDefault="00492BA6" w:rsidP="00EF7E97">
      <w:pPr>
        <w:pStyle w:val="Text"/>
        <w:ind w:firstLine="420"/>
      </w:pPr>
      <w:r w:rsidRPr="00E915DB">
        <w:t xml:space="preserve">Over the past decade, comprehensive molecular profiling studies have identified recurrent driver mutations, copy number alterations, epigenetic modifications, and dysregulated signaling pathways that underlie tumor initiation, progression, and therapeutic </w:t>
      </w:r>
      <w:r w:rsidR="00BB2A7F" w:rsidRPr="00E915DB">
        <w:t>response</w:t>
      </w:r>
      <w:r w:rsidRPr="00E915DB">
        <w:t xml:space="preserve">. These </w:t>
      </w:r>
      <w:r w:rsidR="00BB2A7F" w:rsidRPr="00E915DB">
        <w:t xml:space="preserve">advances </w:t>
      </w:r>
      <w:r w:rsidRPr="00E915DB">
        <w:t xml:space="preserve">have enabled the </w:t>
      </w:r>
      <w:r w:rsidR="00BB2A7F" w:rsidRPr="00E915DB">
        <w:t xml:space="preserve">classification </w:t>
      </w:r>
      <w:r w:rsidRPr="00E915DB">
        <w:t xml:space="preserve">of gynecologic tumors into </w:t>
      </w:r>
      <w:r w:rsidR="00012BAA" w:rsidRPr="00E915DB">
        <w:t xml:space="preserve">biologically </w:t>
      </w:r>
      <w:r w:rsidRPr="00E915DB">
        <w:t xml:space="preserve">distinct molecular subtypes with prognostic and predictive relevance, extending well beyond </w:t>
      </w:r>
      <w:r w:rsidR="00012BAA" w:rsidRPr="00E915DB">
        <w:t xml:space="preserve">conventional </w:t>
      </w:r>
      <w:r w:rsidRPr="00E915DB">
        <w:t>hi</w:t>
      </w:r>
      <w:r w:rsidR="00941A29" w:rsidRPr="00E915DB">
        <w:t>stopathologic classification</w:t>
      </w:r>
      <w:r w:rsidR="00012BAA" w:rsidRPr="00E915DB">
        <w:t xml:space="preserve"> </w:t>
      </w:r>
      <w:r w:rsidR="00941A29" w:rsidRPr="00E915DB">
        <w:t>s</w:t>
      </w:r>
      <w:r w:rsidR="00012BAA" w:rsidRPr="00E915DB">
        <w:t>ystems</w:t>
      </w:r>
      <w:r w:rsidR="00941A29" w:rsidRPr="00E915DB">
        <w:t xml:space="preserve"> [2</w:t>
      </w:r>
      <w:r w:rsidRPr="00E915DB">
        <w:t>].</w:t>
      </w:r>
    </w:p>
    <w:p w14:paraId="0D5024F8" w14:textId="1FA142A4" w:rsidR="009843D2" w:rsidRPr="00E915DB" w:rsidRDefault="009843D2" w:rsidP="00EF7E97">
      <w:pPr>
        <w:pStyle w:val="Text"/>
        <w:ind w:firstLine="420"/>
      </w:pPr>
      <w:r w:rsidRPr="00E915DB">
        <w:t>This narrative review provide</w:t>
      </w:r>
      <w:r w:rsidR="00272914" w:rsidRPr="00E915DB">
        <w:t>s</w:t>
      </w:r>
      <w:r w:rsidRPr="00E915DB">
        <w:t xml:space="preserve"> an updated and integrative overview of the evolving role of molecular pathology in gynecologic oncology, highlighting the transition from purely morphologic classification to</w:t>
      </w:r>
      <w:r w:rsidR="00272914" w:rsidRPr="00E915DB">
        <w:t>ward</w:t>
      </w:r>
      <w:r w:rsidRPr="00E915DB">
        <w:t xml:space="preserve"> a multidimensional diagnostic and therapeutic framework based on genomic, immunophenotypic, and clinicopathologic data. </w:t>
      </w:r>
      <w:r w:rsidR="00272914" w:rsidRPr="00E915DB">
        <w:t>This review further</w:t>
      </w:r>
      <w:r w:rsidRPr="00E915DB">
        <w:t xml:space="preserve"> synthesize</w:t>
      </w:r>
      <w:r w:rsidR="00272914" w:rsidRPr="00E915DB">
        <w:t>s</w:t>
      </w:r>
      <w:r w:rsidRPr="00E915DB">
        <w:t xml:space="preserve"> current evidence on the clinical and biological impact of molecular profiling across </w:t>
      </w:r>
      <w:r w:rsidR="00272914" w:rsidRPr="00E915DB">
        <w:t xml:space="preserve">the </w:t>
      </w:r>
      <w:r w:rsidRPr="00E915DB">
        <w:t xml:space="preserve">major </w:t>
      </w:r>
      <w:r w:rsidRPr="00E915DB">
        <w:lastRenderedPageBreak/>
        <w:t xml:space="preserve">gynecologic malignancies, with particular </w:t>
      </w:r>
      <w:r w:rsidR="00272914" w:rsidRPr="00E915DB">
        <w:t>emphasis on</w:t>
      </w:r>
      <w:r w:rsidRPr="00E915DB">
        <w:t xml:space="preserve"> diagnostic refinement, prognostic stratification, and precision medicine applications. However, as a narrative review, this work is not based on a systematic search strategy and </w:t>
      </w:r>
      <w:r w:rsidR="00272914" w:rsidRPr="00E915DB">
        <w:t xml:space="preserve">may </w:t>
      </w:r>
      <w:r w:rsidRPr="00E915DB">
        <w:t xml:space="preserve">therefore be </w:t>
      </w:r>
      <w:r w:rsidR="00272914" w:rsidRPr="00E915DB">
        <w:t xml:space="preserve">subject to selection bias </w:t>
      </w:r>
      <w:r w:rsidRPr="00E915DB">
        <w:t xml:space="preserve">of </w:t>
      </w:r>
      <w:r w:rsidR="009340D3" w:rsidRPr="00E915DB">
        <w:t xml:space="preserve">the </w:t>
      </w:r>
      <w:r w:rsidRPr="00E915DB">
        <w:t>literature and the authors’ interpretative perspective</w:t>
      </w:r>
      <w:r w:rsidR="00272914" w:rsidRPr="00E915DB">
        <w:t>. C</w:t>
      </w:r>
      <w:r w:rsidRPr="00E915DB">
        <w:t xml:space="preserve">onsequently, it does not aim to provide quantitative synthesis or exhaustive coverage of all available </w:t>
      </w:r>
      <w:r w:rsidR="00272914" w:rsidRPr="00E915DB">
        <w:t>evidence</w:t>
      </w:r>
      <w:r w:rsidRPr="00E915DB">
        <w:t xml:space="preserve">. To enhance methodological rigor and transparency, </w:t>
      </w:r>
      <w:r w:rsidR="00272914" w:rsidRPr="00E915DB">
        <w:t xml:space="preserve">this </w:t>
      </w:r>
      <w:r w:rsidRPr="00E915DB">
        <w:t xml:space="preserve">review has been structured in accordance with the </w:t>
      </w:r>
      <w:r w:rsidR="00272914" w:rsidRPr="00E915DB">
        <w:t xml:space="preserve">recommendations of the </w:t>
      </w:r>
      <w:r w:rsidRPr="00E915DB">
        <w:t xml:space="preserve">Scale for the Assessment of Narrative Review Articles </w:t>
      </w:r>
      <w:r w:rsidR="00F4768E" w:rsidRPr="00E915DB">
        <w:t>(SANRA)</w:t>
      </w:r>
      <w:r w:rsidRPr="00E915DB">
        <w:t xml:space="preserve">, ensuring </w:t>
      </w:r>
      <w:r w:rsidR="00272914" w:rsidRPr="00E915DB">
        <w:t xml:space="preserve">a </w:t>
      </w:r>
      <w:r w:rsidRPr="00E915DB">
        <w:t>clear definition of its relevance and objec</w:t>
      </w:r>
      <w:r w:rsidR="004F22BC" w:rsidRPr="00E915DB">
        <w:t xml:space="preserve">tives, appropriate </w:t>
      </w:r>
      <w:r w:rsidR="001E5882" w:rsidRPr="00E915DB">
        <w:t>referencing, balanced</w:t>
      </w:r>
      <w:r w:rsidRPr="00E915DB">
        <w:t xml:space="preserve"> presentation of</w:t>
      </w:r>
      <w:r w:rsidR="00272914" w:rsidRPr="00E915DB">
        <w:t xml:space="preserve"> the</w:t>
      </w:r>
      <w:r w:rsidRPr="00E915DB">
        <w:t xml:space="preserve"> evidence, and critical appraisal of cu</w:t>
      </w:r>
      <w:r w:rsidR="004F22BC" w:rsidRPr="00E915DB">
        <w:t xml:space="preserve">rrent knowledge and </w:t>
      </w:r>
      <w:r w:rsidR="00272914" w:rsidRPr="00E915DB">
        <w:t xml:space="preserve">existing </w:t>
      </w:r>
      <w:r w:rsidR="004F22BC" w:rsidRPr="00E915DB">
        <w:t xml:space="preserve">limitations </w:t>
      </w:r>
      <w:r w:rsidR="005E707F" w:rsidRPr="00E915DB">
        <w:t>[3]</w:t>
      </w:r>
      <w:r w:rsidR="004F22BC" w:rsidRPr="00E915DB">
        <w:t>.</w:t>
      </w:r>
    </w:p>
    <w:p w14:paraId="3E0C5EDF" w14:textId="15BF57C1" w:rsidR="00B72A68" w:rsidRPr="00E915DB" w:rsidRDefault="00B72A68" w:rsidP="00EF7E97">
      <w:pPr>
        <w:pStyle w:val="Text"/>
        <w:ind w:firstLine="420"/>
      </w:pPr>
      <w:r w:rsidRPr="00E915DB">
        <w:t xml:space="preserve">Although this review was narrative in design, literature selection followed a structured and transparent approach. Targeted searches were conducted in PubMed, Scopus, and Web of Science to identify English-language publications </w:t>
      </w:r>
      <w:r w:rsidR="00900807" w:rsidRPr="00E915DB">
        <w:t xml:space="preserve">addressing the </w:t>
      </w:r>
      <w:r w:rsidRPr="00E915DB">
        <w:t xml:space="preserve">clinical and biological relevance </w:t>
      </w:r>
      <w:r w:rsidR="00900807" w:rsidRPr="00E915DB">
        <w:t xml:space="preserve">of </w:t>
      </w:r>
      <w:r w:rsidRPr="00E915DB">
        <w:t xml:space="preserve">molecular pathology in gynecologic oncology. Priority was given to recent genomic studies, consensus guidelines, landmark clinical trials, and high-impact translational research. Articles were selected based on </w:t>
      </w:r>
      <w:r w:rsidR="00900807" w:rsidRPr="00E915DB">
        <w:t xml:space="preserve">their </w:t>
      </w:r>
      <w:r w:rsidRPr="00E915DB">
        <w:t xml:space="preserve">relevance to precision medicine, diagnostic or therapeutic implications, and </w:t>
      </w:r>
      <w:r w:rsidR="00900807" w:rsidRPr="00E915DB">
        <w:t xml:space="preserve">overall </w:t>
      </w:r>
      <w:r w:rsidRPr="00E915DB">
        <w:t>methodological quality. Studies considered to have limited methodological robustness or lacking clear clinical significance were not prioritized. Given the broad scope of gynecologic pathology, exhaustive systematic coverage of all topics was beyond the aims of this review</w:t>
      </w:r>
      <w:r w:rsidR="00900807" w:rsidRPr="00E915DB">
        <w:t>. Therefore</w:t>
      </w:r>
      <w:r w:rsidRPr="00E915DB">
        <w:t xml:space="preserve">, the discussion was intentionally focused on areas of greatest current clinical relevance and on </w:t>
      </w:r>
      <w:r w:rsidR="00900807" w:rsidRPr="00E915DB">
        <w:t xml:space="preserve">emerging </w:t>
      </w:r>
      <w:r w:rsidRPr="00E915DB">
        <w:t>developments with the highest potential future impact.</w:t>
      </w:r>
    </w:p>
    <w:p w14:paraId="7B23DD45" w14:textId="47AE15A6" w:rsidR="00D13531" w:rsidRPr="00E915DB" w:rsidRDefault="00D13531" w:rsidP="00EF7E97">
      <w:pPr>
        <w:pStyle w:val="1"/>
      </w:pPr>
      <w:r w:rsidRPr="00E915DB">
        <w:t>2. From Morphology to Biology: A New Grammar for Gynec</w:t>
      </w:r>
      <w:r w:rsidR="00DA7EBA" w:rsidRPr="00E915DB">
        <w:t>ologic Pathology</w:t>
      </w:r>
    </w:p>
    <w:p w14:paraId="3F45DB6F" w14:textId="25D52034" w:rsidR="00695F65" w:rsidRPr="00E915DB" w:rsidRDefault="007E174C" w:rsidP="00EF7E97">
      <w:pPr>
        <w:pStyle w:val="2"/>
      </w:pPr>
      <w:r w:rsidRPr="00E915DB">
        <w:t>Integration of Molecular Diagnostics in Modern Pathology Workflows</w:t>
      </w:r>
    </w:p>
    <w:p w14:paraId="3FE1C677" w14:textId="676AFBA9" w:rsidR="001E62BC" w:rsidRPr="00E915DB" w:rsidRDefault="001E62BC" w:rsidP="00EF7E97">
      <w:pPr>
        <w:pStyle w:val="Text"/>
        <w:ind w:firstLine="420"/>
        <w:rPr>
          <w:i/>
        </w:rPr>
      </w:pPr>
      <w:r w:rsidRPr="00E915DB">
        <w:t>The integration of molecular diagnostics into contemporary pathology practice marks a transformative shift from traditional morphology-</w:t>
      </w:r>
      <w:r w:rsidR="001E5882" w:rsidRPr="00E915DB">
        <w:t>cent</w:t>
      </w:r>
      <w:r w:rsidR="00900807" w:rsidRPr="00E915DB">
        <w:t>e</w:t>
      </w:r>
      <w:r w:rsidR="001E5882" w:rsidRPr="00E915DB">
        <w:t>red</w:t>
      </w:r>
      <w:r w:rsidRPr="00E915DB">
        <w:t xml:space="preserve"> assessment to</w:t>
      </w:r>
      <w:r w:rsidR="00900807" w:rsidRPr="00E915DB">
        <w:t>ward</w:t>
      </w:r>
      <w:r w:rsidRPr="00E915DB">
        <w:t xml:space="preserve"> a multimodal approach that </w:t>
      </w:r>
      <w:r w:rsidR="00900807" w:rsidRPr="00E915DB">
        <w:t xml:space="preserve">combines </w:t>
      </w:r>
      <w:r w:rsidRPr="00E915DB">
        <w:t xml:space="preserve">histologic, immunophenotypic, and genomic data </w:t>
      </w:r>
      <w:r w:rsidR="00900807" w:rsidRPr="00E915DB">
        <w:t xml:space="preserve">to support </w:t>
      </w:r>
      <w:r w:rsidRPr="00E915DB">
        <w:t>precision diagnosis and therap</w:t>
      </w:r>
      <w:r w:rsidR="00900807" w:rsidRPr="00E915DB">
        <w:t>eutic decision-making</w:t>
      </w:r>
      <w:r w:rsidRPr="00E915DB">
        <w:t>.</w:t>
      </w:r>
    </w:p>
    <w:p w14:paraId="3C9F21FE" w14:textId="7B564EFE" w:rsidR="001E62BC" w:rsidRPr="00E915DB" w:rsidRDefault="001E62BC" w:rsidP="00EF7E97">
      <w:pPr>
        <w:pStyle w:val="Text"/>
        <w:ind w:firstLine="420"/>
      </w:pPr>
      <w:r w:rsidRPr="00E915DB">
        <w:t xml:space="preserve">The growing application of </w:t>
      </w:r>
      <w:r w:rsidR="009340D3" w:rsidRPr="00E915DB">
        <w:t>next-generation</w:t>
      </w:r>
      <w:r w:rsidR="00810A41" w:rsidRPr="00E915DB">
        <w:t xml:space="preserve"> sequencing </w:t>
      </w:r>
      <w:r w:rsidRPr="00E915DB">
        <w:t xml:space="preserve">(NGS) in gynecologic pathology reflects </w:t>
      </w:r>
      <w:r w:rsidR="00900807" w:rsidRPr="00E915DB">
        <w:t xml:space="preserve">the increasing </w:t>
      </w:r>
      <w:r w:rsidRPr="00E915DB">
        <w:t xml:space="preserve">understanding that many gynecologic tumors </w:t>
      </w:r>
      <w:r w:rsidR="00FB15B1" w:rsidRPr="00E915DB">
        <w:t>harbor</w:t>
      </w:r>
      <w:r w:rsidRPr="00E915DB">
        <w:t xml:space="preserve"> recurrent, clinically relevant molecular alterations</w:t>
      </w:r>
      <w:r w:rsidR="00900807" w:rsidRPr="00E915DB">
        <w:t xml:space="preserve">. NGS </w:t>
      </w:r>
      <w:r w:rsidRPr="00E915DB">
        <w:t>enables the simultaneous detection of point mutations, copy number variations, gene fusions, and microsatellite instability</w:t>
      </w:r>
      <w:r w:rsidR="00900807" w:rsidRPr="00E915DB">
        <w:t>, thereby</w:t>
      </w:r>
      <w:r w:rsidRPr="00E915DB">
        <w:t xml:space="preserve"> </w:t>
      </w:r>
      <w:r w:rsidR="00900807" w:rsidRPr="00E915DB">
        <w:t xml:space="preserve">providing </w:t>
      </w:r>
      <w:r w:rsidRPr="00E915DB">
        <w:t>a comprehensive molecular profile from minimal tissue input. NGS has been instrumental in this transition, enabling comprehensive molecular profiling directly from formalin-fixed, paraffin-embedded (FFPE) tissue</w:t>
      </w:r>
      <w:r w:rsidR="00900807" w:rsidRPr="00E915DB">
        <w:t>,</w:t>
      </w:r>
      <w:r w:rsidRPr="00E915DB">
        <w:t xml:space="preserve"> </w:t>
      </w:r>
      <w:r w:rsidR="00900807" w:rsidRPr="00E915DB">
        <w:t>a</w:t>
      </w:r>
      <w:r w:rsidRPr="00E915DB">
        <w:t xml:space="preserve"> </w:t>
      </w:r>
      <w:r w:rsidR="00900807" w:rsidRPr="00E915DB">
        <w:t>well-</w:t>
      </w:r>
      <w:r w:rsidRPr="00E915DB">
        <w:t>established cornerstone of surgical pathology workflows. This advancement allows pathologists to refine diagnoses, especially in histologically ambiguous or rare tumors, and to deliver clinically actionable insights, including predictive biomarkers for targeted therapies a</w:t>
      </w:r>
      <w:r w:rsidR="00941A29" w:rsidRPr="00E915DB">
        <w:t>nd immune checkpoint inhibitors</w:t>
      </w:r>
      <w:r w:rsidR="007111C5" w:rsidRPr="00E915DB">
        <w:t xml:space="preserve"> [</w:t>
      </w:r>
      <w:r w:rsidR="00941A29" w:rsidRPr="00E915DB">
        <w:t>1</w:t>
      </w:r>
      <w:r w:rsidR="007111C5" w:rsidRPr="00E915DB">
        <w:t>]</w:t>
      </w:r>
      <w:r w:rsidR="00941A29" w:rsidRPr="00E915DB">
        <w:t>.</w:t>
      </w:r>
    </w:p>
    <w:p w14:paraId="70921067" w14:textId="61CA25CB" w:rsidR="001E62BC" w:rsidRPr="00E915DB" w:rsidRDefault="001E62BC" w:rsidP="00EF7E97">
      <w:pPr>
        <w:pStyle w:val="Text"/>
        <w:ind w:firstLine="420"/>
      </w:pPr>
      <w:r w:rsidRPr="00E915DB">
        <w:t xml:space="preserve">Molecular findings are now routinely included in pathology reports, requiring close collaboration among pathologists, molecular biologists, and bioinformaticians, and </w:t>
      </w:r>
      <w:r w:rsidR="00822284" w:rsidRPr="00E915DB">
        <w:t xml:space="preserve">further </w:t>
      </w:r>
      <w:r w:rsidRPr="00E915DB">
        <w:t>reinforcing the inherently multidisciplinary nature of modern oncologic care</w:t>
      </w:r>
      <w:r w:rsidR="002B728F" w:rsidRPr="00E915DB">
        <w:t xml:space="preserve"> [</w:t>
      </w:r>
      <w:r w:rsidR="005E707F" w:rsidRPr="00E915DB">
        <w:t>4</w:t>
      </w:r>
      <w:r w:rsidR="007111C5" w:rsidRPr="00E915DB">
        <w:t>]</w:t>
      </w:r>
      <w:r w:rsidRPr="00E915DB">
        <w:t xml:space="preserve">. Additionally, advances in automation, digital pathology platforms, and laboratory information systems have streamlined the integration </w:t>
      </w:r>
      <w:r w:rsidR="00822284" w:rsidRPr="00E915DB">
        <w:t xml:space="preserve">and reporting </w:t>
      </w:r>
      <w:r w:rsidRPr="00E915DB">
        <w:t xml:space="preserve">of molecular data, reducing turnaround times and enhancing clinical applicability. Recent editorial </w:t>
      </w:r>
      <w:r w:rsidR="00822284" w:rsidRPr="00E915DB">
        <w:t xml:space="preserve">perspectives have </w:t>
      </w:r>
      <w:r w:rsidRPr="00E915DB">
        <w:t xml:space="preserve">further emphasized the synergistic integration of molecular diagnostics, digital pathology, and biobanking in </w:t>
      </w:r>
      <w:r w:rsidR="00822284" w:rsidRPr="00E915DB">
        <w:t xml:space="preserve">contemporary </w:t>
      </w:r>
      <w:r w:rsidRPr="00E915DB">
        <w:t xml:space="preserve">gynecologic pathology. These domains no longer </w:t>
      </w:r>
      <w:r w:rsidR="00822284" w:rsidRPr="00E915DB">
        <w:t xml:space="preserve">represent </w:t>
      </w:r>
      <w:r w:rsidRPr="00E915DB">
        <w:t>parallel developments</w:t>
      </w:r>
      <w:r w:rsidR="00822284" w:rsidRPr="00E915DB">
        <w:t>,</w:t>
      </w:r>
      <w:r w:rsidRPr="00E915DB">
        <w:t xml:space="preserve"> but </w:t>
      </w:r>
      <w:r w:rsidR="00822284" w:rsidRPr="00E915DB">
        <w:t xml:space="preserve">rather </w:t>
      </w:r>
      <w:r w:rsidRPr="00E915DB">
        <w:t xml:space="preserve">converging technologies that collectively enhance diagnostic precision, </w:t>
      </w:r>
      <w:r w:rsidR="00822284" w:rsidRPr="00E915DB">
        <w:t xml:space="preserve">support </w:t>
      </w:r>
      <w:r w:rsidRPr="00E915DB">
        <w:t xml:space="preserve">personalized treatment strategies, and support translational research. In particular, molecular profiling is </w:t>
      </w:r>
      <w:r w:rsidRPr="00E915DB">
        <w:lastRenderedPageBreak/>
        <w:t xml:space="preserve">increasingly complemented by digital workflows and </w:t>
      </w:r>
      <w:r w:rsidR="00822284" w:rsidRPr="00E915DB">
        <w:t>high-quality</w:t>
      </w:r>
      <w:r w:rsidRPr="00E915DB">
        <w:t xml:space="preserve"> </w:t>
      </w:r>
      <w:proofErr w:type="spellStart"/>
      <w:r w:rsidRPr="00E915DB">
        <w:t>biobanked</w:t>
      </w:r>
      <w:proofErr w:type="spellEnd"/>
      <w:r w:rsidRPr="00E915DB">
        <w:t xml:space="preserve"> specimens, fostering a new era of data-</w:t>
      </w:r>
      <w:r w:rsidR="00822284" w:rsidRPr="00E915DB">
        <w:t>driven</w:t>
      </w:r>
      <w:r w:rsidRPr="00E915DB">
        <w:t>, pati</w:t>
      </w:r>
      <w:r w:rsidR="00941A29" w:rsidRPr="00E915DB">
        <w:t>ent-</w:t>
      </w:r>
      <w:r w:rsidR="00822284" w:rsidRPr="00E915DB">
        <w:t xml:space="preserve">centered </w:t>
      </w:r>
      <w:r w:rsidR="00941A29" w:rsidRPr="00E915DB">
        <w:t>pathology practice</w:t>
      </w:r>
      <w:r w:rsidR="002B728F" w:rsidRPr="00E915DB">
        <w:t xml:space="preserve"> [</w:t>
      </w:r>
      <w:r w:rsidR="005E707F" w:rsidRPr="00E915DB">
        <w:t>5</w:t>
      </w:r>
      <w:r w:rsidR="007111C5" w:rsidRPr="00E915DB">
        <w:t>]</w:t>
      </w:r>
      <w:r w:rsidR="00941A29" w:rsidRPr="00E915DB">
        <w:t>.</w:t>
      </w:r>
    </w:p>
    <w:p w14:paraId="299CD2D1" w14:textId="3983D3C1" w:rsidR="005917E0" w:rsidRPr="00E915DB" w:rsidRDefault="00B23F7A" w:rsidP="00EF7E97">
      <w:pPr>
        <w:pStyle w:val="Text"/>
        <w:ind w:firstLine="420"/>
      </w:pPr>
      <w:r w:rsidRPr="00E915DB">
        <w:t>T</w:t>
      </w:r>
      <w:r w:rsidR="001E62BC" w:rsidRPr="00E915DB">
        <w:t xml:space="preserve">he clinical integration of NGS </w:t>
      </w:r>
      <w:r w:rsidRPr="00E915DB">
        <w:t xml:space="preserve">is accelerating the shift toward precision oncology in gynecologic pathology. Molecular </w:t>
      </w:r>
      <w:r w:rsidR="00822284" w:rsidRPr="00E915DB">
        <w:t>alterations</w:t>
      </w:r>
      <w:r w:rsidRPr="00E915DB">
        <w:t xml:space="preserve"> have emerged as critical biomarkers that inform both diagnosis and therapeutic decision-making</w:t>
      </w:r>
      <w:r w:rsidR="002B728F" w:rsidRPr="00E915DB">
        <w:t xml:space="preserve"> [</w:t>
      </w:r>
      <w:r w:rsidR="005E707F" w:rsidRPr="00E915DB">
        <w:t>6</w:t>
      </w:r>
      <w:r w:rsidR="007111C5" w:rsidRPr="00E915DB">
        <w:t>]</w:t>
      </w:r>
      <w:r w:rsidRPr="00E915DB">
        <w:t xml:space="preserve">. In parallel, rare and histologically ambiguous </w:t>
      </w:r>
      <w:r w:rsidR="00822284" w:rsidRPr="00E915DB">
        <w:t xml:space="preserve">tumors </w:t>
      </w:r>
      <w:r w:rsidRPr="00E915DB">
        <w:t xml:space="preserve">are increasingly </w:t>
      </w:r>
      <w:r w:rsidR="00822284" w:rsidRPr="00E915DB">
        <w:t xml:space="preserve">being characterized </w:t>
      </w:r>
      <w:r w:rsidRPr="00E915DB">
        <w:t xml:space="preserve">through the identification of pathognomonic fusions and mutational signatures, </w:t>
      </w:r>
      <w:r w:rsidR="00822284" w:rsidRPr="00E915DB">
        <w:t xml:space="preserve">thereby </w:t>
      </w:r>
      <w:r w:rsidRPr="00E915DB">
        <w:t xml:space="preserve">expanding the diagnostic </w:t>
      </w:r>
      <w:r w:rsidR="00822284" w:rsidRPr="00E915DB">
        <w:t xml:space="preserve">capabilities </w:t>
      </w:r>
      <w:r w:rsidRPr="00E915DB">
        <w:t xml:space="preserve">of the pathologist and enabling </w:t>
      </w:r>
      <w:r w:rsidR="00822284" w:rsidRPr="00E915DB">
        <w:t xml:space="preserve">more </w:t>
      </w:r>
      <w:r w:rsidRPr="00E915DB">
        <w:t>personalized</w:t>
      </w:r>
      <w:r w:rsidR="00822284" w:rsidRPr="00E915DB">
        <w:t xml:space="preserve"> therapeutic</w:t>
      </w:r>
      <w:r w:rsidRPr="00E915DB">
        <w:t xml:space="preserve"> strategies.</w:t>
      </w:r>
    </w:p>
    <w:p w14:paraId="659C5E16" w14:textId="03D60546" w:rsidR="005917E0" w:rsidRPr="00E915DB" w:rsidRDefault="005917E0" w:rsidP="00EF7E97">
      <w:pPr>
        <w:pStyle w:val="Text"/>
        <w:ind w:firstLine="420"/>
      </w:pPr>
      <w:r w:rsidRPr="00E915DB">
        <w:t xml:space="preserve">Beyond its well-established clinical applications, molecular pathology in gynecologic oncology is currently shaped by several unresolved controversies that reflect both </w:t>
      </w:r>
      <w:r w:rsidR="00822284" w:rsidRPr="00E915DB">
        <w:t xml:space="preserve">the </w:t>
      </w:r>
      <w:r w:rsidRPr="00E915DB">
        <w:t xml:space="preserve">rapid evolution </w:t>
      </w:r>
      <w:r w:rsidR="00822284" w:rsidRPr="00E915DB">
        <w:t xml:space="preserve">of technological advancements </w:t>
      </w:r>
      <w:r w:rsidRPr="00E915DB">
        <w:t xml:space="preserve">and </w:t>
      </w:r>
      <w:r w:rsidR="00822284" w:rsidRPr="00E915DB">
        <w:t xml:space="preserve">the </w:t>
      </w:r>
      <w:r w:rsidRPr="00E915DB">
        <w:t xml:space="preserve">incomplete integration </w:t>
      </w:r>
      <w:r w:rsidR="00822284" w:rsidRPr="00E915DB">
        <w:t xml:space="preserve">of molecular testing </w:t>
      </w:r>
      <w:r w:rsidRPr="00E915DB">
        <w:t xml:space="preserve">into routine </w:t>
      </w:r>
      <w:r w:rsidR="00822284" w:rsidRPr="00E915DB">
        <w:t xml:space="preserve">clinical </w:t>
      </w:r>
      <w:r w:rsidRPr="00E915DB">
        <w:t xml:space="preserve">practice. These debates are not </w:t>
      </w:r>
      <w:r w:rsidR="00B04642" w:rsidRPr="00E915DB">
        <w:t xml:space="preserve">solely </w:t>
      </w:r>
      <w:r w:rsidRPr="00E915DB">
        <w:t xml:space="preserve">technical </w:t>
      </w:r>
      <w:r w:rsidR="00B04642" w:rsidRPr="00E915DB">
        <w:t xml:space="preserve">in nature, </w:t>
      </w:r>
      <w:r w:rsidRPr="00E915DB">
        <w:t xml:space="preserve">but </w:t>
      </w:r>
      <w:r w:rsidR="00B04642" w:rsidRPr="00E915DB">
        <w:t xml:space="preserve">also </w:t>
      </w:r>
      <w:r w:rsidRPr="00E915DB">
        <w:t xml:space="preserve">conceptual, as they challenge the boundaries between morphology and genomics, between prognostic stratification and therapeutic actionability, and between technological </w:t>
      </w:r>
      <w:r w:rsidR="00B04642" w:rsidRPr="00E915DB">
        <w:t xml:space="preserve">innovation </w:t>
      </w:r>
      <w:r w:rsidRPr="00E915DB">
        <w:t xml:space="preserve">and real-world </w:t>
      </w:r>
      <w:r w:rsidR="00B04642" w:rsidRPr="00E915DB">
        <w:t xml:space="preserve">clinical </w:t>
      </w:r>
      <w:r w:rsidRPr="00E915DB">
        <w:t>applicability.</w:t>
      </w:r>
    </w:p>
    <w:p w14:paraId="3AD262C3" w14:textId="520D6BC6" w:rsidR="005917E0" w:rsidRPr="00E915DB" w:rsidRDefault="005917E0" w:rsidP="00EF7E97">
      <w:pPr>
        <w:pStyle w:val="Text"/>
        <w:ind w:firstLine="420"/>
      </w:pPr>
      <w:r w:rsidRPr="00E915DB">
        <w:t xml:space="preserve">Key areas of ongoing discussion include the optimal </w:t>
      </w:r>
      <w:r w:rsidR="009D24CC" w:rsidRPr="00E915DB">
        <w:t xml:space="preserve">scope </w:t>
      </w:r>
      <w:r w:rsidRPr="00E915DB">
        <w:t>of molecular testing</w:t>
      </w:r>
      <w:r w:rsidR="009D24CC" w:rsidRPr="00E915DB">
        <w:t>, particularly the use of</w:t>
      </w:r>
      <w:r w:rsidRPr="00E915DB">
        <w:t xml:space="preserve"> targeted panels versus broader sequencing approaches</w:t>
      </w:r>
      <w:r w:rsidR="009D24CC" w:rsidRPr="00E915DB">
        <w:t>;</w:t>
      </w:r>
      <w:r w:rsidRPr="00E915DB">
        <w:t xml:space="preserve"> the clinical interpretation of variants of uncertain significance</w:t>
      </w:r>
      <w:r w:rsidR="00875AAD" w:rsidRPr="00E915DB">
        <w:t xml:space="preserve"> (VUS)</w:t>
      </w:r>
      <w:r w:rsidR="009D24CC" w:rsidRPr="00E915DB">
        <w:t>;</w:t>
      </w:r>
      <w:r w:rsidRPr="00E915DB">
        <w:t xml:space="preserve"> the degree to which molecular classification should </w:t>
      </w:r>
      <w:r w:rsidR="009D24CC" w:rsidRPr="00E915DB">
        <w:t xml:space="preserve">supersede </w:t>
      </w:r>
      <w:r w:rsidRPr="00E915DB">
        <w:t>histopathologic assessment</w:t>
      </w:r>
      <w:r w:rsidR="009D24CC" w:rsidRPr="00E915DB">
        <w:t>;</w:t>
      </w:r>
      <w:r w:rsidRPr="00E915DB">
        <w:t xml:space="preserve"> and the cost-effectiveness and accessibility of advanced genomic technologies across different healthcare systems.</w:t>
      </w:r>
    </w:p>
    <w:p w14:paraId="49F0FFC8" w14:textId="67EC7061" w:rsidR="005917E0" w:rsidRPr="00E915DB" w:rsidRDefault="005917E0" w:rsidP="00EF7E97">
      <w:pPr>
        <w:pStyle w:val="Text"/>
        <w:ind w:firstLine="420"/>
      </w:pPr>
      <w:r w:rsidRPr="00E915DB">
        <w:t>Addressing these issues is essential not only to refine diagnostic algorithms</w:t>
      </w:r>
      <w:r w:rsidR="009D24CC" w:rsidRPr="00E915DB">
        <w:t>,</w:t>
      </w:r>
      <w:r w:rsidRPr="00E915DB">
        <w:t xml:space="preserve"> but also to avoid the risk of overinterpretation or premature clinical translation of molecular data. A critical appraisal of these controversies highlights that the integration of molecular pathology is not a linear progression</w:t>
      </w:r>
      <w:r w:rsidR="004F6136" w:rsidRPr="00E915DB">
        <w:t>,</w:t>
      </w:r>
      <w:r w:rsidRPr="00E915DB">
        <w:t xml:space="preserve"> but </w:t>
      </w:r>
      <w:r w:rsidR="004F6136" w:rsidRPr="00E915DB">
        <w:t xml:space="preserve">rather </w:t>
      </w:r>
      <w:r w:rsidRPr="00E915DB">
        <w:t xml:space="preserve">a dynamic process </w:t>
      </w:r>
      <w:r w:rsidR="004F6136" w:rsidRPr="00E915DB">
        <w:t xml:space="preserve">that </w:t>
      </w:r>
      <w:r w:rsidRPr="00E915DB">
        <w:t>requir</w:t>
      </w:r>
      <w:r w:rsidR="004F6136" w:rsidRPr="00E915DB">
        <w:t>es</w:t>
      </w:r>
      <w:r w:rsidRPr="00E915DB">
        <w:t xml:space="preserve"> continuous validation, multidisciplinary dialogue, and careful alignment between biological insight and clinical benefit.</w:t>
      </w:r>
    </w:p>
    <w:p w14:paraId="0B6CADCD" w14:textId="4172399A" w:rsidR="004F22BC" w:rsidRPr="00E915DB" w:rsidRDefault="0037603C" w:rsidP="00EF7E97">
      <w:pPr>
        <w:pStyle w:val="Text"/>
        <w:ind w:firstLine="420"/>
      </w:pPr>
      <w:r w:rsidRPr="00E915DB">
        <w:t xml:space="preserve">In this context, it is also important to acknowledge the persistent gap between the identification of “actionable” molecular alterations and the achievement of meaningful clinical benefit. Not all targetable findings translate into effective therapeutic responses, and even when </w:t>
      </w:r>
      <w:r w:rsidR="004F6136" w:rsidRPr="00E915DB">
        <w:t xml:space="preserve">an </w:t>
      </w:r>
      <w:r w:rsidRPr="00E915DB">
        <w:t xml:space="preserve">initial </w:t>
      </w:r>
      <w:r w:rsidR="004F6136" w:rsidRPr="00E915DB">
        <w:t xml:space="preserve">response </w:t>
      </w:r>
      <w:r w:rsidRPr="00E915DB">
        <w:t>is observed, tumor heterogeneity and the emergence of resistance mechanisms frequently limit the durability of treatment. Therefore, the concept of actionability should not be regarded as a binary attribute, but rather as a context-dependent and dynamic property influenced by biological complexity, clonal architecture, and temporal tumor evolution. Recognizing this limitation is essential to ensure that the promises of precision medicine are interpreted with appropriate clinical and biological caution.</w:t>
      </w:r>
    </w:p>
    <w:p w14:paraId="63543CB4" w14:textId="70F18F42" w:rsidR="004F22BC" w:rsidRPr="00E915DB" w:rsidRDefault="00D13531" w:rsidP="00EF7E97">
      <w:pPr>
        <w:pStyle w:val="1"/>
      </w:pPr>
      <w:r w:rsidRPr="00E915DB">
        <w:t>3. Endometrial Carcinoma</w:t>
      </w:r>
      <w:r w:rsidR="00810A41" w:rsidRPr="00E915DB">
        <w:t xml:space="preserve"> (EC)</w:t>
      </w:r>
      <w:r w:rsidR="00DA7EBA" w:rsidRPr="00E915DB">
        <w:t>: The Paradigm Shift</w:t>
      </w:r>
    </w:p>
    <w:p w14:paraId="67A79B9F" w14:textId="6F6D7656" w:rsidR="00D13531" w:rsidRPr="00E915DB" w:rsidRDefault="00D13531" w:rsidP="00EF7E97">
      <w:pPr>
        <w:pStyle w:val="2"/>
      </w:pPr>
      <w:r w:rsidRPr="00E915DB">
        <w:t>3.1 From Bokhman’s Dualism to TCGA</w:t>
      </w:r>
    </w:p>
    <w:p w14:paraId="06A5AB04" w14:textId="033E329C" w:rsidR="00B23F7A" w:rsidRPr="00E915DB" w:rsidRDefault="00C4686F" w:rsidP="00EF7E97">
      <w:pPr>
        <w:pStyle w:val="Text"/>
        <w:ind w:firstLine="420"/>
      </w:pPr>
      <w:r w:rsidRPr="00E915DB">
        <w:t xml:space="preserve">EC was historically </w:t>
      </w:r>
      <w:r w:rsidR="006D0677" w:rsidRPr="00E915DB">
        <w:t>classified according to</w:t>
      </w:r>
      <w:r w:rsidRPr="00E915DB">
        <w:t xml:space="preserve"> </w:t>
      </w:r>
      <w:proofErr w:type="spellStart"/>
      <w:r w:rsidRPr="00E915DB">
        <w:t>Bokhman</w:t>
      </w:r>
      <w:r w:rsidR="00E04050" w:rsidRPr="00E915DB">
        <w:t>’</w:t>
      </w:r>
      <w:r w:rsidRPr="00E915DB">
        <w:t>s</w:t>
      </w:r>
      <w:proofErr w:type="spellEnd"/>
      <w:r w:rsidRPr="00E915DB">
        <w:t xml:space="preserve"> dualistic model, which distinguished between estrogen-dependent, low-grade endometrioid tumors (type I) </w:t>
      </w:r>
      <w:r w:rsidR="006D0677" w:rsidRPr="00E915DB">
        <w:t xml:space="preserve">from </w:t>
      </w:r>
      <w:r w:rsidRPr="00E915DB">
        <w:t>estrogen-independent, high-grade non-endometrioid tumors (type II). Although widely adopted, this morphologic paradigm has demonstrated limited prognostic value due to overlapping histologic features and substantial interobserver variability</w:t>
      </w:r>
      <w:r w:rsidR="00941A29" w:rsidRPr="00E915DB">
        <w:t xml:space="preserve"> [</w:t>
      </w:r>
      <w:r w:rsidR="00247834" w:rsidRPr="00E915DB">
        <w:t>7,</w:t>
      </w:r>
      <w:r w:rsidR="00E04050" w:rsidRPr="00E915DB">
        <w:t xml:space="preserve"> </w:t>
      </w:r>
      <w:r w:rsidR="005E707F" w:rsidRPr="00E915DB">
        <w:t>8</w:t>
      </w:r>
      <w:r w:rsidR="008C06E3" w:rsidRPr="00E915DB">
        <w:t>]</w:t>
      </w:r>
      <w:r w:rsidRPr="00E915DB">
        <w:t xml:space="preserve">. A major conceptual shift occurred with the advent of large-scale genomic profiling, most notably through TCGA, which identified four robust molecular subtypes: </w:t>
      </w:r>
      <w:r w:rsidR="00214823" w:rsidRPr="00E915DB">
        <w:t>DNA polymerase epsilon, catalytic subunit A</w:t>
      </w:r>
      <w:r w:rsidR="005403A6" w:rsidRPr="00E915DB">
        <w:t xml:space="preserve"> (</w:t>
      </w:r>
      <w:r w:rsidRPr="00E915DB">
        <w:t>POLE</w:t>
      </w:r>
      <w:r w:rsidR="005403A6" w:rsidRPr="00E915DB">
        <w:t>)</w:t>
      </w:r>
      <w:r w:rsidRPr="00E915DB">
        <w:t>-</w:t>
      </w:r>
      <w:proofErr w:type="spellStart"/>
      <w:r w:rsidRPr="00E915DB">
        <w:t>ultramutated</w:t>
      </w:r>
      <w:proofErr w:type="spellEnd"/>
      <w:r w:rsidRPr="00E915DB">
        <w:t>, microsatellite instability-high (MSI-H), copy-number low (NSMP), and copy-number high (serous-like)</w:t>
      </w:r>
      <w:r w:rsidR="006D0677" w:rsidRPr="00E915DB">
        <w:t>. These subtypes</w:t>
      </w:r>
      <w:r w:rsidRPr="00E915DB">
        <w:t xml:space="preserve"> transcend traditional histologic boundaries and carry significant clinical implications</w:t>
      </w:r>
      <w:r w:rsidR="00941A29" w:rsidRPr="00E915DB">
        <w:t xml:space="preserve"> [</w:t>
      </w:r>
      <w:r w:rsidR="005E707F" w:rsidRPr="00E915DB">
        <w:t>9</w:t>
      </w:r>
      <w:r w:rsidR="002B728F" w:rsidRPr="00E915DB">
        <w:t>]</w:t>
      </w:r>
      <w:r w:rsidR="00941A29" w:rsidRPr="00E915DB">
        <w:t>.</w:t>
      </w:r>
    </w:p>
    <w:p w14:paraId="0F20E72F" w14:textId="77777777" w:rsidR="00D13531" w:rsidRPr="00E915DB" w:rsidRDefault="00D13531" w:rsidP="00EF7E97">
      <w:pPr>
        <w:pStyle w:val="2"/>
      </w:pPr>
      <w:r w:rsidRPr="00E915DB">
        <w:lastRenderedPageBreak/>
        <w:t>3.2 Molecular Classification in Daily Practice</w:t>
      </w:r>
    </w:p>
    <w:p w14:paraId="75CACDFA" w14:textId="2E2E03AB" w:rsidR="004159B5" w:rsidRPr="00E915DB" w:rsidRDefault="004159B5" w:rsidP="00EF7E97">
      <w:pPr>
        <w:pStyle w:val="Text"/>
        <w:ind w:firstLine="420"/>
      </w:pPr>
      <w:r w:rsidRPr="00E915DB">
        <w:t xml:space="preserve">Subsequent studies have expanded these findings, showing that high-grade endometrioid carcinomas often exhibit molecular alterations and clinical </w:t>
      </w:r>
      <w:r w:rsidR="00FB15B1" w:rsidRPr="00E915DB">
        <w:t>behavior</w:t>
      </w:r>
      <w:r w:rsidRPr="00E915DB">
        <w:t xml:space="preserve"> more consistent with serous carcinomas than with low-grade endometrioid tumors. The incorporation of immunohistochemical surrogates</w:t>
      </w:r>
      <w:r w:rsidR="006D0677" w:rsidRPr="00E915DB">
        <w:t>,</w:t>
      </w:r>
      <w:r w:rsidRPr="00E915DB">
        <w:t xml:space="preserve"> </w:t>
      </w:r>
      <w:r w:rsidR="006D0677" w:rsidRPr="00E915DB">
        <w:t>including</w:t>
      </w:r>
      <w:r w:rsidRPr="00E915DB">
        <w:t xml:space="preserve"> </w:t>
      </w:r>
      <w:bookmarkStart w:id="0" w:name="_Hlk227575154"/>
      <w:r w:rsidRPr="00E915DB">
        <w:t>mismatch repair (</w:t>
      </w:r>
      <w:bookmarkEnd w:id="0"/>
      <w:r w:rsidRPr="00E915DB">
        <w:t>MMR) proteins, p53, and hormone receptors</w:t>
      </w:r>
      <w:r w:rsidR="006D0677" w:rsidRPr="00E915DB">
        <w:t>,</w:t>
      </w:r>
      <w:r w:rsidRPr="00E915DB">
        <w:t xml:space="preserve"> has proven effective in approximating molecular subtypes in routine diagnostic </w:t>
      </w:r>
      <w:r w:rsidR="006D0677" w:rsidRPr="00E915DB">
        <w:t>practice</w:t>
      </w:r>
      <w:r w:rsidRPr="00E915DB">
        <w:t xml:space="preserve">. These biomarkers not only </w:t>
      </w:r>
      <w:r w:rsidR="006D0677" w:rsidRPr="00E915DB">
        <w:t xml:space="preserve">support </w:t>
      </w:r>
      <w:r w:rsidRPr="00E915DB">
        <w:t xml:space="preserve">subtype classification but also provide prognostic information and </w:t>
      </w:r>
      <w:r w:rsidR="006D0677" w:rsidRPr="00E915DB">
        <w:t xml:space="preserve">help </w:t>
      </w:r>
      <w:r w:rsidRPr="00E915DB">
        <w:t>guide therapeutic decisions</w:t>
      </w:r>
      <w:r w:rsidR="00941A29" w:rsidRPr="00E915DB">
        <w:t xml:space="preserve"> [</w:t>
      </w:r>
      <w:r w:rsidR="005E707F" w:rsidRPr="00E915DB">
        <w:t>10</w:t>
      </w:r>
      <w:r w:rsidR="002B728F" w:rsidRPr="00E915DB">
        <w:t>]</w:t>
      </w:r>
      <w:r w:rsidR="00941A29" w:rsidRPr="00E915DB">
        <w:t>.</w:t>
      </w:r>
    </w:p>
    <w:p w14:paraId="004CDFC4" w14:textId="06DA41E5" w:rsidR="004159B5" w:rsidRPr="00E915DB" w:rsidRDefault="004159B5" w:rsidP="00EF7E97">
      <w:pPr>
        <w:pStyle w:val="Text"/>
        <w:ind w:firstLine="420"/>
      </w:pPr>
      <w:r w:rsidRPr="00E915DB">
        <w:t xml:space="preserve">Emerging evidence also supports the integration of hormone receptor expression into risk </w:t>
      </w:r>
      <w:r w:rsidR="00CD37E9" w:rsidRPr="00E915DB">
        <w:t xml:space="preserve">classification </w:t>
      </w:r>
      <w:r w:rsidRPr="00E915DB">
        <w:t xml:space="preserve">algorithms. The presence or absence of estrogen and progesterone receptor expression has been </w:t>
      </w:r>
      <w:r w:rsidR="00CD37E9" w:rsidRPr="00E915DB">
        <w:t xml:space="preserve">associated </w:t>
      </w:r>
      <w:r w:rsidRPr="00E915DB">
        <w:t xml:space="preserve">with tumor </w:t>
      </w:r>
      <w:r w:rsidR="0036451A" w:rsidRPr="00E915DB">
        <w:t>behavior</w:t>
      </w:r>
      <w:r w:rsidRPr="00E915DB">
        <w:t>, response to hormonal therapies, and overall prognosis</w:t>
      </w:r>
      <w:r w:rsidR="00941A29" w:rsidRPr="00E915DB">
        <w:t xml:space="preserve"> [</w:t>
      </w:r>
      <w:r w:rsidR="005E707F" w:rsidRPr="00E915DB">
        <w:t>11</w:t>
      </w:r>
      <w:r w:rsidR="002B728F" w:rsidRPr="00E915DB">
        <w:t>]</w:t>
      </w:r>
      <w:r w:rsidR="00941A29" w:rsidRPr="00E915DB">
        <w:t>.</w:t>
      </w:r>
    </w:p>
    <w:p w14:paraId="20312411" w14:textId="7E74EE92" w:rsidR="004159B5" w:rsidRPr="00E915DB" w:rsidRDefault="004159B5" w:rsidP="00EF7E97">
      <w:pPr>
        <w:pStyle w:val="Text"/>
        <w:ind w:firstLine="420"/>
      </w:pPr>
      <w:r w:rsidRPr="00E915DB">
        <w:t xml:space="preserve">Recent </w:t>
      </w:r>
      <w:r w:rsidR="00CD37E9" w:rsidRPr="00E915DB">
        <w:t xml:space="preserve">studies </w:t>
      </w:r>
      <w:r w:rsidRPr="00E915DB">
        <w:t xml:space="preserve">have </w:t>
      </w:r>
      <w:r w:rsidR="00CD37E9" w:rsidRPr="00E915DB">
        <w:t xml:space="preserve">further </w:t>
      </w:r>
      <w:r w:rsidRPr="00E915DB">
        <w:t xml:space="preserve">highlighted the role of the androgen receptor (AR) </w:t>
      </w:r>
      <w:r w:rsidR="00CD37E9" w:rsidRPr="00E915DB">
        <w:t xml:space="preserve">signaling </w:t>
      </w:r>
      <w:r w:rsidRPr="00E915DB">
        <w:t xml:space="preserve">in </w:t>
      </w:r>
      <w:r w:rsidR="00CD37E9" w:rsidRPr="00E915DB">
        <w:t xml:space="preserve">the regulation of </w:t>
      </w:r>
      <w:r w:rsidRPr="00E915DB">
        <w:t xml:space="preserve">tumor aggressiveness. </w:t>
      </w:r>
      <w:r w:rsidR="00CD37E9" w:rsidRPr="00E915DB">
        <w:t xml:space="preserve">Although </w:t>
      </w:r>
      <w:r w:rsidRPr="00E915DB">
        <w:t xml:space="preserve">AR expression </w:t>
      </w:r>
      <w:r w:rsidR="00CD37E9" w:rsidRPr="00E915DB">
        <w:t xml:space="preserve">varies </w:t>
      </w:r>
      <w:r w:rsidRPr="00E915DB">
        <w:t xml:space="preserve">across EC subtypes, </w:t>
      </w:r>
      <w:r w:rsidR="00CD37E9" w:rsidRPr="00E915DB">
        <w:t xml:space="preserve">accumulating evidence suggests that it may </w:t>
      </w:r>
      <w:r w:rsidRPr="00E915DB">
        <w:t xml:space="preserve">serve as </w:t>
      </w:r>
      <w:r w:rsidR="00CD37E9" w:rsidRPr="00E915DB">
        <w:t xml:space="preserve">both </w:t>
      </w:r>
      <w:r w:rsidRPr="00E915DB">
        <w:t xml:space="preserve">a prognostic </w:t>
      </w:r>
      <w:r w:rsidR="00CD37E9" w:rsidRPr="00E915DB">
        <w:t>bio</w:t>
      </w:r>
      <w:r w:rsidRPr="00E915DB">
        <w:t xml:space="preserve">marker and </w:t>
      </w:r>
      <w:r w:rsidR="00CD37E9" w:rsidRPr="00E915DB">
        <w:t xml:space="preserve">a </w:t>
      </w:r>
      <w:r w:rsidRPr="00E915DB">
        <w:t xml:space="preserve">potential therapeutic target, particularly in tumors lacking </w:t>
      </w:r>
      <w:r w:rsidR="00CD37E9" w:rsidRPr="00E915DB">
        <w:t xml:space="preserve">expression of </w:t>
      </w:r>
      <w:r w:rsidRPr="00E915DB">
        <w:t xml:space="preserve">classical hormone receptors. </w:t>
      </w:r>
      <w:r w:rsidR="00CD37E9" w:rsidRPr="00E915DB">
        <w:t>Together</w:t>
      </w:r>
      <w:r w:rsidRPr="00E915DB">
        <w:t xml:space="preserve">, these </w:t>
      </w:r>
      <w:r w:rsidR="00CD37E9" w:rsidRPr="00E915DB">
        <w:t xml:space="preserve">advances </w:t>
      </w:r>
      <w:r w:rsidRPr="00E915DB">
        <w:t xml:space="preserve">emphasize the need for an integrated molecular </w:t>
      </w:r>
      <w:r w:rsidR="00CD37E9" w:rsidRPr="00E915DB">
        <w:t xml:space="preserve">profiling </w:t>
      </w:r>
      <w:r w:rsidRPr="00E915DB">
        <w:t>in</w:t>
      </w:r>
      <w:r w:rsidR="00CD37E9" w:rsidRPr="00E915DB">
        <w:t>to</w:t>
      </w:r>
      <w:r w:rsidRPr="00E915DB">
        <w:t xml:space="preserve"> endometrial cancer classification, offering improved diagnostic precision and facilitating personalized therapeutic </w:t>
      </w:r>
      <w:r w:rsidR="00CD37E9" w:rsidRPr="00E915DB">
        <w:t>approaches</w:t>
      </w:r>
      <w:r w:rsidRPr="00E915DB">
        <w:t>.</w:t>
      </w:r>
    </w:p>
    <w:p w14:paraId="18416D0E" w14:textId="78079E95" w:rsidR="004159B5" w:rsidRPr="00E915DB" w:rsidRDefault="004159B5" w:rsidP="00EF7E97">
      <w:pPr>
        <w:pStyle w:val="Text"/>
        <w:ind w:firstLine="420"/>
      </w:pPr>
      <w:r w:rsidRPr="00E915DB">
        <w:t xml:space="preserve"> </w:t>
      </w:r>
      <w:r w:rsidR="00CD37E9" w:rsidRPr="00E915DB">
        <w:t xml:space="preserve">Although traditional </w:t>
      </w:r>
      <w:r w:rsidRPr="00E915DB">
        <w:t>histopathologic parameters</w:t>
      </w:r>
      <w:r w:rsidR="00A66D35" w:rsidRPr="00E915DB">
        <w:t>,</w:t>
      </w:r>
      <w:r w:rsidRPr="00E915DB">
        <w:t xml:space="preserve"> such as grade, stage, and histotype</w:t>
      </w:r>
      <w:r w:rsidR="00A66D35" w:rsidRPr="00E915DB">
        <w:t>,</w:t>
      </w:r>
      <w:r w:rsidRPr="00E915DB">
        <w:t xml:space="preserve"> </w:t>
      </w:r>
      <w:r w:rsidR="00A66D35" w:rsidRPr="00E915DB">
        <w:t xml:space="preserve">remain clinically </w:t>
      </w:r>
      <w:r w:rsidRPr="00E915DB">
        <w:t xml:space="preserve">valuable, </w:t>
      </w:r>
      <w:r w:rsidR="00A66D35" w:rsidRPr="00E915DB">
        <w:t xml:space="preserve">they </w:t>
      </w:r>
      <w:r w:rsidRPr="00E915DB">
        <w:t xml:space="preserve">often fail to capture the biological heterogeneity of these tumors. In contrast, the integration of key molecular markers, </w:t>
      </w:r>
      <w:r w:rsidR="00A66D35" w:rsidRPr="00E915DB">
        <w:t xml:space="preserve">particularly </w:t>
      </w:r>
      <w:r w:rsidRPr="00E915DB">
        <w:t xml:space="preserve">POLE exonuclease domain mutations, MMR status, and p53 abnormalities, has allowed for a deeper understanding of tumor </w:t>
      </w:r>
      <w:r w:rsidR="0036451A" w:rsidRPr="00E915DB">
        <w:t>behavior</w:t>
      </w:r>
      <w:r w:rsidRPr="00E915DB">
        <w:t xml:space="preserve"> and prognostic trajectory.</w:t>
      </w:r>
    </w:p>
    <w:p w14:paraId="210181E3" w14:textId="38814AB9" w:rsidR="004159B5" w:rsidRPr="00E915DB" w:rsidRDefault="004159B5" w:rsidP="00EF7E97">
      <w:pPr>
        <w:pStyle w:val="Text"/>
        <w:ind w:firstLine="420"/>
      </w:pPr>
      <w:r w:rsidRPr="00E915DB">
        <w:t xml:space="preserve">From a prognostic </w:t>
      </w:r>
      <w:r w:rsidR="00F62832" w:rsidRPr="00E915DB">
        <w:t>perspective</w:t>
      </w:r>
      <w:r w:rsidRPr="00E915DB">
        <w:t xml:space="preserve">, molecular classification substantially </w:t>
      </w:r>
      <w:r w:rsidR="00F62832" w:rsidRPr="00E915DB">
        <w:t xml:space="preserve">improved </w:t>
      </w:r>
      <w:r w:rsidRPr="00E915DB">
        <w:t>risk stratification</w:t>
      </w:r>
      <w:r w:rsidR="00F62832" w:rsidRPr="00E915DB">
        <w:t xml:space="preserve"> in EC</w:t>
      </w:r>
      <w:r w:rsidRPr="00E915DB">
        <w:t>. For example, POLE-</w:t>
      </w:r>
      <w:proofErr w:type="spellStart"/>
      <w:r w:rsidRPr="00E915DB">
        <w:t>ultramutated</w:t>
      </w:r>
      <w:proofErr w:type="spellEnd"/>
      <w:r w:rsidRPr="00E915DB">
        <w:t xml:space="preserve"> tumors, despite often presenting with high-grade </w:t>
      </w:r>
      <w:r w:rsidR="00F62832" w:rsidRPr="00E915DB">
        <w:t>features</w:t>
      </w:r>
      <w:r w:rsidRPr="00E915DB">
        <w:t xml:space="preserve">, </w:t>
      </w:r>
      <w:r w:rsidR="00F62832" w:rsidRPr="00E915DB">
        <w:t xml:space="preserve">are associated with </w:t>
      </w:r>
      <w:r w:rsidRPr="00E915DB">
        <w:t xml:space="preserve">an excellent prognosis and minimal risk of recurrence. </w:t>
      </w:r>
      <w:r w:rsidR="00F62832" w:rsidRPr="00E915DB">
        <w:t>In contrast</w:t>
      </w:r>
      <w:r w:rsidRPr="00E915DB">
        <w:t xml:space="preserve">, p53-abnormal tumors, typically associated with serous histology, display aggressive clinical </w:t>
      </w:r>
      <w:r w:rsidR="0036451A" w:rsidRPr="00E915DB">
        <w:t>behavior</w:t>
      </w:r>
      <w:r w:rsidRPr="00E915DB">
        <w:t xml:space="preserve"> </w:t>
      </w:r>
      <w:r w:rsidR="00F62832" w:rsidRPr="00E915DB">
        <w:t xml:space="preserve">and poor outcomes, </w:t>
      </w:r>
      <w:r w:rsidRPr="00E915DB">
        <w:t xml:space="preserve">even when </w:t>
      </w:r>
      <w:r w:rsidR="009340D3" w:rsidRPr="00E915DB">
        <w:t xml:space="preserve">the </w:t>
      </w:r>
      <w:r w:rsidR="00F62832" w:rsidRPr="00E915DB">
        <w:t xml:space="preserve">disease remains </w:t>
      </w:r>
      <w:r w:rsidRPr="00E915DB">
        <w:t xml:space="preserve">confined to the uterus. Meanwhile, MMR-deficient tumors occupy an intermediate prognostic </w:t>
      </w:r>
      <w:r w:rsidR="00F62832" w:rsidRPr="00E915DB">
        <w:t xml:space="preserve">category </w:t>
      </w:r>
      <w:r w:rsidRPr="00E915DB">
        <w:t xml:space="preserve">but are clinically relevant </w:t>
      </w:r>
      <w:r w:rsidR="00F62832" w:rsidRPr="00E915DB">
        <w:t xml:space="preserve">due to </w:t>
      </w:r>
      <w:r w:rsidRPr="00E915DB">
        <w:t xml:space="preserve">their </w:t>
      </w:r>
      <w:r w:rsidR="00F62832" w:rsidRPr="00E915DB">
        <w:t xml:space="preserve">potential </w:t>
      </w:r>
      <w:r w:rsidRPr="00E915DB">
        <w:t xml:space="preserve">susceptibility to immune-based therapies. The ability to </w:t>
      </w:r>
      <w:r w:rsidR="00F62832" w:rsidRPr="00E915DB">
        <w:t xml:space="preserve">classify </w:t>
      </w:r>
      <w:r w:rsidRPr="00E915DB">
        <w:t xml:space="preserve">tumors into </w:t>
      </w:r>
      <w:r w:rsidR="00F62832" w:rsidRPr="00E915DB">
        <w:t>distinct</w:t>
      </w:r>
      <w:r w:rsidRPr="00E915DB">
        <w:t xml:space="preserve"> well-defined molecular categories improves clinical </w:t>
      </w:r>
      <w:r w:rsidR="0036451A" w:rsidRPr="00E915DB">
        <w:t>counselling</w:t>
      </w:r>
      <w:r w:rsidRPr="00E915DB">
        <w:t xml:space="preserve"> and </w:t>
      </w:r>
      <w:r w:rsidR="00E6549E" w:rsidRPr="00E915DB">
        <w:t xml:space="preserve">supports the implementation of </w:t>
      </w:r>
      <w:r w:rsidRPr="00E915DB">
        <w:t xml:space="preserve">more personalized surveillance and </w:t>
      </w:r>
      <w:r w:rsidR="00E6549E" w:rsidRPr="00E915DB">
        <w:t xml:space="preserve">therapeutic </w:t>
      </w:r>
      <w:r w:rsidRPr="00E915DB">
        <w:t>strategies.</w:t>
      </w:r>
    </w:p>
    <w:p w14:paraId="51E0A619" w14:textId="3EF9A47B" w:rsidR="004159B5" w:rsidRPr="00E915DB" w:rsidRDefault="004159B5" w:rsidP="00EF7E97">
      <w:pPr>
        <w:pStyle w:val="Text"/>
        <w:ind w:firstLine="420"/>
      </w:pPr>
      <w:r w:rsidRPr="00E915DB">
        <w:t xml:space="preserve">Importantly, therapeutic </w:t>
      </w:r>
      <w:r w:rsidR="00017F49" w:rsidRPr="00E915DB">
        <w:t xml:space="preserve">decisions </w:t>
      </w:r>
      <w:r w:rsidRPr="00E915DB">
        <w:t>are increasingly guided by molecular subtype. POLE-mutated tumors, particularly in early</w:t>
      </w:r>
      <w:r w:rsidR="00017F49" w:rsidRPr="00E915DB">
        <w:t>-</w:t>
      </w:r>
      <w:r w:rsidRPr="00E915DB">
        <w:t>stage</w:t>
      </w:r>
      <w:r w:rsidR="00017F49" w:rsidRPr="00E915DB">
        <w:t xml:space="preserve"> disease</w:t>
      </w:r>
      <w:r w:rsidRPr="00E915DB">
        <w:t xml:space="preserve">, may be managed conservatively, with omission of adjuvant therapy now considered safe due to their indolent </w:t>
      </w:r>
      <w:r w:rsidR="00017F49" w:rsidRPr="00E915DB">
        <w:t xml:space="preserve">clinical </w:t>
      </w:r>
      <w:r w:rsidRPr="00E915DB">
        <w:t xml:space="preserve">course. In contrast, p53-abnormal tumors benefit from aggressive adjuvant </w:t>
      </w:r>
      <w:r w:rsidR="00126D15" w:rsidRPr="00E915DB">
        <w:t xml:space="preserve">treatment </w:t>
      </w:r>
      <w:r w:rsidRPr="00E915DB">
        <w:t>approaches, including combined chemotherapy and radiation</w:t>
      </w:r>
      <w:r w:rsidR="00126D15" w:rsidRPr="00E915DB">
        <w:t xml:space="preserve"> therapy</w:t>
      </w:r>
      <w:r w:rsidRPr="00E915DB">
        <w:t xml:space="preserve">, even at </w:t>
      </w:r>
      <w:r w:rsidR="00126D15" w:rsidRPr="00E915DB">
        <w:t xml:space="preserve">an early </w:t>
      </w:r>
      <w:r w:rsidRPr="00E915DB">
        <w:t xml:space="preserve">stage, </w:t>
      </w:r>
      <w:r w:rsidR="00126D15" w:rsidRPr="00E915DB">
        <w:t xml:space="preserve">due to </w:t>
      </w:r>
      <w:r w:rsidRPr="00E915DB">
        <w:t xml:space="preserve">their </w:t>
      </w:r>
      <w:r w:rsidR="00126D15" w:rsidRPr="00E915DB">
        <w:t xml:space="preserve">high risk of </w:t>
      </w:r>
      <w:r w:rsidRPr="00E915DB">
        <w:t>recurrence. MMR-deficient tumors are responsive to immune checkpoint inhibitors</w:t>
      </w:r>
      <w:r w:rsidR="00126D15" w:rsidRPr="00E915DB">
        <w:t>,</w:t>
      </w:r>
      <w:r w:rsidRPr="00E915DB">
        <w:t xml:space="preserve"> such as PD-1 blockade, a finding that has </w:t>
      </w:r>
      <w:r w:rsidR="00126D15" w:rsidRPr="00E915DB">
        <w:t>expanded therapeutic options for patients with</w:t>
      </w:r>
      <w:r w:rsidRPr="00E915DB">
        <w:t xml:space="preserve"> advanced or recurrent disease. Moreover, a subset of p53-abnormal carcinomas </w:t>
      </w:r>
      <w:r w:rsidR="0036451A" w:rsidRPr="00E915DB">
        <w:t>harbor</w:t>
      </w:r>
      <w:r w:rsidRPr="00E915DB">
        <w:t xml:space="preserve"> ERBB2 (HER2) amplification, rendering them eligible for trastuzumab-based targeted therapy, further underscoring the predictive value of molecular profiling.</w:t>
      </w:r>
    </w:p>
    <w:p w14:paraId="3D8015A2" w14:textId="63A56B19" w:rsidR="004159B5" w:rsidRPr="00E915DB" w:rsidRDefault="0042142B" w:rsidP="00EF7E97">
      <w:pPr>
        <w:pStyle w:val="Text"/>
        <w:ind w:firstLine="420"/>
      </w:pPr>
      <w:r w:rsidRPr="00E915DB">
        <w:t xml:space="preserve">These paradigm-shifting developments have not remained confined to theoretical or research </w:t>
      </w:r>
      <w:r w:rsidR="0036451A" w:rsidRPr="00E915DB">
        <w:t>settings but</w:t>
      </w:r>
      <w:r w:rsidRPr="00E915DB">
        <w:t xml:space="preserve"> have been progressively translated into clinical practice and </w:t>
      </w:r>
      <w:r w:rsidR="00126D15" w:rsidRPr="00E915DB">
        <w:t xml:space="preserve">incorporated into </w:t>
      </w:r>
      <w:r w:rsidRPr="00E915DB">
        <w:t xml:space="preserve">international recommendations. In particular, contemporary management guidelines increasingly endorse the integration of molecular classification into diagnostic, prognostic, and therapeutic algorithms, thereby formalizing the transition from morphology-based assessment to a biologically informed framework in </w:t>
      </w:r>
      <w:r w:rsidR="00810A41" w:rsidRPr="00E915DB">
        <w:t>EC</w:t>
      </w:r>
      <w:r w:rsidR="00C932FA" w:rsidRPr="00E915DB">
        <w:t xml:space="preserve"> </w:t>
      </w:r>
      <w:r w:rsidR="006C5A67" w:rsidRPr="00E915DB">
        <w:t>[12</w:t>
      </w:r>
      <w:r w:rsidR="00732C57" w:rsidRPr="00E915DB">
        <w:t>].</w:t>
      </w:r>
      <w:r w:rsidR="00303331" w:rsidRPr="00E915DB">
        <w:t xml:space="preserve"> </w:t>
      </w:r>
      <w:r w:rsidR="004159B5" w:rsidRPr="00E915DB">
        <w:t xml:space="preserve">Reflecting the growing importance of these biomarkers, the 2023 revision </w:t>
      </w:r>
      <w:r w:rsidR="004159B5" w:rsidRPr="00E915DB">
        <w:lastRenderedPageBreak/>
        <w:t xml:space="preserve">of the </w:t>
      </w:r>
      <w:r w:rsidR="00EA7BF6" w:rsidRPr="00E915DB">
        <w:t>Federation of Gynecology and Obstetrics (FIGO)</w:t>
      </w:r>
      <w:r w:rsidR="004159B5" w:rsidRPr="00E915DB">
        <w:t xml:space="preserve"> staging system now </w:t>
      </w:r>
      <w:r w:rsidR="003367BA" w:rsidRPr="00E915DB">
        <w:t xml:space="preserve">incorporates </w:t>
      </w:r>
      <w:r w:rsidR="004159B5" w:rsidRPr="00E915DB">
        <w:t xml:space="preserve">molecular features as official modifiers. Tumors </w:t>
      </w:r>
      <w:r w:rsidR="003367BA" w:rsidRPr="00E915DB">
        <w:t xml:space="preserve">harboring </w:t>
      </w:r>
      <w:r w:rsidR="004159B5" w:rsidRPr="00E915DB">
        <w:t xml:space="preserve">POLE mutations </w:t>
      </w:r>
      <w:r w:rsidR="003367BA" w:rsidRPr="00E915DB">
        <w:t xml:space="preserve">may be </w:t>
      </w:r>
      <w:proofErr w:type="spellStart"/>
      <w:r w:rsidR="003367BA" w:rsidRPr="00E915DB">
        <w:t>down</w:t>
      </w:r>
      <w:r w:rsidR="004159B5" w:rsidRPr="00E915DB">
        <w:t>staged</w:t>
      </w:r>
      <w:proofErr w:type="spellEnd"/>
      <w:r w:rsidR="004159B5" w:rsidRPr="00E915DB">
        <w:t xml:space="preserve"> to acknowledge their </w:t>
      </w:r>
      <w:r w:rsidR="003367BA" w:rsidRPr="00E915DB">
        <w:t>favorable prognosis</w:t>
      </w:r>
      <w:r w:rsidR="004159B5" w:rsidRPr="00E915DB">
        <w:t xml:space="preserve">, while p53-abnormal tumors </w:t>
      </w:r>
      <w:r w:rsidR="003367BA" w:rsidRPr="00E915DB">
        <w:t>may be up</w:t>
      </w:r>
      <w:r w:rsidR="004159B5" w:rsidRPr="00E915DB">
        <w:t xml:space="preserve">staged </w:t>
      </w:r>
      <w:r w:rsidR="003367BA" w:rsidRPr="00E915DB">
        <w:t xml:space="preserve">due </w:t>
      </w:r>
      <w:r w:rsidR="004159B5" w:rsidRPr="00E915DB">
        <w:t xml:space="preserve">to their </w:t>
      </w:r>
      <w:r w:rsidR="003367BA" w:rsidRPr="00E915DB">
        <w:t xml:space="preserve">aggressive clinical </w:t>
      </w:r>
      <w:r w:rsidR="004159B5" w:rsidRPr="00E915DB">
        <w:t>prognosis, regardless of anatomical confinement. This evolution marks a critical shift</w:t>
      </w:r>
      <w:r w:rsidR="003367BA" w:rsidRPr="00E915DB">
        <w:t xml:space="preserve"> in EC classification, in which </w:t>
      </w:r>
      <w:r w:rsidR="004159B5" w:rsidRPr="00E915DB">
        <w:t xml:space="preserve">staging is no longer </w:t>
      </w:r>
      <w:r w:rsidR="003367BA" w:rsidRPr="00E915DB">
        <w:t xml:space="preserve">based </w:t>
      </w:r>
      <w:r w:rsidR="004159B5" w:rsidRPr="00E915DB">
        <w:t xml:space="preserve">purely </w:t>
      </w:r>
      <w:r w:rsidR="003367BA" w:rsidRPr="00E915DB">
        <w:t xml:space="preserve">on </w:t>
      </w:r>
      <w:r w:rsidR="004159B5" w:rsidRPr="00E915DB">
        <w:t xml:space="preserve">anatomic </w:t>
      </w:r>
      <w:r w:rsidR="003367BA" w:rsidRPr="00E915DB">
        <w:t xml:space="preserve">criteria </w:t>
      </w:r>
      <w:r w:rsidR="004159B5" w:rsidRPr="00E915DB">
        <w:t xml:space="preserve">but </w:t>
      </w:r>
      <w:r w:rsidR="003367BA" w:rsidRPr="00E915DB">
        <w:t xml:space="preserve">is also </w:t>
      </w:r>
      <w:r w:rsidR="004159B5" w:rsidRPr="00E915DB">
        <w:t>biologically contextualized.</w:t>
      </w:r>
    </w:p>
    <w:p w14:paraId="08814D46" w14:textId="77777777" w:rsidR="00D13531" w:rsidRPr="00E915DB" w:rsidRDefault="00D13531" w:rsidP="00EF7E97">
      <w:pPr>
        <w:pStyle w:val="2"/>
      </w:pPr>
      <w:r w:rsidRPr="00E915DB">
        <w:t>3.3 FIGO 2023: When Anatomy Meets Biology</w:t>
      </w:r>
    </w:p>
    <w:p w14:paraId="5C3B5F6C" w14:textId="56CBC9A5" w:rsidR="004159B5" w:rsidRPr="00E915DB" w:rsidRDefault="004159B5" w:rsidP="00EF7E97">
      <w:pPr>
        <w:pStyle w:val="Text"/>
        <w:ind w:firstLine="420"/>
      </w:pPr>
      <w:r w:rsidRPr="00E915DB">
        <w:t>Historically, EC staging was based on the 1988 and 2009 FIGO systems, which relied entirely on anatomic and histopathologic parameters</w:t>
      </w:r>
      <w:r w:rsidR="00317551" w:rsidRPr="00E915DB">
        <w:t>,</w:t>
      </w:r>
      <w:r w:rsidRPr="00E915DB">
        <w:t xml:space="preserve"> such as </w:t>
      </w:r>
      <w:r w:rsidR="00317551" w:rsidRPr="00E915DB">
        <w:t xml:space="preserve">the </w:t>
      </w:r>
      <w:r w:rsidRPr="00E915DB">
        <w:t xml:space="preserve">depth of myometrial invasion, cervical involvement, and </w:t>
      </w:r>
      <w:r w:rsidR="00317551" w:rsidRPr="00E915DB">
        <w:t xml:space="preserve">extrauterine </w:t>
      </w:r>
      <w:r w:rsidRPr="00E915DB">
        <w:t xml:space="preserve">spread. However, </w:t>
      </w:r>
      <w:r w:rsidR="00317551" w:rsidRPr="00E915DB">
        <w:t xml:space="preserve">following </w:t>
      </w:r>
      <w:r w:rsidRPr="00E915DB">
        <w:t xml:space="preserve">the genomic </w:t>
      </w:r>
      <w:r w:rsidR="00317551" w:rsidRPr="00E915DB">
        <w:t xml:space="preserve">advances </w:t>
      </w:r>
      <w:r w:rsidRPr="00E915DB">
        <w:t xml:space="preserve">initiated by TCGA, it became clear that </w:t>
      </w:r>
      <w:r w:rsidR="00317551" w:rsidRPr="00E915DB">
        <w:t xml:space="preserve">tumor </w:t>
      </w:r>
      <w:r w:rsidRPr="00E915DB">
        <w:t xml:space="preserve">biology, </w:t>
      </w:r>
      <w:r w:rsidR="00317551" w:rsidRPr="00E915DB">
        <w:t xml:space="preserve">rather than </w:t>
      </w:r>
      <w:r w:rsidRPr="00E915DB">
        <w:t xml:space="preserve">anatomy alone, drives prognosis and treatment response in EC. The 2023 revision of the FIGO staging system for </w:t>
      </w:r>
      <w:r w:rsidR="00810A41" w:rsidRPr="00E915DB">
        <w:t>EC</w:t>
      </w:r>
      <w:r w:rsidRPr="00E915DB">
        <w:t xml:space="preserve"> marks a pivotal shift toward integrated staging, incorporating molecular biomarkers, specifically POLE mutations and TP53 abnormalities, into conventional surgical staging criteria to enhance prognostic accuracy and guide management decisions </w:t>
      </w:r>
      <w:r w:rsidR="00941A29" w:rsidRPr="00E915DB">
        <w:t>[</w:t>
      </w:r>
      <w:r w:rsidR="00A35D94" w:rsidRPr="00E915DB">
        <w:t>13-15</w:t>
      </w:r>
      <w:r w:rsidR="008C06E3" w:rsidRPr="00E915DB">
        <w:t>]</w:t>
      </w:r>
      <w:r w:rsidR="00941A29" w:rsidRPr="00E915DB">
        <w:t>.</w:t>
      </w:r>
    </w:p>
    <w:p w14:paraId="1D45FE36" w14:textId="4486121F" w:rsidR="00B54D18" w:rsidRPr="00E915DB" w:rsidRDefault="000145BD" w:rsidP="00EF7E97">
      <w:pPr>
        <w:pStyle w:val="Text"/>
        <w:ind w:firstLine="420"/>
      </w:pPr>
      <w:r w:rsidRPr="00E915DB">
        <w:t xml:space="preserve">The 2023 FIGO classification maintains the four-stage architecture </w:t>
      </w:r>
      <w:r w:rsidR="008A4F16" w:rsidRPr="00E915DB">
        <w:t xml:space="preserve">while </w:t>
      </w:r>
      <w:r w:rsidRPr="00E915DB">
        <w:t>introduc</w:t>
      </w:r>
      <w:r w:rsidR="008A4F16" w:rsidRPr="00E915DB">
        <w:t>ing</w:t>
      </w:r>
      <w:r w:rsidRPr="00E915DB">
        <w:t xml:space="preserve"> molecular modifiers to </w:t>
      </w:r>
      <w:r w:rsidR="008A4F16" w:rsidRPr="00E915DB">
        <w:t xml:space="preserve">improve </w:t>
      </w:r>
      <w:r w:rsidRPr="00E915DB">
        <w:t xml:space="preserve">risk </w:t>
      </w:r>
      <w:r w:rsidR="008A4F16" w:rsidRPr="00E915DB">
        <w:t xml:space="preserve">stratification </w:t>
      </w:r>
      <w:r w:rsidRPr="00E915DB">
        <w:t xml:space="preserve">within each anatomic category. </w:t>
      </w:r>
      <w:r w:rsidR="00B54D18" w:rsidRPr="00E915DB">
        <w:t xml:space="preserve">Key advances include the integration </w:t>
      </w:r>
      <w:r w:rsidRPr="00E915DB">
        <w:t>of selected molecular subgroups</w:t>
      </w:r>
      <w:r w:rsidR="008A4F16" w:rsidRPr="00E915DB">
        <w:t xml:space="preserve">. </w:t>
      </w:r>
      <w:r w:rsidR="00B54D18" w:rsidRPr="00E915DB">
        <w:t>POLE-</w:t>
      </w:r>
      <w:proofErr w:type="spellStart"/>
      <w:r w:rsidR="00B54D18" w:rsidRPr="00E915DB">
        <w:t>ultramutated</w:t>
      </w:r>
      <w:proofErr w:type="spellEnd"/>
      <w:r w:rsidR="00B54D18" w:rsidRPr="00E915DB">
        <w:t xml:space="preserve"> tumors are now recognized as having an exceptionally favorable prognosis, even in the presence of high-grade histology or deep myometrial invasion, supporting stage de-escalation in appropriately selected cases. In contrast, TP53-abnormal tumors, </w:t>
      </w:r>
      <w:r w:rsidR="008A4F16" w:rsidRPr="00E915DB">
        <w:t xml:space="preserve">which </w:t>
      </w:r>
      <w:r w:rsidR="00B54D18" w:rsidRPr="00E915DB">
        <w:t xml:space="preserve">typically correspond to serous or serous-like carcinomas, are classified as high-risk regardless of tumor size or early anatomic stage, thereby </w:t>
      </w:r>
      <w:r w:rsidR="008A4F16" w:rsidRPr="00E915DB">
        <w:t xml:space="preserve">supporting </w:t>
      </w:r>
      <w:r w:rsidR="00B54D18" w:rsidRPr="00E915DB">
        <w:t>stage escalation to reflect their aggressive biological behavior.</w:t>
      </w:r>
    </w:p>
    <w:p w14:paraId="2C669464" w14:textId="6DE7F815" w:rsidR="00B54D18" w:rsidRPr="00E915DB" w:rsidRDefault="00B54D18" w:rsidP="00EF7E97">
      <w:pPr>
        <w:pStyle w:val="Text"/>
        <w:ind w:firstLine="420"/>
      </w:pPr>
      <w:r w:rsidRPr="00E915DB">
        <w:t>Further refinem</w:t>
      </w:r>
      <w:r w:rsidR="000145BD" w:rsidRPr="00E915DB">
        <w:t>ents affect early-stage disease</w:t>
      </w:r>
      <w:r w:rsidR="008A4F16" w:rsidRPr="00E915DB">
        <w:t>.</w:t>
      </w:r>
      <w:r w:rsidRPr="00E915DB">
        <w:t xml:space="preserve"> Stage I tumors are </w:t>
      </w:r>
      <w:r w:rsidR="00BF66B8" w:rsidRPr="00E915DB">
        <w:t xml:space="preserve">now </w:t>
      </w:r>
      <w:r w:rsidRPr="00E915DB">
        <w:t xml:space="preserve">stratified not only according to the depth of myometrial invasion but also by molecular class, allowing for more </w:t>
      </w:r>
      <w:r w:rsidR="00BF66B8" w:rsidRPr="00E915DB">
        <w:t xml:space="preserve">refined </w:t>
      </w:r>
      <w:r w:rsidRPr="00E915DB">
        <w:t xml:space="preserve">risk assessment. Importantly, isolated involvement of the lower uterine segment or endocervical glands, in the absence of cervical stromal invasion, </w:t>
      </w:r>
      <w:r w:rsidR="00BF66B8" w:rsidRPr="00E915DB">
        <w:t xml:space="preserve">is </w:t>
      </w:r>
      <w:r w:rsidRPr="00E915DB">
        <w:t>no longer</w:t>
      </w:r>
      <w:r w:rsidR="000145BD" w:rsidRPr="00E915DB">
        <w:t xml:space="preserve"> </w:t>
      </w:r>
      <w:r w:rsidR="00BF66B8" w:rsidRPr="00E915DB">
        <w:t xml:space="preserve">classified </w:t>
      </w:r>
      <w:r w:rsidR="000145BD" w:rsidRPr="00E915DB">
        <w:t xml:space="preserve">as Stage II disease. </w:t>
      </w:r>
      <w:r w:rsidRPr="00E915DB">
        <w:t>The classification also provides greater clarity regarding extrauterine spread. Stage IIIA now encompasses isolated peritoneal implants, with consideration of the underlying molecular context. Moreover, the presence of omental metastases, even when microscopic, defines Stage IV disease, particularly in serous carcinomas or tumors harboring TP53 abnormalities.</w:t>
      </w:r>
    </w:p>
    <w:p w14:paraId="7CA512C7" w14:textId="40207FFB" w:rsidR="004A637E" w:rsidRPr="00E915DB" w:rsidRDefault="004A637E" w:rsidP="00EF7E97">
      <w:pPr>
        <w:pStyle w:val="Text"/>
        <w:ind w:firstLine="420"/>
      </w:pPr>
      <w:r w:rsidRPr="00E915DB">
        <w:t xml:space="preserve">Despite its conceptual advances, the 2023 FIGO staging system presents several practical and implementation challenges. Access to molecular testing remains uneven, particularly in low- and middle-income countries, where limitations in infrastructure, technical expertise, and reimbursement may amplify disparities in staging accuracy and patient outcomes. Additional </w:t>
      </w:r>
      <w:r w:rsidR="00BF66B8" w:rsidRPr="00E915DB">
        <w:t xml:space="preserve">challenges </w:t>
      </w:r>
      <w:r w:rsidRPr="00E915DB">
        <w:t xml:space="preserve">include the interpretation of POLE </w:t>
      </w:r>
      <w:r w:rsidR="00875AAD" w:rsidRPr="00E915DB">
        <w:t>VUS</w:t>
      </w:r>
      <w:r w:rsidRPr="00E915DB">
        <w:t xml:space="preserve"> and the inherent subjectivity of p53 immunohistochemistry, especially in small, heterogeneous, or </w:t>
      </w:r>
      <w:proofErr w:type="spellStart"/>
      <w:r w:rsidR="0036451A" w:rsidRPr="00E915DB">
        <w:t>suboptimally</w:t>
      </w:r>
      <w:proofErr w:type="spellEnd"/>
      <w:r w:rsidRPr="00E915DB">
        <w:t xml:space="preserve"> preserved tumor samples.</w:t>
      </w:r>
    </w:p>
    <w:p w14:paraId="63CE541A" w14:textId="4D57FB73" w:rsidR="004A637E" w:rsidRPr="00E915DB" w:rsidRDefault="004A637E" w:rsidP="00EF7E97">
      <w:pPr>
        <w:pStyle w:val="Text"/>
        <w:ind w:firstLine="420"/>
      </w:pPr>
      <w:r w:rsidRPr="00E915DB">
        <w:t xml:space="preserve">Moreover, the current FIGO framework incorporates only two of the four TCGA molecular subtypes, excluding MMR-deficient and NSMP tumors, thereby </w:t>
      </w:r>
      <w:r w:rsidR="00BF66B8" w:rsidRPr="00E915DB">
        <w:t xml:space="preserve">limiting </w:t>
      </w:r>
      <w:r w:rsidRPr="00E915DB">
        <w:t xml:space="preserve">its biological comprehensiveness. Persistent histotype–genotype discordance, particularly in morphologically ambiguous </w:t>
      </w:r>
      <w:r w:rsidR="00BF66B8" w:rsidRPr="00E915DB">
        <w:t xml:space="preserve">or </w:t>
      </w:r>
      <w:r w:rsidRPr="00E915DB">
        <w:t xml:space="preserve">rare histologic subtypes, further complicates classification and may impact clinical decision-making. Implementation of the revised system also </w:t>
      </w:r>
      <w:r w:rsidR="00BF66B8" w:rsidRPr="00E915DB">
        <w:t xml:space="preserve">places </w:t>
      </w:r>
      <w:r w:rsidRPr="00E915DB">
        <w:t>a</w:t>
      </w:r>
      <w:r w:rsidR="00BF66B8" w:rsidRPr="00E915DB">
        <w:t>dditional</w:t>
      </w:r>
      <w:r w:rsidRPr="00E915DB">
        <w:t xml:space="preserve"> transitional </w:t>
      </w:r>
      <w:r w:rsidR="00BF66B8" w:rsidRPr="00E915DB">
        <w:t xml:space="preserve">demands </w:t>
      </w:r>
      <w:r w:rsidRPr="00E915DB">
        <w:t>on pathology reporting, multidisciplinary workflows, and clinician education, highlighting the need for standardized protocols and rigorous quality assurance</w:t>
      </w:r>
      <w:r w:rsidR="00BF66B8" w:rsidRPr="00E915DB">
        <w:t xml:space="preserve"> measures</w:t>
      </w:r>
      <w:r w:rsidRPr="00E915DB">
        <w:t>.</w:t>
      </w:r>
    </w:p>
    <w:p w14:paraId="65949083" w14:textId="364EE100" w:rsidR="005F4433" w:rsidRPr="00E915DB" w:rsidRDefault="00202DC6" w:rsidP="00EF7E97">
      <w:pPr>
        <w:pStyle w:val="Text"/>
        <w:ind w:firstLine="420"/>
      </w:pPr>
      <w:r w:rsidRPr="00E915DB">
        <w:lastRenderedPageBreak/>
        <w:t xml:space="preserve">Beyond its practical implications, the 2023 FIGO staging system also raises a broader conceptual question regarding the definition of “stage” itself. Traditionally conceived as a measure of anatomical disease extent, staging is now increasingly shaped by the integration of molecular and biological features. This evolution reflects a shift toward a more biologically informed framework, in which stage not only describes tumor spread but also incorporates intrinsic tumor </w:t>
      </w:r>
      <w:r w:rsidR="0036451A" w:rsidRPr="00E915DB">
        <w:t>behavior</w:t>
      </w:r>
      <w:r w:rsidRPr="00E915DB">
        <w:t xml:space="preserve">. </w:t>
      </w:r>
      <w:r w:rsidR="00CD4D35" w:rsidRPr="00E915DB">
        <w:t xml:space="preserve">Although </w:t>
      </w:r>
      <w:r w:rsidRPr="00E915DB">
        <w:t xml:space="preserve">this approach </w:t>
      </w:r>
      <w:r w:rsidR="00CD4D35" w:rsidRPr="00E915DB">
        <w:t xml:space="preserve">improves </w:t>
      </w:r>
      <w:r w:rsidRPr="00E915DB">
        <w:t xml:space="preserve">prognostic precision, it also introduces conceptual overlap with risk stratification models, suggesting that staging in gynecologic oncology is progressively </w:t>
      </w:r>
      <w:r w:rsidR="00CD4D35" w:rsidRPr="00E915DB">
        <w:t xml:space="preserve">evolving </w:t>
      </w:r>
      <w:r w:rsidRPr="00E915DB">
        <w:t xml:space="preserve">from a purely anatomic construct </w:t>
      </w:r>
      <w:r w:rsidR="00CD4D35" w:rsidRPr="00E915DB">
        <w:t>in</w:t>
      </w:r>
      <w:r w:rsidRPr="00E915DB">
        <w:t>to a hybrid clinicopathologic and molecular classification system</w:t>
      </w:r>
      <w:r w:rsidR="00A35D94" w:rsidRPr="00E915DB">
        <w:t xml:space="preserve"> [1</w:t>
      </w:r>
      <w:r w:rsidR="006F6BC5">
        <w:t>4</w:t>
      </w:r>
      <w:r w:rsidR="008F39C1" w:rsidRPr="00E915DB">
        <w:t xml:space="preserve">, </w:t>
      </w:r>
      <w:r w:rsidR="006F6265" w:rsidRPr="00E915DB">
        <w:t>17].</w:t>
      </w:r>
      <w:r w:rsidR="00A2577B" w:rsidRPr="00E915DB">
        <w:t xml:space="preserve"> </w:t>
      </w:r>
      <w:r w:rsidR="00CD4D35" w:rsidRPr="00E915DB">
        <w:t xml:space="preserve">Despite </w:t>
      </w:r>
      <w:r w:rsidR="004A637E" w:rsidRPr="00E915DB">
        <w:t xml:space="preserve">these limitations, the 2023 FIGO classification represents a meaningful step toward precision gynecologic oncology. As molecular diagnostics become more widely available, the staging system is expected to </w:t>
      </w:r>
      <w:r w:rsidR="00CD4D35" w:rsidRPr="00E915DB">
        <w:t xml:space="preserve">become more </w:t>
      </w:r>
      <w:r w:rsidR="004A637E" w:rsidRPr="00E915DB">
        <w:t>robust and equit</w:t>
      </w:r>
      <w:r w:rsidR="00CD4D35" w:rsidRPr="00E915DB">
        <w:t>able</w:t>
      </w:r>
      <w:r w:rsidR="004A637E" w:rsidRPr="00E915DB">
        <w:t xml:space="preserve">. Future refinements will likely incorporate all four TCGA molecular classes, potentially supported by integrated molecular classifiers such as </w:t>
      </w:r>
      <w:r w:rsidR="00E537B8" w:rsidRPr="00E915DB">
        <w:rPr>
          <w:lang w:val="en-GB"/>
        </w:rPr>
        <w:t xml:space="preserve">Proactive Molecular Risk Classifier for Endometrial Cancer </w:t>
      </w:r>
      <w:r w:rsidR="00F23C44" w:rsidRPr="00E915DB">
        <w:rPr>
          <w:lang w:val="en-GB"/>
        </w:rPr>
        <w:t>(</w:t>
      </w:r>
      <w:proofErr w:type="spellStart"/>
      <w:r w:rsidR="004A637E" w:rsidRPr="00E915DB">
        <w:t>ProMisE</w:t>
      </w:r>
      <w:proofErr w:type="spellEnd"/>
      <w:r w:rsidR="00CD4D35" w:rsidRPr="00E915DB">
        <w:t xml:space="preserve">, </w:t>
      </w:r>
      <w:r w:rsidR="00F23C44" w:rsidRPr="00E915DB">
        <w:t>)</w:t>
      </w:r>
      <w:r w:rsidR="00CD4D35" w:rsidRPr="00E915DB">
        <w:t>as well as</w:t>
      </w:r>
      <w:r w:rsidR="004A637E" w:rsidRPr="00E915DB">
        <w:t xml:space="preserve"> advances in digital pathology and artificial intelligence</w:t>
      </w:r>
      <w:r w:rsidR="006303F2" w:rsidRPr="00E915DB">
        <w:t xml:space="preserve"> (AI)</w:t>
      </w:r>
      <w:r w:rsidR="004A637E" w:rsidRPr="00E915DB">
        <w:t xml:space="preserve">. Continued investment in training, quality assurance, and international collaboration will be essential to ensure that molecular staging translates into </w:t>
      </w:r>
      <w:r w:rsidR="00CD4D35" w:rsidRPr="00E915DB">
        <w:t xml:space="preserve">meaningful </w:t>
      </w:r>
      <w:r w:rsidR="004A637E" w:rsidRPr="00E915DB">
        <w:t>improvements in outcomes for patients with endometrial cancer.</w:t>
      </w:r>
    </w:p>
    <w:p w14:paraId="04E182BE" w14:textId="40AD1869" w:rsidR="00F61893" w:rsidRPr="00E915DB" w:rsidRDefault="00F61893" w:rsidP="00EF7E97">
      <w:pPr>
        <w:pStyle w:val="Text"/>
        <w:ind w:firstLine="420"/>
      </w:pPr>
      <w:r w:rsidRPr="00E915DB">
        <w:t xml:space="preserve">The main advantages and limitations of molecular classification in </w:t>
      </w:r>
      <w:r w:rsidR="00810A41" w:rsidRPr="00E915DB">
        <w:t>EC</w:t>
      </w:r>
      <w:r w:rsidRPr="00E915DB">
        <w:t xml:space="preserve">, as compared with the traditional </w:t>
      </w:r>
      <w:proofErr w:type="spellStart"/>
      <w:r w:rsidRPr="00E915DB">
        <w:t>Bokhman</w:t>
      </w:r>
      <w:proofErr w:type="spellEnd"/>
      <w:r w:rsidRPr="00E915DB">
        <w:t xml:space="preserve"> dualistic model, are summarized in Table</w:t>
      </w:r>
      <w:r w:rsidR="00AB2F12" w:rsidRPr="00E915DB">
        <w:t xml:space="preserve"> 1.</w:t>
      </w:r>
    </w:p>
    <w:p w14:paraId="7BF8D5DE" w14:textId="77777777" w:rsidR="008346F5" w:rsidRPr="00E915DB" w:rsidRDefault="008346F5" w:rsidP="00EF7E97">
      <w:pPr>
        <w:pStyle w:val="Text"/>
        <w:ind w:firstLine="420"/>
      </w:pPr>
    </w:p>
    <w:p w14:paraId="69E2392B" w14:textId="26B81657" w:rsidR="008346F5" w:rsidRPr="00E915DB" w:rsidRDefault="008346F5" w:rsidP="00EF7E97">
      <w:pPr>
        <w:pStyle w:val="Text"/>
        <w:ind w:firstLine="420"/>
      </w:pPr>
    </w:p>
    <w:p w14:paraId="1F29DBD0" w14:textId="77777777" w:rsidR="008346F5" w:rsidRPr="00E915DB" w:rsidRDefault="008346F5" w:rsidP="00EF7E97">
      <w:pPr>
        <w:pStyle w:val="Text"/>
        <w:ind w:firstLine="420"/>
        <w:sectPr w:rsidR="008346F5" w:rsidRPr="00E915DB" w:rsidSect="00DB5BD1">
          <w:headerReference w:type="first" r:id="rId8"/>
          <w:pgSz w:w="11906" w:h="16838" w:code="9"/>
          <w:pgMar w:top="1134" w:right="851" w:bottom="1134" w:left="851" w:header="283" w:footer="1134" w:gutter="0"/>
          <w:cols w:space="708"/>
          <w:titlePg/>
          <w:docGrid w:type="lines" w:linePitch="360"/>
        </w:sectPr>
      </w:pPr>
    </w:p>
    <w:p w14:paraId="532A8C3F" w14:textId="2E975F9B" w:rsidR="00F61893" w:rsidRPr="00E915DB" w:rsidRDefault="00F61893" w:rsidP="00EF7E97">
      <w:pPr>
        <w:pStyle w:val="Tablecaption"/>
        <w:spacing w:before="360" w:after="360"/>
      </w:pPr>
      <w:r w:rsidRPr="00E915DB">
        <w:lastRenderedPageBreak/>
        <w:t>Table</w:t>
      </w:r>
      <w:r w:rsidR="004F22BC" w:rsidRPr="00E915DB">
        <w:t xml:space="preserve"> 1</w:t>
      </w:r>
      <w:r w:rsidRPr="00E915DB">
        <w:t xml:space="preserve">. Comparison between Bokhman dualistic model and molecular classification in </w:t>
      </w:r>
      <w:r w:rsidR="00810A41" w:rsidRPr="00E915DB">
        <w:t>EC</w:t>
      </w:r>
      <w:r w:rsidRPr="00E915DB">
        <w:t>: advantages and limitations</w:t>
      </w:r>
      <w:r w:rsidR="00EF7E97" w:rsidRPr="00E915DB">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1"/>
        <w:gridCol w:w="5272"/>
        <w:gridCol w:w="6899"/>
      </w:tblGrid>
      <w:tr w:rsidR="00EF3BEB" w:rsidRPr="00E915DB" w14:paraId="41592E99" w14:textId="77777777" w:rsidTr="00EF7E97">
        <w:trPr>
          <w:trHeight w:val="425"/>
          <w:jc w:val="center"/>
        </w:trPr>
        <w:tc>
          <w:tcPr>
            <w:tcW w:w="1036" w:type="pct"/>
            <w:vAlign w:val="center"/>
            <w:hideMark/>
          </w:tcPr>
          <w:p w14:paraId="22533EDB" w14:textId="77777777" w:rsidR="00F61893" w:rsidRPr="00E915DB" w:rsidRDefault="00F61893" w:rsidP="00EF7E97">
            <w:pPr>
              <w:pStyle w:val="Tablebody"/>
              <w:jc w:val="left"/>
            </w:pPr>
            <w:r w:rsidRPr="00E915DB">
              <w:t>Aspect</w:t>
            </w:r>
          </w:p>
        </w:tc>
        <w:tc>
          <w:tcPr>
            <w:tcW w:w="1717" w:type="pct"/>
            <w:vAlign w:val="center"/>
            <w:hideMark/>
          </w:tcPr>
          <w:p w14:paraId="6E9F1599" w14:textId="05CC9DE8" w:rsidR="00F61893" w:rsidRPr="00E915DB" w:rsidRDefault="00F61893" w:rsidP="00EF7E97">
            <w:pPr>
              <w:pStyle w:val="Tablebody"/>
              <w:jc w:val="center"/>
            </w:pPr>
            <w:proofErr w:type="spellStart"/>
            <w:r w:rsidRPr="00E915DB">
              <w:t>Bokhman</w:t>
            </w:r>
            <w:proofErr w:type="spellEnd"/>
            <w:r w:rsidRPr="00E915DB">
              <w:t xml:space="preserve"> dualistic model (</w:t>
            </w:r>
            <w:r w:rsidR="008F39C1" w:rsidRPr="00E915DB">
              <w:t>t</w:t>
            </w:r>
            <w:r w:rsidRPr="00E915DB">
              <w:t xml:space="preserve">ype I vs </w:t>
            </w:r>
            <w:r w:rsidR="008F39C1" w:rsidRPr="00E915DB">
              <w:t>t</w:t>
            </w:r>
            <w:r w:rsidRPr="00E915DB">
              <w:t>ype II)</w:t>
            </w:r>
          </w:p>
        </w:tc>
        <w:tc>
          <w:tcPr>
            <w:tcW w:w="2247" w:type="pct"/>
            <w:vAlign w:val="center"/>
            <w:hideMark/>
          </w:tcPr>
          <w:p w14:paraId="680C77B4" w14:textId="77777777" w:rsidR="00F61893" w:rsidRPr="00E915DB" w:rsidRDefault="00F61893" w:rsidP="00EF7E97">
            <w:pPr>
              <w:pStyle w:val="Tablebody"/>
              <w:jc w:val="center"/>
            </w:pPr>
            <w:r w:rsidRPr="00E915DB">
              <w:t>Molecular classification (</w:t>
            </w:r>
            <w:bookmarkStart w:id="1" w:name="_Hlk227573040"/>
            <w:r w:rsidRPr="00E915DB">
              <w:t>TCGA</w:t>
            </w:r>
            <w:bookmarkEnd w:id="1"/>
            <w:r w:rsidRPr="00E915DB">
              <w:t>-based)</w:t>
            </w:r>
          </w:p>
        </w:tc>
      </w:tr>
      <w:tr w:rsidR="00EF3BEB" w:rsidRPr="001D7A22" w14:paraId="6B0E1945" w14:textId="77777777" w:rsidTr="00EF7E97">
        <w:trPr>
          <w:trHeight w:val="425"/>
          <w:jc w:val="center"/>
        </w:trPr>
        <w:tc>
          <w:tcPr>
            <w:tcW w:w="1036" w:type="pct"/>
            <w:vAlign w:val="center"/>
            <w:hideMark/>
          </w:tcPr>
          <w:p w14:paraId="155D873D" w14:textId="77777777" w:rsidR="00F61893" w:rsidRPr="00E915DB" w:rsidRDefault="00F61893" w:rsidP="00EF7E97">
            <w:pPr>
              <w:pStyle w:val="Tablebody"/>
              <w:jc w:val="left"/>
            </w:pPr>
            <w:r w:rsidRPr="00E915DB">
              <w:t>Conceptual basis</w:t>
            </w:r>
          </w:p>
        </w:tc>
        <w:tc>
          <w:tcPr>
            <w:tcW w:w="1717" w:type="pct"/>
            <w:vAlign w:val="center"/>
            <w:hideMark/>
          </w:tcPr>
          <w:p w14:paraId="4019F8F7" w14:textId="77777777" w:rsidR="00F61893" w:rsidRPr="00E915DB" w:rsidRDefault="00F61893" w:rsidP="008346F5">
            <w:pPr>
              <w:pStyle w:val="Tablebody"/>
              <w:jc w:val="left"/>
            </w:pPr>
            <w:r w:rsidRPr="00E915DB">
              <w:t>Morphologic and hormonal (estrogen-related vs non–estrogen-related tumors)</w:t>
            </w:r>
          </w:p>
        </w:tc>
        <w:tc>
          <w:tcPr>
            <w:tcW w:w="2247" w:type="pct"/>
            <w:vAlign w:val="center"/>
            <w:hideMark/>
          </w:tcPr>
          <w:p w14:paraId="3F70F259" w14:textId="77777777" w:rsidR="00F61893" w:rsidRPr="00E915DB" w:rsidRDefault="00F61893" w:rsidP="008346F5">
            <w:pPr>
              <w:pStyle w:val="Tablebody"/>
              <w:jc w:val="left"/>
            </w:pPr>
            <w:r w:rsidRPr="00E915DB">
              <w:t xml:space="preserve">Genomic and molecular profiling (POLE, </w:t>
            </w:r>
            <w:proofErr w:type="spellStart"/>
            <w:r w:rsidRPr="00E915DB">
              <w:t>MMRd</w:t>
            </w:r>
            <w:proofErr w:type="spellEnd"/>
            <w:r w:rsidRPr="00E915DB">
              <w:t>/MSI, NSMP, p53-abnormal)</w:t>
            </w:r>
          </w:p>
        </w:tc>
      </w:tr>
      <w:tr w:rsidR="00EF3BEB" w:rsidRPr="001D7A22" w14:paraId="3BE21BF9" w14:textId="77777777" w:rsidTr="00EF7E97">
        <w:trPr>
          <w:trHeight w:val="425"/>
          <w:jc w:val="center"/>
        </w:trPr>
        <w:tc>
          <w:tcPr>
            <w:tcW w:w="1036" w:type="pct"/>
            <w:vAlign w:val="center"/>
            <w:hideMark/>
          </w:tcPr>
          <w:p w14:paraId="16EC5D36" w14:textId="77777777" w:rsidR="00F61893" w:rsidRPr="00E915DB" w:rsidRDefault="00F61893" w:rsidP="00EF7E97">
            <w:pPr>
              <w:pStyle w:val="Tablebody"/>
              <w:jc w:val="left"/>
            </w:pPr>
            <w:r w:rsidRPr="00E915DB">
              <w:t>Simplicity and accessibility</w:t>
            </w:r>
          </w:p>
        </w:tc>
        <w:tc>
          <w:tcPr>
            <w:tcW w:w="1717" w:type="pct"/>
            <w:vAlign w:val="center"/>
            <w:hideMark/>
          </w:tcPr>
          <w:p w14:paraId="04C09EE3" w14:textId="77777777" w:rsidR="00F61893" w:rsidRPr="00E915DB" w:rsidRDefault="00F61893" w:rsidP="008346F5">
            <w:pPr>
              <w:pStyle w:val="Tablebody"/>
              <w:jc w:val="left"/>
            </w:pPr>
            <w:r w:rsidRPr="00E915DB">
              <w:t>Simple, inexpensive, universally applicable using routine histology</w:t>
            </w:r>
          </w:p>
        </w:tc>
        <w:tc>
          <w:tcPr>
            <w:tcW w:w="2247" w:type="pct"/>
            <w:vAlign w:val="center"/>
            <w:hideMark/>
          </w:tcPr>
          <w:p w14:paraId="6C9C1BC4" w14:textId="77777777" w:rsidR="00F61893" w:rsidRPr="00E915DB" w:rsidRDefault="00F61893" w:rsidP="008346F5">
            <w:pPr>
              <w:pStyle w:val="Tablebody"/>
              <w:jc w:val="left"/>
            </w:pPr>
            <w:r w:rsidRPr="00E915DB">
              <w:t>Requires molecular testing (NGS, IHC, MSI analysis) and specialized infrastructure</w:t>
            </w:r>
          </w:p>
        </w:tc>
      </w:tr>
      <w:tr w:rsidR="00EF3BEB" w:rsidRPr="001D7A22" w14:paraId="6A656508" w14:textId="77777777" w:rsidTr="00EF7E97">
        <w:trPr>
          <w:trHeight w:val="425"/>
          <w:jc w:val="center"/>
        </w:trPr>
        <w:tc>
          <w:tcPr>
            <w:tcW w:w="1036" w:type="pct"/>
            <w:vAlign w:val="center"/>
            <w:hideMark/>
          </w:tcPr>
          <w:p w14:paraId="6C57FD57" w14:textId="77777777" w:rsidR="00F61893" w:rsidRPr="00E915DB" w:rsidRDefault="00F61893" w:rsidP="00EF7E97">
            <w:pPr>
              <w:pStyle w:val="Tablebody"/>
              <w:jc w:val="left"/>
            </w:pPr>
            <w:r w:rsidRPr="00E915DB">
              <w:t>Reproducibility</w:t>
            </w:r>
          </w:p>
        </w:tc>
        <w:tc>
          <w:tcPr>
            <w:tcW w:w="1717" w:type="pct"/>
            <w:vAlign w:val="center"/>
            <w:hideMark/>
          </w:tcPr>
          <w:p w14:paraId="069EE34D" w14:textId="77777777" w:rsidR="00F61893" w:rsidRPr="00E915DB" w:rsidRDefault="00F61893" w:rsidP="008346F5">
            <w:pPr>
              <w:pStyle w:val="Tablebody"/>
              <w:jc w:val="left"/>
            </w:pPr>
            <w:r w:rsidRPr="00E915DB">
              <w:t>Limited reproducibility due to histologic overlap and interobserver variability</w:t>
            </w:r>
          </w:p>
        </w:tc>
        <w:tc>
          <w:tcPr>
            <w:tcW w:w="2247" w:type="pct"/>
            <w:vAlign w:val="center"/>
            <w:hideMark/>
          </w:tcPr>
          <w:p w14:paraId="1882BBA5" w14:textId="77777777" w:rsidR="00F61893" w:rsidRPr="00E915DB" w:rsidRDefault="00F61893" w:rsidP="008346F5">
            <w:pPr>
              <w:pStyle w:val="Tablebody"/>
              <w:jc w:val="left"/>
            </w:pPr>
            <w:r w:rsidRPr="00E915DB">
              <w:t>Higher reproducibility with objective molecular markers</w:t>
            </w:r>
          </w:p>
        </w:tc>
      </w:tr>
      <w:tr w:rsidR="00EF3BEB" w:rsidRPr="001D7A22" w14:paraId="0A648E7E" w14:textId="77777777" w:rsidTr="00EF7E97">
        <w:trPr>
          <w:trHeight w:val="425"/>
          <w:jc w:val="center"/>
        </w:trPr>
        <w:tc>
          <w:tcPr>
            <w:tcW w:w="1036" w:type="pct"/>
            <w:vAlign w:val="center"/>
            <w:hideMark/>
          </w:tcPr>
          <w:p w14:paraId="4EE1D7AB" w14:textId="77777777" w:rsidR="00F61893" w:rsidRPr="00E915DB" w:rsidRDefault="00F61893" w:rsidP="00EF7E97">
            <w:pPr>
              <w:pStyle w:val="Tablebody"/>
              <w:jc w:val="left"/>
            </w:pPr>
            <w:r w:rsidRPr="00E915DB">
              <w:t>Biological accuracy</w:t>
            </w:r>
          </w:p>
        </w:tc>
        <w:tc>
          <w:tcPr>
            <w:tcW w:w="1717" w:type="pct"/>
            <w:vAlign w:val="center"/>
            <w:hideMark/>
          </w:tcPr>
          <w:p w14:paraId="491BAD50" w14:textId="77777777" w:rsidR="00F61893" w:rsidRPr="00E915DB" w:rsidRDefault="00F61893" w:rsidP="008346F5">
            <w:pPr>
              <w:pStyle w:val="Tablebody"/>
              <w:jc w:val="left"/>
            </w:pPr>
            <w:r w:rsidRPr="00E915DB">
              <w:t>Oversimplified; fails to capture tumor heterogeneity and intermediate forms</w:t>
            </w:r>
          </w:p>
        </w:tc>
        <w:tc>
          <w:tcPr>
            <w:tcW w:w="2247" w:type="pct"/>
            <w:vAlign w:val="center"/>
            <w:hideMark/>
          </w:tcPr>
          <w:p w14:paraId="45D4A902" w14:textId="77777777" w:rsidR="00F61893" w:rsidRPr="00E915DB" w:rsidRDefault="00F61893" w:rsidP="008346F5">
            <w:pPr>
              <w:pStyle w:val="Tablebody"/>
              <w:jc w:val="left"/>
            </w:pPr>
            <w:r w:rsidRPr="00E915DB">
              <w:t>Reflects tumor biology more accurately and identifies distinct genomic subgroups</w:t>
            </w:r>
          </w:p>
        </w:tc>
      </w:tr>
      <w:tr w:rsidR="00EF3BEB" w:rsidRPr="001D7A22" w14:paraId="65B2668A" w14:textId="77777777" w:rsidTr="00EF7E97">
        <w:trPr>
          <w:trHeight w:val="425"/>
          <w:jc w:val="center"/>
        </w:trPr>
        <w:tc>
          <w:tcPr>
            <w:tcW w:w="1036" w:type="pct"/>
            <w:vAlign w:val="center"/>
            <w:hideMark/>
          </w:tcPr>
          <w:p w14:paraId="4EBB264E" w14:textId="77777777" w:rsidR="00F61893" w:rsidRPr="00E915DB" w:rsidRDefault="00F61893" w:rsidP="00EF7E97">
            <w:pPr>
              <w:pStyle w:val="Tablebody"/>
              <w:jc w:val="left"/>
            </w:pPr>
            <w:r w:rsidRPr="00E915DB">
              <w:t>Prognostic stratification</w:t>
            </w:r>
          </w:p>
        </w:tc>
        <w:tc>
          <w:tcPr>
            <w:tcW w:w="1717" w:type="pct"/>
            <w:vAlign w:val="center"/>
            <w:hideMark/>
          </w:tcPr>
          <w:p w14:paraId="7CB95074" w14:textId="77777777" w:rsidR="00F61893" w:rsidRPr="00E915DB" w:rsidRDefault="00F61893" w:rsidP="008346F5">
            <w:pPr>
              <w:pStyle w:val="Tablebody"/>
              <w:jc w:val="left"/>
            </w:pPr>
            <w:r w:rsidRPr="00E915DB">
              <w:t>Limited prognostic precision; high-grade endometrioid tumors often misclassified</w:t>
            </w:r>
          </w:p>
        </w:tc>
        <w:tc>
          <w:tcPr>
            <w:tcW w:w="2247" w:type="pct"/>
            <w:vAlign w:val="center"/>
            <w:hideMark/>
          </w:tcPr>
          <w:p w14:paraId="6C507556" w14:textId="77777777" w:rsidR="00F61893" w:rsidRPr="00E915DB" w:rsidRDefault="00F61893" w:rsidP="008346F5">
            <w:pPr>
              <w:pStyle w:val="Tablebody"/>
              <w:jc w:val="left"/>
            </w:pPr>
            <w:r w:rsidRPr="00E915DB">
              <w:t>Strong prognostic value (e.g., excellent prognosis in POLE-mutated tumors, poor in p53-abnormal)</w:t>
            </w:r>
          </w:p>
        </w:tc>
      </w:tr>
      <w:tr w:rsidR="00EF3BEB" w:rsidRPr="001D7A22" w14:paraId="21860C4E" w14:textId="77777777" w:rsidTr="00EF7E97">
        <w:trPr>
          <w:trHeight w:val="425"/>
          <w:jc w:val="center"/>
        </w:trPr>
        <w:tc>
          <w:tcPr>
            <w:tcW w:w="1036" w:type="pct"/>
            <w:vAlign w:val="center"/>
            <w:hideMark/>
          </w:tcPr>
          <w:p w14:paraId="0814B78B" w14:textId="77777777" w:rsidR="00F61893" w:rsidRPr="00E915DB" w:rsidRDefault="00F61893" w:rsidP="00EF7E97">
            <w:pPr>
              <w:pStyle w:val="Tablebody"/>
              <w:jc w:val="left"/>
            </w:pPr>
            <w:r w:rsidRPr="00E915DB">
              <w:t>Therapeutic implications</w:t>
            </w:r>
          </w:p>
        </w:tc>
        <w:tc>
          <w:tcPr>
            <w:tcW w:w="1717" w:type="pct"/>
            <w:vAlign w:val="center"/>
            <w:hideMark/>
          </w:tcPr>
          <w:p w14:paraId="1DD20931" w14:textId="77777777" w:rsidR="00F61893" w:rsidRPr="00E915DB" w:rsidRDefault="00F61893" w:rsidP="008346F5">
            <w:pPr>
              <w:pStyle w:val="Tablebody"/>
              <w:jc w:val="left"/>
            </w:pPr>
            <w:r w:rsidRPr="00E915DB">
              <w:t>Minimal impact on targeted therapy selection</w:t>
            </w:r>
          </w:p>
        </w:tc>
        <w:tc>
          <w:tcPr>
            <w:tcW w:w="2247" w:type="pct"/>
            <w:vAlign w:val="center"/>
            <w:hideMark/>
          </w:tcPr>
          <w:p w14:paraId="1DB77166" w14:textId="77777777" w:rsidR="00F61893" w:rsidRPr="00E915DB" w:rsidRDefault="00F61893" w:rsidP="008346F5">
            <w:pPr>
              <w:pStyle w:val="Tablebody"/>
              <w:jc w:val="left"/>
            </w:pPr>
            <w:r w:rsidRPr="00E915DB">
              <w:t xml:space="preserve">Direct therapeutic relevance (immunotherapy in </w:t>
            </w:r>
            <w:proofErr w:type="spellStart"/>
            <w:r w:rsidRPr="00E915DB">
              <w:t>MMRd</w:t>
            </w:r>
            <w:proofErr w:type="spellEnd"/>
            <w:r w:rsidRPr="00E915DB">
              <w:t>, de-escalation in POLE-mutant, HER2-targeting in p53-abn)</w:t>
            </w:r>
          </w:p>
        </w:tc>
      </w:tr>
      <w:tr w:rsidR="00EF3BEB" w:rsidRPr="001D7A22" w14:paraId="16D6EF62" w14:textId="77777777" w:rsidTr="00EF7E97">
        <w:trPr>
          <w:trHeight w:val="425"/>
          <w:jc w:val="center"/>
        </w:trPr>
        <w:tc>
          <w:tcPr>
            <w:tcW w:w="1036" w:type="pct"/>
            <w:vAlign w:val="center"/>
            <w:hideMark/>
          </w:tcPr>
          <w:p w14:paraId="2E92D34B" w14:textId="77777777" w:rsidR="00F61893" w:rsidRPr="00E915DB" w:rsidRDefault="00F61893" w:rsidP="00EF7E97">
            <w:pPr>
              <w:pStyle w:val="Tablebody"/>
              <w:jc w:val="left"/>
            </w:pPr>
            <w:r w:rsidRPr="00E915DB">
              <w:t>Integration with modern staging</w:t>
            </w:r>
          </w:p>
        </w:tc>
        <w:tc>
          <w:tcPr>
            <w:tcW w:w="1717" w:type="pct"/>
            <w:vAlign w:val="center"/>
            <w:hideMark/>
          </w:tcPr>
          <w:p w14:paraId="51C0BE9C" w14:textId="77777777" w:rsidR="00F61893" w:rsidRPr="00E915DB" w:rsidRDefault="00F61893" w:rsidP="008346F5">
            <w:pPr>
              <w:pStyle w:val="Tablebody"/>
              <w:jc w:val="left"/>
            </w:pPr>
            <w:r w:rsidRPr="00E915DB">
              <w:t>Not integrated into current staging systems</w:t>
            </w:r>
          </w:p>
        </w:tc>
        <w:tc>
          <w:tcPr>
            <w:tcW w:w="2247" w:type="pct"/>
            <w:vAlign w:val="center"/>
            <w:hideMark/>
          </w:tcPr>
          <w:p w14:paraId="6A5D42C2" w14:textId="77777777" w:rsidR="00F61893" w:rsidRPr="00E915DB" w:rsidRDefault="00F61893" w:rsidP="008346F5">
            <w:pPr>
              <w:pStyle w:val="Tablebody"/>
              <w:jc w:val="left"/>
            </w:pPr>
            <w:r w:rsidRPr="00E915DB">
              <w:t>Incorporated into FIGO 2023 staging and risk stratification</w:t>
            </w:r>
          </w:p>
        </w:tc>
      </w:tr>
      <w:tr w:rsidR="00EF3BEB" w:rsidRPr="001D7A22" w14:paraId="6916B98C" w14:textId="77777777" w:rsidTr="00EF7E97">
        <w:trPr>
          <w:trHeight w:val="425"/>
          <w:jc w:val="center"/>
        </w:trPr>
        <w:tc>
          <w:tcPr>
            <w:tcW w:w="1036" w:type="pct"/>
            <w:vAlign w:val="center"/>
            <w:hideMark/>
          </w:tcPr>
          <w:p w14:paraId="4EAA5373" w14:textId="77777777" w:rsidR="00F61893" w:rsidRPr="00E915DB" w:rsidRDefault="00F61893" w:rsidP="00EF7E97">
            <w:pPr>
              <w:pStyle w:val="Tablebody"/>
              <w:jc w:val="left"/>
            </w:pPr>
            <w:r w:rsidRPr="00E915DB">
              <w:t>Ability to resolve ambiguous cases</w:t>
            </w:r>
          </w:p>
        </w:tc>
        <w:tc>
          <w:tcPr>
            <w:tcW w:w="1717" w:type="pct"/>
            <w:vAlign w:val="center"/>
            <w:hideMark/>
          </w:tcPr>
          <w:p w14:paraId="77503C3D" w14:textId="77777777" w:rsidR="00F61893" w:rsidRPr="00E915DB" w:rsidRDefault="00F61893" w:rsidP="008346F5">
            <w:pPr>
              <w:pStyle w:val="Tablebody"/>
              <w:jc w:val="left"/>
            </w:pPr>
            <w:r w:rsidRPr="00E915DB">
              <w:t xml:space="preserve">Limited utility in high-grade or mixed </w:t>
            </w:r>
            <w:proofErr w:type="spellStart"/>
            <w:r w:rsidRPr="00E915DB">
              <w:t>histotypes</w:t>
            </w:r>
            <w:proofErr w:type="spellEnd"/>
          </w:p>
        </w:tc>
        <w:tc>
          <w:tcPr>
            <w:tcW w:w="2247" w:type="pct"/>
            <w:vAlign w:val="center"/>
            <w:hideMark/>
          </w:tcPr>
          <w:p w14:paraId="5C23EBB7" w14:textId="77777777" w:rsidR="00F61893" w:rsidRPr="00E915DB" w:rsidRDefault="00F61893" w:rsidP="008346F5">
            <w:pPr>
              <w:pStyle w:val="Tablebody"/>
              <w:jc w:val="left"/>
            </w:pPr>
            <w:r w:rsidRPr="00E915DB">
              <w:t>Particularly useful in morphologically ambiguous or high-grade tumors</w:t>
            </w:r>
          </w:p>
        </w:tc>
      </w:tr>
      <w:tr w:rsidR="00EF3BEB" w:rsidRPr="001D7A22" w14:paraId="09386A47" w14:textId="77777777" w:rsidTr="00EF7E97">
        <w:trPr>
          <w:trHeight w:val="425"/>
          <w:jc w:val="center"/>
        </w:trPr>
        <w:tc>
          <w:tcPr>
            <w:tcW w:w="1036" w:type="pct"/>
            <w:vAlign w:val="center"/>
            <w:hideMark/>
          </w:tcPr>
          <w:p w14:paraId="27D9298B" w14:textId="77777777" w:rsidR="00F61893" w:rsidRPr="00E915DB" w:rsidRDefault="00F61893" w:rsidP="00EF7E97">
            <w:pPr>
              <w:pStyle w:val="Tablebody"/>
              <w:jc w:val="left"/>
            </w:pPr>
            <w:r w:rsidRPr="00E915DB">
              <w:t>Cost and infrastructure</w:t>
            </w:r>
          </w:p>
        </w:tc>
        <w:tc>
          <w:tcPr>
            <w:tcW w:w="1717" w:type="pct"/>
            <w:vAlign w:val="center"/>
            <w:hideMark/>
          </w:tcPr>
          <w:p w14:paraId="511B92BC" w14:textId="77777777" w:rsidR="00F61893" w:rsidRPr="00E915DB" w:rsidRDefault="00F61893" w:rsidP="008346F5">
            <w:pPr>
              <w:pStyle w:val="Tablebody"/>
              <w:jc w:val="left"/>
            </w:pPr>
            <w:r w:rsidRPr="00E915DB">
              <w:t>Low cost; applicable in all settings</w:t>
            </w:r>
          </w:p>
        </w:tc>
        <w:tc>
          <w:tcPr>
            <w:tcW w:w="2247" w:type="pct"/>
            <w:vAlign w:val="center"/>
            <w:hideMark/>
          </w:tcPr>
          <w:p w14:paraId="29D91CF3" w14:textId="77777777" w:rsidR="00F61893" w:rsidRPr="00E915DB" w:rsidRDefault="00F61893" w:rsidP="008346F5">
            <w:pPr>
              <w:pStyle w:val="Tablebody"/>
              <w:jc w:val="left"/>
            </w:pPr>
            <w:r w:rsidRPr="00E915DB">
              <w:t>Higher cost; requires molecular platforms, bioinformatics, and expertise</w:t>
            </w:r>
          </w:p>
        </w:tc>
      </w:tr>
      <w:tr w:rsidR="00EF3BEB" w:rsidRPr="001D7A22" w14:paraId="3A424A69" w14:textId="77777777" w:rsidTr="00EF7E97">
        <w:trPr>
          <w:trHeight w:val="425"/>
          <w:jc w:val="center"/>
        </w:trPr>
        <w:tc>
          <w:tcPr>
            <w:tcW w:w="1036" w:type="pct"/>
            <w:vAlign w:val="center"/>
            <w:hideMark/>
          </w:tcPr>
          <w:p w14:paraId="5451CAA8" w14:textId="77777777" w:rsidR="00F61893" w:rsidRPr="00E915DB" w:rsidRDefault="00F61893" w:rsidP="00EF7E97">
            <w:pPr>
              <w:pStyle w:val="Tablebody"/>
              <w:jc w:val="left"/>
            </w:pPr>
            <w:r w:rsidRPr="00E915DB">
              <w:t>Implementation barriers</w:t>
            </w:r>
          </w:p>
        </w:tc>
        <w:tc>
          <w:tcPr>
            <w:tcW w:w="1717" w:type="pct"/>
            <w:vAlign w:val="center"/>
            <w:hideMark/>
          </w:tcPr>
          <w:p w14:paraId="60D876F5" w14:textId="003B9162" w:rsidR="00F61893" w:rsidRPr="00E915DB" w:rsidRDefault="00F61893" w:rsidP="008346F5">
            <w:pPr>
              <w:pStyle w:val="Tablebody"/>
              <w:jc w:val="left"/>
            </w:pPr>
            <w:r w:rsidRPr="00E915DB">
              <w:t>No</w:t>
            </w:r>
            <w:r w:rsidR="00CD4D35" w:rsidRPr="00E915DB">
              <w:t xml:space="preserve"> major barriers</w:t>
            </w:r>
          </w:p>
        </w:tc>
        <w:tc>
          <w:tcPr>
            <w:tcW w:w="2247" w:type="pct"/>
            <w:vAlign w:val="center"/>
            <w:hideMark/>
          </w:tcPr>
          <w:p w14:paraId="6B586C5E" w14:textId="77777777" w:rsidR="00F61893" w:rsidRPr="00E915DB" w:rsidRDefault="00F61893" w:rsidP="008346F5">
            <w:pPr>
              <w:pStyle w:val="Tablebody"/>
              <w:jc w:val="left"/>
            </w:pPr>
            <w:r w:rsidRPr="00E915DB">
              <w:t>Sample quality issues, cost, access disparities, interpretive complexity (e.g., POLE VUS, p53 IHC variability)</w:t>
            </w:r>
          </w:p>
        </w:tc>
      </w:tr>
      <w:tr w:rsidR="00EF3BEB" w:rsidRPr="001D7A22" w14:paraId="0C8EE344" w14:textId="77777777" w:rsidTr="00EF7E97">
        <w:trPr>
          <w:trHeight w:val="425"/>
          <w:jc w:val="center"/>
        </w:trPr>
        <w:tc>
          <w:tcPr>
            <w:tcW w:w="1036" w:type="pct"/>
            <w:vAlign w:val="center"/>
            <w:hideMark/>
          </w:tcPr>
          <w:p w14:paraId="1C2D6627" w14:textId="77777777" w:rsidR="00F61893" w:rsidRPr="00E915DB" w:rsidRDefault="00F61893" w:rsidP="00EF7E97">
            <w:pPr>
              <w:pStyle w:val="Tablebody"/>
              <w:jc w:val="left"/>
            </w:pPr>
            <w:r w:rsidRPr="00E915DB">
              <w:t>Clinical adoption</w:t>
            </w:r>
          </w:p>
        </w:tc>
        <w:tc>
          <w:tcPr>
            <w:tcW w:w="1717" w:type="pct"/>
            <w:vAlign w:val="center"/>
            <w:hideMark/>
          </w:tcPr>
          <w:p w14:paraId="14B4AF00" w14:textId="77777777" w:rsidR="00F61893" w:rsidRPr="00E915DB" w:rsidRDefault="00F61893" w:rsidP="008346F5">
            <w:pPr>
              <w:pStyle w:val="Tablebody"/>
              <w:jc w:val="left"/>
            </w:pPr>
            <w:r w:rsidRPr="00E915DB">
              <w:t>Historically dominant but increasingly insufficient alone</w:t>
            </w:r>
          </w:p>
        </w:tc>
        <w:tc>
          <w:tcPr>
            <w:tcW w:w="2247" w:type="pct"/>
            <w:vAlign w:val="center"/>
            <w:hideMark/>
          </w:tcPr>
          <w:p w14:paraId="72AA5BC1" w14:textId="77777777" w:rsidR="00F61893" w:rsidRPr="00E915DB" w:rsidRDefault="00F61893" w:rsidP="008346F5">
            <w:pPr>
              <w:pStyle w:val="Tablebody"/>
              <w:jc w:val="left"/>
            </w:pPr>
            <w:r w:rsidRPr="00E915DB">
              <w:t>Becoming essential component of routine pathology and precision oncology</w:t>
            </w:r>
          </w:p>
        </w:tc>
      </w:tr>
      <w:tr w:rsidR="00EF3BEB" w:rsidRPr="001D7A22" w14:paraId="49B7A5C9" w14:textId="77777777" w:rsidTr="00EF7E97">
        <w:trPr>
          <w:trHeight w:val="425"/>
          <w:jc w:val="center"/>
        </w:trPr>
        <w:tc>
          <w:tcPr>
            <w:tcW w:w="1036" w:type="pct"/>
            <w:vAlign w:val="center"/>
            <w:hideMark/>
          </w:tcPr>
          <w:p w14:paraId="60B16DC2" w14:textId="77777777" w:rsidR="00F61893" w:rsidRPr="00E915DB" w:rsidRDefault="00F61893" w:rsidP="00EF7E97">
            <w:pPr>
              <w:pStyle w:val="Tablebody"/>
              <w:jc w:val="left"/>
            </w:pPr>
            <w:r w:rsidRPr="00E915DB">
              <w:t>Future perspective</w:t>
            </w:r>
          </w:p>
        </w:tc>
        <w:tc>
          <w:tcPr>
            <w:tcW w:w="1717" w:type="pct"/>
            <w:vAlign w:val="center"/>
            <w:hideMark/>
          </w:tcPr>
          <w:p w14:paraId="11CCA550" w14:textId="77777777" w:rsidR="00F61893" w:rsidRPr="00E915DB" w:rsidRDefault="00F61893" w:rsidP="008346F5">
            <w:pPr>
              <w:pStyle w:val="Tablebody"/>
              <w:jc w:val="left"/>
            </w:pPr>
            <w:r w:rsidRPr="00E915DB">
              <w:t>Likely to remain as a simplified morphologic framework</w:t>
            </w:r>
          </w:p>
        </w:tc>
        <w:tc>
          <w:tcPr>
            <w:tcW w:w="2247" w:type="pct"/>
            <w:vAlign w:val="center"/>
            <w:hideMark/>
          </w:tcPr>
          <w:p w14:paraId="72EEAEDF" w14:textId="77777777" w:rsidR="00F61893" w:rsidRPr="00E915DB" w:rsidRDefault="00F61893" w:rsidP="008346F5">
            <w:pPr>
              <w:pStyle w:val="Tablebody"/>
              <w:jc w:val="left"/>
            </w:pPr>
            <w:r w:rsidRPr="00E915DB">
              <w:t>Expected to become standard integrated model with morphology, staging, and targeted therapy guidance</w:t>
            </w:r>
          </w:p>
        </w:tc>
      </w:tr>
    </w:tbl>
    <w:p w14:paraId="12A169CF" w14:textId="313892E2" w:rsidR="00EF7E97" w:rsidRPr="00E915DB" w:rsidRDefault="00810A41" w:rsidP="008F39C1">
      <w:pPr>
        <w:pStyle w:val="Tablefooter"/>
      </w:pPr>
      <w:r w:rsidRPr="00E915DB">
        <w:t xml:space="preserve">EC, endometrial carcinoma; </w:t>
      </w:r>
      <w:r w:rsidR="008F39C1" w:rsidRPr="00E915DB">
        <w:t xml:space="preserve">TCGA, </w:t>
      </w:r>
      <w:r w:rsidR="006C47F8" w:rsidRPr="00E915DB">
        <w:t>The Cancer Genome Atlas</w:t>
      </w:r>
      <w:r w:rsidR="00CE0B74" w:rsidRPr="00E915DB">
        <w:t xml:space="preserve">; </w:t>
      </w:r>
      <w:proofErr w:type="spellStart"/>
      <w:r w:rsidR="00CE0B74" w:rsidRPr="00E915DB">
        <w:t>MMRd</w:t>
      </w:r>
      <w:proofErr w:type="spellEnd"/>
      <w:r w:rsidR="00CE0B74" w:rsidRPr="00E915DB">
        <w:t xml:space="preserve">, </w:t>
      </w:r>
      <w:r w:rsidR="006C47F8" w:rsidRPr="00E915DB">
        <w:t>mismatch repair–deficient</w:t>
      </w:r>
      <w:r w:rsidR="00CE0B74" w:rsidRPr="00E915DB">
        <w:t xml:space="preserve">; MSI, </w:t>
      </w:r>
      <w:r w:rsidR="006C47F8" w:rsidRPr="00E915DB">
        <w:t>microsatellite instability</w:t>
      </w:r>
      <w:r w:rsidR="00CE0B74" w:rsidRPr="00E915DB">
        <w:t xml:space="preserve">; NSMP, </w:t>
      </w:r>
      <w:r w:rsidR="006C47F8" w:rsidRPr="00E915DB">
        <w:t>no specific molecular profile</w:t>
      </w:r>
      <w:r w:rsidR="00CE0B74" w:rsidRPr="00E915DB">
        <w:t>;</w:t>
      </w:r>
      <w:r w:rsidR="006C47F8" w:rsidRPr="00E915DB">
        <w:t xml:space="preserve"> NGS, next-generation sequencing; </w:t>
      </w:r>
      <w:r w:rsidR="00885148" w:rsidRPr="00E915DB">
        <w:t xml:space="preserve">POLE, </w:t>
      </w:r>
      <w:r w:rsidR="00214823" w:rsidRPr="00E915DB">
        <w:t>DNA polymerase epsilon, catalytic subunit A</w:t>
      </w:r>
      <w:r w:rsidR="00885148" w:rsidRPr="00E915DB">
        <w:t xml:space="preserve">; </w:t>
      </w:r>
      <w:r w:rsidR="006C47F8" w:rsidRPr="00E915DB">
        <w:t>VUS, variants of uncertain significance</w:t>
      </w:r>
      <w:r w:rsidR="00885148" w:rsidRPr="00E915DB">
        <w:t>;</w:t>
      </w:r>
      <w:r w:rsidR="00885148" w:rsidRPr="00E915DB">
        <w:rPr>
          <w:color w:val="auto"/>
        </w:rPr>
        <w:t xml:space="preserve"> IHC, </w:t>
      </w:r>
      <w:r w:rsidR="003578F4" w:rsidRPr="00E915DB">
        <w:rPr>
          <w:color w:val="auto"/>
        </w:rPr>
        <w:t xml:space="preserve"> immunohistochemistry; HER2, human epidermal growth factor receptor 2; FIGO, Federation of Gynecology and Obstetrics</w:t>
      </w:r>
      <w:r w:rsidR="006C47F8" w:rsidRPr="00E915DB">
        <w:rPr>
          <w:color w:val="auto"/>
        </w:rPr>
        <w:t>.</w:t>
      </w:r>
    </w:p>
    <w:p w14:paraId="550ADE7F" w14:textId="1D069FCE" w:rsidR="00042701" w:rsidRPr="00E915DB" w:rsidRDefault="00042701" w:rsidP="00042701">
      <w:pPr>
        <w:pStyle w:val="Text"/>
        <w:ind w:firstLine="420"/>
      </w:pPr>
    </w:p>
    <w:p w14:paraId="297D7652" w14:textId="77777777" w:rsidR="008F39C1" w:rsidRPr="00E915DB" w:rsidRDefault="008F39C1" w:rsidP="00EF7E97">
      <w:pPr>
        <w:pStyle w:val="Text"/>
        <w:ind w:firstLine="420"/>
      </w:pPr>
    </w:p>
    <w:p w14:paraId="046EE931" w14:textId="77777777" w:rsidR="008346F5" w:rsidRPr="00E915DB" w:rsidRDefault="008346F5" w:rsidP="00EF7E97">
      <w:pPr>
        <w:pStyle w:val="Text"/>
        <w:ind w:firstLine="420"/>
        <w:sectPr w:rsidR="008346F5" w:rsidRPr="00E915DB" w:rsidSect="00133674">
          <w:headerReference w:type="default" r:id="rId9"/>
          <w:pgSz w:w="16838" w:h="11906" w:orient="landscape" w:code="9"/>
          <w:pgMar w:top="1134" w:right="851" w:bottom="1134" w:left="851" w:header="283" w:footer="1134" w:gutter="0"/>
          <w:cols w:space="708"/>
          <w:docGrid w:type="lines" w:linePitch="360"/>
        </w:sectPr>
      </w:pPr>
    </w:p>
    <w:p w14:paraId="057F0104" w14:textId="5B616E21" w:rsidR="00F61893" w:rsidRPr="00E915DB" w:rsidRDefault="00ED4E73" w:rsidP="00EF7E97">
      <w:pPr>
        <w:pStyle w:val="Text"/>
        <w:ind w:firstLine="420"/>
      </w:pPr>
      <w:r w:rsidRPr="00E915DB">
        <w:lastRenderedPageBreak/>
        <w:t>Fig</w:t>
      </w:r>
      <w:r w:rsidR="00EF7E97" w:rsidRPr="00E915DB">
        <w:t>.</w:t>
      </w:r>
      <w:r w:rsidRPr="00E915DB">
        <w:t xml:space="preserve"> </w:t>
      </w:r>
      <w:r w:rsidR="007E5A59" w:rsidRPr="00E915DB">
        <w:t xml:space="preserve">1 </w:t>
      </w:r>
      <w:r w:rsidRPr="00E915DB">
        <w:t xml:space="preserve">provides an integrated schematic overview of </w:t>
      </w:r>
      <w:r w:rsidR="00810A41" w:rsidRPr="00E915DB">
        <w:t>EC</w:t>
      </w:r>
      <w:r w:rsidRPr="00E915DB">
        <w:t xml:space="preserve">, illustrating how the combination of morphologic evaluation and TCGA-based molecular classification </w:t>
      </w:r>
      <w:r w:rsidR="00CD4D35" w:rsidRPr="00E915DB">
        <w:t xml:space="preserve">supports </w:t>
      </w:r>
      <w:r w:rsidRPr="00E915DB">
        <w:t>a biologically informed approach to prognosis, staging, and personalized clinical management.</w:t>
      </w:r>
    </w:p>
    <w:p w14:paraId="60B47FFE" w14:textId="079F21B9" w:rsidR="00EF7E97" w:rsidRPr="00E915DB" w:rsidRDefault="00EF7E97" w:rsidP="00EF7E97">
      <w:pPr>
        <w:pStyle w:val="Text"/>
        <w:ind w:firstLine="420"/>
      </w:pPr>
    </w:p>
    <w:p w14:paraId="7EDD5FA4" w14:textId="77777777" w:rsidR="00EF7E97" w:rsidRPr="00E915DB" w:rsidRDefault="00EF7E97" w:rsidP="00EF7E97">
      <w:pPr>
        <w:pStyle w:val="Text"/>
        <w:ind w:firstLine="420"/>
      </w:pPr>
    </w:p>
    <w:p w14:paraId="7C54AA70" w14:textId="1EE72912" w:rsidR="007E5A59" w:rsidRPr="00E915DB" w:rsidRDefault="007E5A59" w:rsidP="00EF7E97">
      <w:pPr>
        <w:pStyle w:val="Figure"/>
      </w:pPr>
      <w:r w:rsidRPr="00E915DB">
        <w:rPr>
          <w:noProof/>
          <w:lang w:val="it-IT" w:eastAsia="it-IT" w:bidi="ar-SA"/>
        </w:rPr>
        <w:drawing>
          <wp:inline distT="0" distB="0" distL="0" distR="0" wp14:anchorId="251F501D" wp14:editId="0FF94EAA">
            <wp:extent cx="6343650" cy="4317736"/>
            <wp:effectExtent l="0" t="0" r="0" b="6985"/>
            <wp:docPr id="145346541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65411" name="Immagine 1453465411"/>
                    <pic:cNvPicPr/>
                  </pic:nvPicPr>
                  <pic:blipFill rotWithShape="1">
                    <a:blip r:embed="rId10">
                      <a:extLst>
                        <a:ext uri="{28A0092B-C50C-407E-A947-70E740481C1C}">
                          <a14:useLocalDpi xmlns:a14="http://schemas.microsoft.com/office/drawing/2010/main" val="0"/>
                        </a:ext>
                      </a:extLst>
                    </a:blip>
                    <a:srcRect t="4979" b="4275"/>
                    <a:stretch/>
                  </pic:blipFill>
                  <pic:spPr bwMode="auto">
                    <a:xfrm>
                      <a:off x="0" y="0"/>
                      <a:ext cx="6356821" cy="4326701"/>
                    </a:xfrm>
                    <a:prstGeom prst="rect">
                      <a:avLst/>
                    </a:prstGeom>
                    <a:ln>
                      <a:noFill/>
                    </a:ln>
                    <a:extLst>
                      <a:ext uri="{53640926-AAD7-44D8-BBD7-CCE9431645EC}">
                        <a14:shadowObscured xmlns:a14="http://schemas.microsoft.com/office/drawing/2010/main"/>
                      </a:ext>
                    </a:extLst>
                  </pic:spPr>
                </pic:pic>
              </a:graphicData>
            </a:graphic>
          </wp:inline>
        </w:drawing>
      </w:r>
    </w:p>
    <w:p w14:paraId="30883559" w14:textId="065AA9F6" w:rsidR="00487404" w:rsidRPr="00E915DB" w:rsidRDefault="00627E31" w:rsidP="00EF7E97">
      <w:pPr>
        <w:pStyle w:val="Figurecaption"/>
      </w:pPr>
      <w:r w:rsidRPr="00E915DB">
        <w:rPr>
          <w:b/>
        </w:rPr>
        <w:t>Fig</w:t>
      </w:r>
      <w:r w:rsidR="00EF7E97" w:rsidRPr="00E915DB">
        <w:rPr>
          <w:b/>
        </w:rPr>
        <w:t>.</w:t>
      </w:r>
      <w:r w:rsidRPr="00E915DB">
        <w:rPr>
          <w:b/>
        </w:rPr>
        <w:t xml:space="preserve"> </w:t>
      </w:r>
      <w:r w:rsidR="00D655BF" w:rsidRPr="00E915DB">
        <w:rPr>
          <w:b/>
        </w:rPr>
        <w:t>1</w:t>
      </w:r>
      <w:r w:rsidRPr="00E915DB">
        <w:rPr>
          <w:b/>
        </w:rPr>
        <w:t>. Integrated morphologic</w:t>
      </w:r>
      <w:r w:rsidR="00E915DB" w:rsidRPr="00E915DB">
        <w:rPr>
          <w:b/>
        </w:rPr>
        <w:t>-</w:t>
      </w:r>
      <w:r w:rsidRPr="00E915DB">
        <w:rPr>
          <w:b/>
        </w:rPr>
        <w:t xml:space="preserve">molecular framework for the clinical management of </w:t>
      </w:r>
      <w:r w:rsidR="00810A41" w:rsidRPr="00E915DB">
        <w:rPr>
          <w:b/>
        </w:rPr>
        <w:t>EC</w:t>
      </w:r>
      <w:r w:rsidRPr="00E915DB">
        <w:rPr>
          <w:b/>
        </w:rPr>
        <w:t>.</w:t>
      </w:r>
      <w:r w:rsidR="00EF7E97" w:rsidRPr="00E915DB">
        <w:rPr>
          <w:b/>
        </w:rPr>
        <w:t xml:space="preserve"> </w:t>
      </w:r>
      <w:r w:rsidRPr="00E915DB">
        <w:t xml:space="preserve">This schematic representation illustrates the integration of conventional histopathologic assessment with molecular classification in </w:t>
      </w:r>
      <w:r w:rsidR="00810A41" w:rsidRPr="00E915DB">
        <w:t>EC</w:t>
      </w:r>
      <w:r w:rsidRPr="00E915DB">
        <w:t xml:space="preserve">. Traditional morphologic parameters, including histotype, grade, and stage, provide the initial diagnostic framework but are limited in </w:t>
      </w:r>
      <w:r w:rsidR="00CD4D35" w:rsidRPr="00E915DB">
        <w:t xml:space="preserve">their ability to </w:t>
      </w:r>
      <w:r w:rsidRPr="00E915DB">
        <w:t>captur</w:t>
      </w:r>
      <w:r w:rsidR="00CD4D35" w:rsidRPr="00E915DB">
        <w:t>e</w:t>
      </w:r>
      <w:r w:rsidRPr="00E915DB">
        <w:t xml:space="preserve"> tumor biological heterogeneity. The incorporation of TCGA-based molecular subtypes</w:t>
      </w:r>
      <w:r w:rsidR="00CD4D35" w:rsidRPr="00E915DB">
        <w:t xml:space="preserve">, including </w:t>
      </w:r>
      <w:r w:rsidRPr="00E915DB">
        <w:t>POLE-</w:t>
      </w:r>
      <w:proofErr w:type="spellStart"/>
      <w:r w:rsidRPr="00E915DB">
        <w:t>ultramutated</w:t>
      </w:r>
      <w:proofErr w:type="spellEnd"/>
      <w:r w:rsidRPr="00E915DB">
        <w:t xml:space="preserve">, </w:t>
      </w:r>
      <w:bookmarkStart w:id="2" w:name="_Hlk227573533"/>
      <w:r w:rsidR="00475D9C" w:rsidRPr="00E915DB">
        <w:t>MMR</w:t>
      </w:r>
      <w:r w:rsidRPr="00E915DB">
        <w:t>–deficient</w:t>
      </w:r>
      <w:bookmarkEnd w:id="2"/>
      <w:r w:rsidRPr="00E915DB">
        <w:t xml:space="preserve"> (</w:t>
      </w:r>
      <w:proofErr w:type="spellStart"/>
      <w:r w:rsidRPr="00E915DB">
        <w:t>MMRd</w:t>
      </w:r>
      <w:proofErr w:type="spellEnd"/>
      <w:r w:rsidRPr="00E915DB">
        <w:t>/MSI-H), NSMP, and p53-abnormal (copy-number high)</w:t>
      </w:r>
      <w:r w:rsidR="00AC1EC1" w:rsidRPr="00E915DB">
        <w:t xml:space="preserve"> </w:t>
      </w:r>
      <w:r w:rsidR="00475D9C" w:rsidRPr="00E915DB">
        <w:t xml:space="preserve">tumors, </w:t>
      </w:r>
      <w:r w:rsidRPr="00E915DB">
        <w:t xml:space="preserve">enables refined prognostic stratification and more accurate risk assessment. Each molecular subgroup is associated with distinct biological </w:t>
      </w:r>
      <w:r w:rsidR="0024632A" w:rsidRPr="00E915DB">
        <w:t>behavior</w:t>
      </w:r>
      <w:r w:rsidRPr="00E915DB">
        <w:t xml:space="preserve"> and therapeutic implications, ranging from treatment de-escalation in POLE-mutated tumors to intensified adjuvant strategies in p53-abnormal carcinomas, and the use of immune checkpoint inhibitors in MMR-deficient disease.</w:t>
      </w:r>
      <w:r w:rsidR="00EF7E97" w:rsidRPr="00E915DB">
        <w:t xml:space="preserve"> </w:t>
      </w:r>
      <w:r w:rsidRPr="00E915DB">
        <w:t xml:space="preserve">This integrated approach underpins contemporary </w:t>
      </w:r>
      <w:r w:rsidR="00E915DB" w:rsidRPr="00E915DB">
        <w:t xml:space="preserve"> European Society of </w:t>
      </w:r>
      <w:proofErr w:type="spellStart"/>
      <w:r w:rsidR="00E915DB" w:rsidRPr="00E915DB">
        <w:t>Gynaecological</w:t>
      </w:r>
      <w:proofErr w:type="spellEnd"/>
      <w:r w:rsidR="00E915DB" w:rsidRPr="00E915DB">
        <w:t xml:space="preserve"> Oncology/ European Society for Radiotherapy and Oncology/European Society of Pathology (</w:t>
      </w:r>
      <w:r w:rsidRPr="00E915DB">
        <w:t>ESGO/ESTRO/ESP</w:t>
      </w:r>
      <w:r w:rsidR="00E915DB" w:rsidRPr="00E915DB">
        <w:t>)</w:t>
      </w:r>
      <w:r w:rsidRPr="00E915DB">
        <w:t xml:space="preserve"> recommendations and is reflected in the 2023 FIGO staging revision, in which molecular features </w:t>
      </w:r>
      <w:r w:rsidR="00475D9C" w:rsidRPr="00E915DB">
        <w:t xml:space="preserve">function </w:t>
      </w:r>
      <w:r w:rsidRPr="00E915DB">
        <w:t xml:space="preserve">as </w:t>
      </w:r>
      <w:r w:rsidR="00475D9C" w:rsidRPr="00E915DB">
        <w:t xml:space="preserve">stage </w:t>
      </w:r>
      <w:r w:rsidRPr="00E915DB">
        <w:t>modifiers, marking a paradigm shift from purely anatomic staging to a biologically informed classification system that directly supports personalized clinical management.</w:t>
      </w:r>
      <w:r w:rsidR="00810A41" w:rsidRPr="00E915DB">
        <w:t xml:space="preserve"> </w:t>
      </w:r>
      <w:r w:rsidR="0073253D" w:rsidRPr="00E915DB">
        <w:rPr>
          <w:b/>
          <w:bCs/>
        </w:rPr>
        <w:t>Abbreviations</w:t>
      </w:r>
      <w:r w:rsidR="0073253D" w:rsidRPr="00E915DB">
        <w:t xml:space="preserve">: </w:t>
      </w:r>
      <w:r w:rsidR="00CD4D35" w:rsidRPr="00E915DB">
        <w:t xml:space="preserve">MSI-H, </w:t>
      </w:r>
      <w:r w:rsidR="003578F4" w:rsidRPr="00E915DB">
        <w:t>microsatellite instability-high</w:t>
      </w:r>
      <w:r w:rsidR="00CD4D35" w:rsidRPr="00E915DB">
        <w:t>;</w:t>
      </w:r>
      <w:r w:rsidR="003578F4" w:rsidRPr="00E915DB">
        <w:t xml:space="preserve"> </w:t>
      </w:r>
      <w:r w:rsidR="00CD4D35" w:rsidRPr="00E915DB">
        <w:t xml:space="preserve">ESGO/ESTRO/ESP, </w:t>
      </w:r>
      <w:r w:rsidR="007C5928" w:rsidRPr="00E915DB">
        <w:t xml:space="preserve">European Society of </w:t>
      </w:r>
      <w:proofErr w:type="spellStart"/>
      <w:r w:rsidR="007C5928" w:rsidRPr="00E915DB">
        <w:t>Gynaecological</w:t>
      </w:r>
      <w:proofErr w:type="spellEnd"/>
      <w:r w:rsidR="007C5928" w:rsidRPr="00E915DB">
        <w:t xml:space="preserve"> Oncology/European Society for Radiotherapy and Oncology / European Society of Pathology</w:t>
      </w:r>
      <w:r w:rsidR="00CD4D35" w:rsidRPr="00E915DB">
        <w:t>.</w:t>
      </w:r>
      <w:r w:rsidR="0073253D" w:rsidRPr="00E915DB">
        <w:t xml:space="preserve"> </w:t>
      </w:r>
    </w:p>
    <w:p w14:paraId="04471584" w14:textId="277F553C" w:rsidR="00487404" w:rsidRPr="00E915DB" w:rsidRDefault="00487404" w:rsidP="00EF7E97">
      <w:pPr>
        <w:pStyle w:val="Text"/>
        <w:ind w:firstLine="420"/>
      </w:pPr>
    </w:p>
    <w:p w14:paraId="5AF5AA19" w14:textId="77777777" w:rsidR="00EF7E97" w:rsidRPr="00E915DB" w:rsidRDefault="00EF7E97" w:rsidP="00EF7E97">
      <w:pPr>
        <w:pStyle w:val="Text"/>
        <w:ind w:firstLine="420"/>
      </w:pPr>
    </w:p>
    <w:p w14:paraId="65ABB952" w14:textId="3ECBE233" w:rsidR="004F22BC" w:rsidRPr="00E915DB" w:rsidRDefault="002E2508" w:rsidP="00EF7E97">
      <w:pPr>
        <w:pStyle w:val="1"/>
      </w:pPr>
      <w:r w:rsidRPr="00E915DB">
        <w:t>4. Ovarian Cancer: Molecular Testing as a Therap</w:t>
      </w:r>
      <w:r w:rsidR="00DA7EBA" w:rsidRPr="00E915DB">
        <w:t>eutic Gatekeeper</w:t>
      </w:r>
    </w:p>
    <w:p w14:paraId="028AB7BC" w14:textId="2F12FC5C" w:rsidR="002E2508" w:rsidRPr="00E915DB" w:rsidRDefault="002E2508" w:rsidP="00EF7E97">
      <w:pPr>
        <w:pStyle w:val="Text"/>
        <w:ind w:firstLine="420"/>
      </w:pPr>
      <w:r w:rsidRPr="00E915DB">
        <w:t xml:space="preserve">Ovarian cancer remains the most lethal gynecologic malignancy, with a five-year survival rate of </w:t>
      </w:r>
      <w:r w:rsidR="00885148" w:rsidRPr="00E915DB">
        <w:t>below</w:t>
      </w:r>
      <w:r w:rsidRPr="00E915DB">
        <w:t xml:space="preserve"> 50%, primarily due to late-stage diagnosis and frequent recurrence. High-grade serous carcinoma (HGSC) accounts for ~70% of epithelial ovarian cancers (EOCs) and is the primary </w:t>
      </w:r>
      <w:r w:rsidR="00885148" w:rsidRPr="00E915DB">
        <w:t>contributor to</w:t>
      </w:r>
      <w:r w:rsidRPr="00E915DB">
        <w:t xml:space="preserve"> </w:t>
      </w:r>
      <w:r w:rsidR="00885148" w:rsidRPr="00E915DB">
        <w:t xml:space="preserve">disease-related </w:t>
      </w:r>
      <w:r w:rsidRPr="00E915DB">
        <w:t xml:space="preserve">morbidity and mortality. The advent of large-scale genomic profiling, particularly through TCGA and related international </w:t>
      </w:r>
      <w:r w:rsidR="00885148" w:rsidRPr="00E915DB">
        <w:t>initiatives</w:t>
      </w:r>
      <w:r w:rsidRPr="00E915DB">
        <w:t xml:space="preserve">, has revealed the molecular complexity and heterogeneity </w:t>
      </w:r>
      <w:r w:rsidR="00885148" w:rsidRPr="00E915DB">
        <w:t xml:space="preserve">underlying </w:t>
      </w:r>
      <w:r w:rsidRPr="00E915DB">
        <w:t xml:space="preserve">ovarian cancer, </w:t>
      </w:r>
      <w:r w:rsidR="00885148" w:rsidRPr="00E915DB">
        <w:t xml:space="preserve">thereby </w:t>
      </w:r>
      <w:r w:rsidRPr="00E915DB">
        <w:t xml:space="preserve">opening </w:t>
      </w:r>
      <w:r w:rsidR="00885148" w:rsidRPr="00E915DB">
        <w:t xml:space="preserve">new opportunities </w:t>
      </w:r>
      <w:r w:rsidRPr="00E915DB">
        <w:t>for personalized therapy and</w:t>
      </w:r>
      <w:r w:rsidR="00941A29" w:rsidRPr="00E915DB">
        <w:t xml:space="preserve"> biomarker-driven management [2</w:t>
      </w:r>
      <w:r w:rsidRPr="00E915DB">
        <w:t>].</w:t>
      </w:r>
    </w:p>
    <w:p w14:paraId="18A3280F" w14:textId="54903913" w:rsidR="004F20B9" w:rsidRPr="00E915DB" w:rsidRDefault="004F20B9" w:rsidP="00EF7E97">
      <w:pPr>
        <w:pStyle w:val="Text"/>
        <w:ind w:firstLine="420"/>
      </w:pPr>
      <w:r w:rsidRPr="00E915DB">
        <w:t xml:space="preserve">Ovarian carcinoma is characterized by </w:t>
      </w:r>
      <w:r w:rsidR="00885148" w:rsidRPr="00E915DB">
        <w:t xml:space="preserve">marked </w:t>
      </w:r>
      <w:r w:rsidRPr="00E915DB">
        <w:t>histologic and molecular heterogeneity and is no longer regarded as a single disease entity</w:t>
      </w:r>
      <w:r w:rsidR="00C50F6A" w:rsidRPr="00E915DB">
        <w:t>,</w:t>
      </w:r>
      <w:r w:rsidRPr="00E915DB">
        <w:t xml:space="preserve"> but rather as a group of distinct neoplasms with different pathogenetic pathways, morphologic features, and clinical behaviors. The five </w:t>
      </w:r>
      <w:proofErr w:type="gramStart"/>
      <w:r w:rsidRPr="00E915DB">
        <w:t>main</w:t>
      </w:r>
      <w:proofErr w:type="gramEnd"/>
      <w:r w:rsidRPr="00E915DB">
        <w:t xml:space="preserve"> epithelial </w:t>
      </w:r>
      <w:proofErr w:type="spellStart"/>
      <w:r w:rsidRPr="00E915DB">
        <w:t>histotypes</w:t>
      </w:r>
      <w:proofErr w:type="spellEnd"/>
      <w:r w:rsidR="00C50F6A" w:rsidRPr="00E915DB">
        <w:t xml:space="preserve">, namely </w:t>
      </w:r>
      <w:r w:rsidR="008C0F54" w:rsidRPr="00E915DB">
        <w:t>HGSC</w:t>
      </w:r>
      <w:r w:rsidRPr="00E915DB">
        <w:t>, low-grade serous</w:t>
      </w:r>
      <w:r w:rsidR="008C0F54" w:rsidRPr="00E915DB">
        <w:t xml:space="preserve"> carcinoma (LGSC)</w:t>
      </w:r>
      <w:r w:rsidRPr="00E915DB">
        <w:t>, endometrioid</w:t>
      </w:r>
      <w:r w:rsidR="008C0F54" w:rsidRPr="00E915DB">
        <w:t xml:space="preserve"> carcinoma</w:t>
      </w:r>
      <w:r w:rsidRPr="00E915DB">
        <w:t>, clear cell</w:t>
      </w:r>
      <w:r w:rsidR="008C0F54" w:rsidRPr="00E915DB">
        <w:t xml:space="preserve"> carcinoma (CCC)</w:t>
      </w:r>
      <w:r w:rsidRPr="00E915DB">
        <w:t>, and mucinous carcinoma</w:t>
      </w:r>
      <w:r w:rsidR="00C50F6A" w:rsidRPr="00E915DB">
        <w:t>,</w:t>
      </w:r>
      <w:r w:rsidR="0089532C" w:rsidRPr="00E915DB">
        <w:t xml:space="preserve"> </w:t>
      </w:r>
      <w:r w:rsidRPr="00E915DB">
        <w:t>display specific molecular alterations and should be considered biologically independent diseases rather than variants along a single spectrum [</w:t>
      </w:r>
      <w:r w:rsidR="00CF0B17" w:rsidRPr="00E915DB">
        <w:t>18</w:t>
      </w:r>
      <w:r w:rsidR="00EF7E97" w:rsidRPr="00E915DB">
        <w:t xml:space="preserve">, </w:t>
      </w:r>
      <w:r w:rsidR="004A1E36" w:rsidRPr="00E915DB">
        <w:t>19</w:t>
      </w:r>
      <w:r w:rsidRPr="00E915DB">
        <w:t>].</w:t>
      </w:r>
    </w:p>
    <w:p w14:paraId="464473E2" w14:textId="39CAF1DD" w:rsidR="004F20B9" w:rsidRPr="00E915DB" w:rsidRDefault="008C0F54" w:rsidP="00EF7E97">
      <w:pPr>
        <w:pStyle w:val="Text"/>
        <w:ind w:firstLine="420"/>
      </w:pPr>
      <w:r w:rsidRPr="00E915DB">
        <w:t>HGSC</w:t>
      </w:r>
      <w:r w:rsidR="004F20B9" w:rsidRPr="00E915DB">
        <w:t>, discussed in detail below, is typically characterized by nearly ubiquitous TP53 mutations and widespread genomic instability, with frequent defects in homologous recombination repair</w:t>
      </w:r>
      <w:r w:rsidR="00FA48A0" w:rsidRPr="00E915DB">
        <w:t xml:space="preserve"> (HRR)</w:t>
      </w:r>
      <w:r w:rsidR="00C50F6A" w:rsidRPr="00E915DB">
        <w:t>,</w:t>
      </w:r>
      <w:r w:rsidR="004F20B9" w:rsidRPr="00E915DB">
        <w:t xml:space="preserve"> including </w:t>
      </w:r>
      <w:r w:rsidR="00810A41" w:rsidRPr="00E915DB">
        <w:t>breast cancer susceptibility gene 1/2 (</w:t>
      </w:r>
      <w:r w:rsidR="004F20B9" w:rsidRPr="00E915DB">
        <w:t>BRCA1/2</w:t>
      </w:r>
      <w:r w:rsidR="00810A41" w:rsidRPr="00E915DB">
        <w:t>)</w:t>
      </w:r>
      <w:r w:rsidR="004F20B9" w:rsidRPr="00E915DB">
        <w:t xml:space="preserve"> alterations</w:t>
      </w:r>
      <w:r w:rsidR="00C50F6A" w:rsidRPr="00E915DB">
        <w:t>, as well as</w:t>
      </w:r>
      <w:r w:rsidR="004F20B9" w:rsidRPr="00E915DB">
        <w:t xml:space="preserve"> recurrent copy-number changes rather than highly recurrent oncogenic point mutations [</w:t>
      </w:r>
      <w:r w:rsidR="00861E53" w:rsidRPr="00E915DB">
        <w:t>18,</w:t>
      </w:r>
      <w:r w:rsidR="00EF7E97" w:rsidRPr="00E915DB">
        <w:t xml:space="preserve"> </w:t>
      </w:r>
      <w:r w:rsidR="00861E53" w:rsidRPr="00E915DB">
        <w:t>21</w:t>
      </w:r>
      <w:r w:rsidR="004F20B9" w:rsidRPr="00E915DB">
        <w:t xml:space="preserve">]. In contrast, the remaining </w:t>
      </w:r>
      <w:proofErr w:type="spellStart"/>
      <w:r w:rsidR="004F20B9" w:rsidRPr="00E915DB">
        <w:t>histotypes</w:t>
      </w:r>
      <w:proofErr w:type="spellEnd"/>
      <w:r w:rsidR="004F20B9" w:rsidRPr="00E915DB">
        <w:t xml:space="preserve"> </w:t>
      </w:r>
      <w:r w:rsidR="00426E23" w:rsidRPr="00E915DB">
        <w:t xml:space="preserve">exhibit </w:t>
      </w:r>
      <w:r w:rsidR="004F20B9" w:rsidRPr="00E915DB">
        <w:t>more stable and characteristic mutational landscapes</w:t>
      </w:r>
      <w:r w:rsidR="00426E23" w:rsidRPr="00E915DB">
        <w:t xml:space="preserve">. </w:t>
      </w:r>
      <w:r w:rsidRPr="00E915DB">
        <w:t>LGSC</w:t>
      </w:r>
      <w:r w:rsidR="004F20B9" w:rsidRPr="00E915DB">
        <w:t xml:space="preserve"> frequently harbor activating mutations in </w:t>
      </w:r>
      <w:r w:rsidR="00EA7BF6" w:rsidRPr="00E915DB">
        <w:t>Kirsten Rat Sarcoma Viral Oncogene Homolog (</w:t>
      </w:r>
      <w:r w:rsidR="004F20B9" w:rsidRPr="00E915DB">
        <w:t>KRAS</w:t>
      </w:r>
      <w:r w:rsidR="00EA7BF6" w:rsidRPr="00E915DB">
        <w:t>)</w:t>
      </w:r>
      <w:r w:rsidR="004F20B9" w:rsidRPr="00E915DB">
        <w:t xml:space="preserve">, </w:t>
      </w:r>
      <w:r w:rsidR="00EA7BF6" w:rsidRPr="00E915DB">
        <w:t>B-Raf Proto-Oncogene, Serine/Threonine Kinase (</w:t>
      </w:r>
      <w:r w:rsidR="004F20B9" w:rsidRPr="00E915DB">
        <w:t>BRAF</w:t>
      </w:r>
      <w:r w:rsidR="00EA7BF6" w:rsidRPr="00E915DB">
        <w:t>)</w:t>
      </w:r>
      <w:r w:rsidR="004F20B9" w:rsidRPr="00E915DB">
        <w:t xml:space="preserve">, or </w:t>
      </w:r>
      <w:r w:rsidR="00EA7BF6" w:rsidRPr="00E915DB">
        <w:t>Erb-B2 Receptor Tyrosine Kinase 2 (</w:t>
      </w:r>
      <w:r w:rsidR="004F20B9" w:rsidRPr="00E915DB">
        <w:t>ERBB2</w:t>
      </w:r>
      <w:r w:rsidR="00EA7BF6" w:rsidRPr="00E915DB">
        <w:t>)</w:t>
      </w:r>
      <w:r w:rsidR="00426E23" w:rsidRPr="00E915DB">
        <w:t xml:space="preserve">, whereas </w:t>
      </w:r>
      <w:r w:rsidR="004F20B9" w:rsidRPr="00E915DB">
        <w:t xml:space="preserve">endometrioid and </w:t>
      </w:r>
      <w:r w:rsidRPr="00E915DB">
        <w:t>CCC</w:t>
      </w:r>
      <w:r w:rsidR="004F20B9" w:rsidRPr="00E915DB">
        <w:t xml:space="preserve">s commonly demonstrate alterations in </w:t>
      </w:r>
      <w:r w:rsidR="003578F4" w:rsidRPr="00E915DB">
        <w:t>AT-rich interaction domain 1A (ARID1A)</w:t>
      </w:r>
      <w:r w:rsidR="004F20B9" w:rsidRPr="00E915DB">
        <w:t xml:space="preserve">, </w:t>
      </w:r>
      <w:r w:rsidR="003578F4" w:rsidRPr="00E915DB">
        <w:t>p110alpha subunit of PI3K (PIK3CA)</w:t>
      </w:r>
      <w:r w:rsidR="004F20B9" w:rsidRPr="00E915DB">
        <w:t>, and</w:t>
      </w:r>
      <w:r w:rsidR="003578F4" w:rsidRPr="00E915DB">
        <w:t xml:space="preserve"> phosphatase and </w:t>
      </w:r>
      <w:proofErr w:type="spellStart"/>
      <w:r w:rsidR="003578F4" w:rsidRPr="00E915DB">
        <w:t>tensin</w:t>
      </w:r>
      <w:proofErr w:type="spellEnd"/>
      <w:r w:rsidR="003578F4" w:rsidRPr="00E915DB">
        <w:t xml:space="preserve"> homolog (PTEN)</w:t>
      </w:r>
      <w:r w:rsidR="004F20B9" w:rsidRPr="00E915DB">
        <w:t xml:space="preserve">, </w:t>
      </w:r>
      <w:r w:rsidR="00426E23" w:rsidRPr="00E915DB">
        <w:t xml:space="preserve">together </w:t>
      </w:r>
      <w:r w:rsidR="004F20B9" w:rsidRPr="00E915DB">
        <w:t xml:space="preserve">with activation of the </w:t>
      </w:r>
      <w:proofErr w:type="spellStart"/>
      <w:r w:rsidR="007C5928" w:rsidRPr="00E915DB">
        <w:t>phosphoinositol</w:t>
      </w:r>
      <w:proofErr w:type="spellEnd"/>
      <w:r w:rsidR="007C5928" w:rsidRPr="00E915DB">
        <w:t xml:space="preserve"> 3 kinas/protein kinase B (</w:t>
      </w:r>
      <w:r w:rsidR="004F20B9" w:rsidRPr="00E915DB">
        <w:t>PI3K/AKT</w:t>
      </w:r>
      <w:r w:rsidR="007C5928" w:rsidRPr="00E915DB">
        <w:t>)</w:t>
      </w:r>
      <w:r w:rsidR="004F20B9" w:rsidRPr="00E915DB">
        <w:t xml:space="preserve"> pathway and chromatin-remodeling defects</w:t>
      </w:r>
      <w:r w:rsidR="00426E23" w:rsidRPr="00E915DB">
        <w:t xml:space="preserve">. Mucinous </w:t>
      </w:r>
      <w:r w:rsidR="004F20B9" w:rsidRPr="00E915DB">
        <w:t>carcinomas are most often associated with KRAS mutations and occasional HER2 amplification [</w:t>
      </w:r>
      <w:r w:rsidR="006344C9" w:rsidRPr="00E915DB">
        <w:t>18,</w:t>
      </w:r>
      <w:r w:rsidR="00EF7E97" w:rsidRPr="00E915DB">
        <w:t xml:space="preserve"> </w:t>
      </w:r>
      <w:r w:rsidR="006344C9" w:rsidRPr="00E915DB">
        <w:t>19</w:t>
      </w:r>
      <w:r w:rsidR="00154EEE">
        <w:t>,</w:t>
      </w:r>
      <w:r w:rsidR="008C042F">
        <w:t xml:space="preserve"> </w:t>
      </w:r>
      <w:bookmarkStart w:id="3" w:name="_GoBack"/>
      <w:bookmarkEnd w:id="3"/>
      <w:r w:rsidR="00154EEE">
        <w:t>20</w:t>
      </w:r>
      <w:r w:rsidR="004F20B9" w:rsidRPr="00E915DB">
        <w:t xml:space="preserve">]. Integrated genomic and transcriptomic studies have further </w:t>
      </w:r>
      <w:r w:rsidR="0057033C" w:rsidRPr="00E915DB">
        <w:t xml:space="preserve">identified </w:t>
      </w:r>
      <w:r w:rsidR="004F20B9" w:rsidRPr="00E915DB">
        <w:t>histotype-specific patterns of DNA methylation, copy-number alterations, and gene expression signatures, confirming that each histotype follows distinct molecular trajectories and may require tailored diagnostic and therapeutic approaches [</w:t>
      </w:r>
      <w:r w:rsidR="004D4E76" w:rsidRPr="00E915DB">
        <w:t>2,</w:t>
      </w:r>
      <w:r w:rsidR="00EF7E97" w:rsidRPr="00E915DB">
        <w:t xml:space="preserve"> </w:t>
      </w:r>
      <w:r w:rsidR="00DD24BE" w:rsidRPr="00E915DB">
        <w:t>19</w:t>
      </w:r>
      <w:r w:rsidR="008C042F">
        <w:t xml:space="preserve">, </w:t>
      </w:r>
      <w:r w:rsidR="00DD24BE" w:rsidRPr="00E915DB">
        <w:t>21</w:t>
      </w:r>
      <w:r w:rsidR="004F20B9" w:rsidRPr="00E915DB">
        <w:t>].</w:t>
      </w:r>
    </w:p>
    <w:p w14:paraId="4B1E73ED" w14:textId="56AB8A6F" w:rsidR="004F20B9" w:rsidRPr="00E915DB" w:rsidRDefault="004F20B9" w:rsidP="00A70422">
      <w:pPr>
        <w:pStyle w:val="Text"/>
        <w:ind w:firstLine="420"/>
      </w:pPr>
      <w:r w:rsidRPr="00E915DB">
        <w:t xml:space="preserve">This marked morphologic and molecular diversity has major diagnostic, prognostic, and therapeutic implications and supports the adoption of an integrated morphologic-molecular classification of ovarian carcinoma. A summary of the principal molecular alterations across the different </w:t>
      </w:r>
      <w:proofErr w:type="spellStart"/>
      <w:r w:rsidRPr="00E915DB">
        <w:t>histotypes</w:t>
      </w:r>
      <w:proofErr w:type="spellEnd"/>
      <w:r w:rsidRPr="00E915DB">
        <w:t xml:space="preserve"> is provided in Table</w:t>
      </w:r>
      <w:r w:rsidR="00AB2F12" w:rsidRPr="00E915DB">
        <w:t xml:space="preserve"> 2</w:t>
      </w:r>
      <w:r w:rsidRPr="00E915DB">
        <w:t>.</w:t>
      </w:r>
    </w:p>
    <w:p w14:paraId="0DEAA79C" w14:textId="7E2CB2A2" w:rsidR="006E5567" w:rsidRPr="00E915DB" w:rsidRDefault="006E5567" w:rsidP="00A70422">
      <w:pPr>
        <w:pStyle w:val="Text"/>
        <w:ind w:firstLine="420"/>
      </w:pPr>
    </w:p>
    <w:p w14:paraId="11B5F4CF" w14:textId="0C7D5C9A" w:rsidR="006E5567" w:rsidRPr="00E915DB" w:rsidRDefault="006E5567" w:rsidP="00A70422">
      <w:pPr>
        <w:pStyle w:val="Text"/>
        <w:ind w:firstLine="420"/>
      </w:pPr>
    </w:p>
    <w:p w14:paraId="526A64D8" w14:textId="77777777" w:rsidR="006E5567" w:rsidRPr="00E915DB" w:rsidRDefault="006E5567" w:rsidP="00A70422">
      <w:pPr>
        <w:pStyle w:val="Text"/>
        <w:ind w:firstLine="420"/>
        <w:sectPr w:rsidR="006E5567" w:rsidRPr="00E915DB" w:rsidSect="00042701">
          <w:pgSz w:w="11906" w:h="16838" w:code="9"/>
          <w:pgMar w:top="1134" w:right="851" w:bottom="1134" w:left="851" w:header="283" w:footer="1134" w:gutter="0"/>
          <w:cols w:space="708"/>
          <w:docGrid w:type="lines" w:linePitch="360"/>
        </w:sectPr>
      </w:pPr>
    </w:p>
    <w:p w14:paraId="3426D58B" w14:textId="5B8975C1" w:rsidR="004F20B9" w:rsidRPr="00E915DB" w:rsidRDefault="004F22BC" w:rsidP="00EF7E97">
      <w:pPr>
        <w:pStyle w:val="Tablecaption"/>
        <w:spacing w:before="360" w:after="360"/>
      </w:pPr>
      <w:r w:rsidRPr="00E915DB">
        <w:lastRenderedPageBreak/>
        <w:t>Table 2</w:t>
      </w:r>
      <w:r w:rsidR="004F20B9" w:rsidRPr="00E915DB">
        <w:t>. Main molecular alterations in the principal histotypes of epithelial ovarian carcinoma</w:t>
      </w:r>
      <w:r w:rsidR="00EF7E97" w:rsidRPr="00E915DB">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3"/>
        <w:gridCol w:w="5273"/>
        <w:gridCol w:w="4423"/>
        <w:gridCol w:w="4623"/>
      </w:tblGrid>
      <w:tr w:rsidR="00EF3BEB" w:rsidRPr="00E915DB" w14:paraId="098C73D1" w14:textId="77777777" w:rsidTr="00EF7E97">
        <w:trPr>
          <w:trHeight w:val="425"/>
          <w:jc w:val="center"/>
        </w:trPr>
        <w:tc>
          <w:tcPr>
            <w:tcW w:w="0" w:type="auto"/>
            <w:vAlign w:val="center"/>
            <w:hideMark/>
          </w:tcPr>
          <w:p w14:paraId="50DB16E7" w14:textId="77777777" w:rsidR="004F20B9" w:rsidRPr="00E915DB" w:rsidRDefault="004F20B9" w:rsidP="00EF7E97">
            <w:pPr>
              <w:pStyle w:val="Tablebody"/>
              <w:jc w:val="left"/>
            </w:pPr>
            <w:r w:rsidRPr="00E915DB">
              <w:t>Histotype</w:t>
            </w:r>
          </w:p>
        </w:tc>
        <w:tc>
          <w:tcPr>
            <w:tcW w:w="0" w:type="auto"/>
            <w:vAlign w:val="center"/>
            <w:hideMark/>
          </w:tcPr>
          <w:p w14:paraId="000A7ADB" w14:textId="593F7865" w:rsidR="004F20B9" w:rsidRPr="00E915DB" w:rsidRDefault="004F20B9" w:rsidP="00EF7E97">
            <w:pPr>
              <w:pStyle w:val="Tablebody"/>
              <w:jc w:val="center"/>
            </w:pPr>
            <w:r w:rsidRPr="00E915DB">
              <w:t>Key driver mutations/genomic alterations</w:t>
            </w:r>
          </w:p>
        </w:tc>
        <w:tc>
          <w:tcPr>
            <w:tcW w:w="0" w:type="auto"/>
            <w:vAlign w:val="center"/>
            <w:hideMark/>
          </w:tcPr>
          <w:p w14:paraId="2D17DC5B" w14:textId="77777777" w:rsidR="004F20B9" w:rsidRPr="00E915DB" w:rsidRDefault="004F20B9" w:rsidP="00EF7E97">
            <w:pPr>
              <w:pStyle w:val="Tablebody"/>
              <w:jc w:val="center"/>
            </w:pPr>
            <w:r w:rsidRPr="00E915DB">
              <w:t>Major molecular pathways involved</w:t>
            </w:r>
          </w:p>
        </w:tc>
        <w:tc>
          <w:tcPr>
            <w:tcW w:w="0" w:type="auto"/>
            <w:vAlign w:val="center"/>
            <w:hideMark/>
          </w:tcPr>
          <w:p w14:paraId="076D5CC4" w14:textId="12DEAE8C" w:rsidR="004F20B9" w:rsidRPr="00E915DB" w:rsidRDefault="004F20B9" w:rsidP="00EF7E97">
            <w:pPr>
              <w:pStyle w:val="Tablebody"/>
              <w:jc w:val="center"/>
            </w:pPr>
            <w:r w:rsidRPr="00E915DB">
              <w:t>Additional molecular features/notes</w:t>
            </w:r>
          </w:p>
        </w:tc>
      </w:tr>
      <w:tr w:rsidR="00EF3BEB" w:rsidRPr="001D7A22" w14:paraId="27CD35BD" w14:textId="77777777" w:rsidTr="00EF7E97">
        <w:trPr>
          <w:trHeight w:val="425"/>
          <w:jc w:val="center"/>
        </w:trPr>
        <w:tc>
          <w:tcPr>
            <w:tcW w:w="0" w:type="auto"/>
            <w:vAlign w:val="center"/>
            <w:hideMark/>
          </w:tcPr>
          <w:p w14:paraId="6C43DDA2" w14:textId="6C2DC876" w:rsidR="004F20B9" w:rsidRPr="00E915DB" w:rsidRDefault="004F20B9" w:rsidP="00EF7E97">
            <w:pPr>
              <w:pStyle w:val="Tablebody"/>
              <w:jc w:val="left"/>
            </w:pPr>
            <w:r w:rsidRPr="00E915DB">
              <w:t>HGSC</w:t>
            </w:r>
          </w:p>
        </w:tc>
        <w:tc>
          <w:tcPr>
            <w:tcW w:w="0" w:type="auto"/>
            <w:vAlign w:val="center"/>
            <w:hideMark/>
          </w:tcPr>
          <w:p w14:paraId="029A7F59" w14:textId="77777777" w:rsidR="004F20B9" w:rsidRPr="00E915DB" w:rsidRDefault="004F20B9" w:rsidP="006E5567">
            <w:pPr>
              <w:pStyle w:val="Tablebody"/>
              <w:jc w:val="left"/>
            </w:pPr>
            <w:r w:rsidRPr="00E915DB">
              <w:t>TP53 mutations (near-universal); BRCA1/2 germline or somatic alterations; CCNE1 amplification; widespread copy-number alterations</w:t>
            </w:r>
          </w:p>
        </w:tc>
        <w:tc>
          <w:tcPr>
            <w:tcW w:w="0" w:type="auto"/>
            <w:vAlign w:val="center"/>
            <w:hideMark/>
          </w:tcPr>
          <w:p w14:paraId="7C143798" w14:textId="623815E2" w:rsidR="004F20B9" w:rsidRPr="00E915DB" w:rsidRDefault="004F20B9" w:rsidP="006E5567">
            <w:pPr>
              <w:pStyle w:val="Tablebody"/>
              <w:jc w:val="left"/>
            </w:pPr>
            <w:r w:rsidRPr="00E915DB">
              <w:t>Homologous recombination deficiency</w:t>
            </w:r>
            <w:r w:rsidR="00773DC6" w:rsidRPr="00E915DB">
              <w:t xml:space="preserve"> (HRD) </w:t>
            </w:r>
            <w:r w:rsidRPr="00E915DB">
              <w:t>; RB pathway; PI3K/RAS signaling; NOTCH and FOXM1 pathways</w:t>
            </w:r>
          </w:p>
        </w:tc>
        <w:tc>
          <w:tcPr>
            <w:tcW w:w="0" w:type="auto"/>
            <w:vAlign w:val="center"/>
            <w:hideMark/>
          </w:tcPr>
          <w:p w14:paraId="2EA5C040" w14:textId="77777777" w:rsidR="004F20B9" w:rsidRPr="00E915DB" w:rsidRDefault="004F20B9" w:rsidP="006E5567">
            <w:pPr>
              <w:pStyle w:val="Tablebody"/>
              <w:jc w:val="left"/>
            </w:pPr>
            <w:r w:rsidRPr="00E915DB">
              <w:t>Marked chromosomal instability; extensive structural rearrangements; transcriptional and epigenetic subtypes described</w:t>
            </w:r>
          </w:p>
        </w:tc>
      </w:tr>
      <w:tr w:rsidR="00EF3BEB" w:rsidRPr="001D7A22" w14:paraId="23C57F80" w14:textId="77777777" w:rsidTr="00EF7E97">
        <w:trPr>
          <w:trHeight w:val="425"/>
          <w:jc w:val="center"/>
        </w:trPr>
        <w:tc>
          <w:tcPr>
            <w:tcW w:w="0" w:type="auto"/>
            <w:vAlign w:val="center"/>
            <w:hideMark/>
          </w:tcPr>
          <w:p w14:paraId="06934903" w14:textId="7334540C" w:rsidR="004F20B9" w:rsidRPr="00E915DB" w:rsidRDefault="004F20B9" w:rsidP="00EF7E97">
            <w:pPr>
              <w:pStyle w:val="Tablebody"/>
              <w:jc w:val="left"/>
            </w:pPr>
            <w:r w:rsidRPr="00E915DB">
              <w:t>LGSC</w:t>
            </w:r>
          </w:p>
        </w:tc>
        <w:tc>
          <w:tcPr>
            <w:tcW w:w="0" w:type="auto"/>
            <w:vAlign w:val="center"/>
            <w:hideMark/>
          </w:tcPr>
          <w:p w14:paraId="5B64B827" w14:textId="77777777" w:rsidR="004F20B9" w:rsidRPr="00E915DB" w:rsidRDefault="004F20B9" w:rsidP="006E5567">
            <w:pPr>
              <w:pStyle w:val="Tablebody"/>
              <w:jc w:val="left"/>
            </w:pPr>
            <w:r w:rsidRPr="00E915DB">
              <w:t>KRAS, BRAF, ERBB2 mutations</w:t>
            </w:r>
          </w:p>
        </w:tc>
        <w:tc>
          <w:tcPr>
            <w:tcW w:w="0" w:type="auto"/>
            <w:vAlign w:val="center"/>
            <w:hideMark/>
          </w:tcPr>
          <w:p w14:paraId="41F9959F" w14:textId="77777777" w:rsidR="004F20B9" w:rsidRPr="00E915DB" w:rsidRDefault="004F20B9" w:rsidP="006E5567">
            <w:pPr>
              <w:pStyle w:val="Tablebody"/>
              <w:jc w:val="left"/>
            </w:pPr>
            <w:r w:rsidRPr="00E915DB">
              <w:t>MAPK pathway activation</w:t>
            </w:r>
          </w:p>
        </w:tc>
        <w:tc>
          <w:tcPr>
            <w:tcW w:w="0" w:type="auto"/>
            <w:vAlign w:val="center"/>
            <w:hideMark/>
          </w:tcPr>
          <w:p w14:paraId="1EEDCC5B" w14:textId="77777777" w:rsidR="004F20B9" w:rsidRPr="00E915DB" w:rsidRDefault="004F20B9" w:rsidP="006E5567">
            <w:pPr>
              <w:pStyle w:val="Tablebody"/>
              <w:jc w:val="left"/>
            </w:pPr>
            <w:proofErr w:type="spellStart"/>
            <w:r w:rsidRPr="00E915DB">
              <w:t>Genomically</w:t>
            </w:r>
            <w:proofErr w:type="spellEnd"/>
            <w:r w:rsidRPr="00E915DB">
              <w:t xml:space="preserve"> stable compared with HGSC; often arises from serous borderline tumors</w:t>
            </w:r>
          </w:p>
        </w:tc>
      </w:tr>
      <w:tr w:rsidR="00EF3BEB" w:rsidRPr="001D7A22" w14:paraId="0A7CD0A8" w14:textId="77777777" w:rsidTr="00EF7E97">
        <w:trPr>
          <w:trHeight w:val="425"/>
          <w:jc w:val="center"/>
        </w:trPr>
        <w:tc>
          <w:tcPr>
            <w:tcW w:w="0" w:type="auto"/>
            <w:vAlign w:val="center"/>
            <w:hideMark/>
          </w:tcPr>
          <w:p w14:paraId="6AB90D11" w14:textId="0D63EB09" w:rsidR="004F20B9" w:rsidRPr="00E915DB" w:rsidRDefault="005A7976" w:rsidP="00EF7E97">
            <w:pPr>
              <w:pStyle w:val="Tablebody"/>
              <w:jc w:val="left"/>
            </w:pPr>
            <w:r w:rsidRPr="00E915DB">
              <w:t>EC</w:t>
            </w:r>
          </w:p>
        </w:tc>
        <w:tc>
          <w:tcPr>
            <w:tcW w:w="0" w:type="auto"/>
            <w:vAlign w:val="center"/>
            <w:hideMark/>
          </w:tcPr>
          <w:p w14:paraId="58372E86" w14:textId="3989507D" w:rsidR="004F20B9" w:rsidRPr="00E915DB" w:rsidRDefault="004F20B9" w:rsidP="006E5567">
            <w:pPr>
              <w:pStyle w:val="Tablebody"/>
              <w:jc w:val="left"/>
            </w:pPr>
            <w:r w:rsidRPr="00E915DB">
              <w:t xml:space="preserve">ARID1A, PTEN, PIK3CA, CTNNB1 mutations; occasional </w:t>
            </w:r>
            <w:r w:rsidR="00CD4D35" w:rsidRPr="00E915DB">
              <w:t>MMR</w:t>
            </w:r>
            <w:r w:rsidRPr="00E915DB">
              <w:t xml:space="preserve"> defects</w:t>
            </w:r>
          </w:p>
        </w:tc>
        <w:tc>
          <w:tcPr>
            <w:tcW w:w="0" w:type="auto"/>
            <w:vAlign w:val="center"/>
            <w:hideMark/>
          </w:tcPr>
          <w:p w14:paraId="5800B35A" w14:textId="77777777" w:rsidR="004F20B9" w:rsidRPr="00E915DB" w:rsidRDefault="004F20B9" w:rsidP="006E5567">
            <w:pPr>
              <w:pStyle w:val="Tablebody"/>
              <w:jc w:val="left"/>
            </w:pPr>
            <w:r w:rsidRPr="00E915DB">
              <w:t xml:space="preserve">PI3K/AKT pathway; </w:t>
            </w:r>
            <w:proofErr w:type="spellStart"/>
            <w:r w:rsidRPr="00E915DB">
              <w:t>Wnt</w:t>
            </w:r>
            <w:proofErr w:type="spellEnd"/>
            <w:r w:rsidRPr="00E915DB">
              <w:t>/β-catenin signaling</w:t>
            </w:r>
          </w:p>
        </w:tc>
        <w:tc>
          <w:tcPr>
            <w:tcW w:w="0" w:type="auto"/>
            <w:vAlign w:val="center"/>
            <w:hideMark/>
          </w:tcPr>
          <w:p w14:paraId="2DED7A62" w14:textId="63E19643" w:rsidR="004F20B9" w:rsidRPr="00E915DB" w:rsidRDefault="004F20B9" w:rsidP="006E5567">
            <w:pPr>
              <w:pStyle w:val="Tablebody"/>
              <w:jc w:val="left"/>
            </w:pPr>
            <w:r w:rsidRPr="00E915DB">
              <w:t xml:space="preserve">Frequently associated with endometriosis; molecular overlap with endometrioid </w:t>
            </w:r>
            <w:r w:rsidR="00810A41" w:rsidRPr="00E915DB">
              <w:t>EC</w:t>
            </w:r>
          </w:p>
        </w:tc>
      </w:tr>
      <w:tr w:rsidR="00EF3BEB" w:rsidRPr="001D7A22" w14:paraId="50A8DFFB" w14:textId="77777777" w:rsidTr="00EF7E97">
        <w:trPr>
          <w:trHeight w:val="425"/>
          <w:jc w:val="center"/>
        </w:trPr>
        <w:tc>
          <w:tcPr>
            <w:tcW w:w="0" w:type="auto"/>
            <w:vAlign w:val="center"/>
            <w:hideMark/>
          </w:tcPr>
          <w:p w14:paraId="715D6258" w14:textId="3CBCD1FE" w:rsidR="004F20B9" w:rsidRPr="00E915DB" w:rsidRDefault="004F20B9" w:rsidP="00EF7E97">
            <w:pPr>
              <w:pStyle w:val="Tablebody"/>
              <w:jc w:val="left"/>
            </w:pPr>
            <w:r w:rsidRPr="00E915DB">
              <w:t>CCC</w:t>
            </w:r>
          </w:p>
        </w:tc>
        <w:tc>
          <w:tcPr>
            <w:tcW w:w="0" w:type="auto"/>
            <w:vAlign w:val="center"/>
            <w:hideMark/>
          </w:tcPr>
          <w:p w14:paraId="2692B558" w14:textId="77777777" w:rsidR="004F20B9" w:rsidRPr="00E915DB" w:rsidRDefault="004F20B9" w:rsidP="006E5567">
            <w:pPr>
              <w:pStyle w:val="Tablebody"/>
              <w:jc w:val="left"/>
            </w:pPr>
            <w:r w:rsidRPr="00E915DB">
              <w:t>ARID1A mutations (~50%); PIK3CA mutations; PPP2R1A mutations; occasional MMR deficiency</w:t>
            </w:r>
          </w:p>
        </w:tc>
        <w:tc>
          <w:tcPr>
            <w:tcW w:w="0" w:type="auto"/>
            <w:vAlign w:val="center"/>
            <w:hideMark/>
          </w:tcPr>
          <w:p w14:paraId="6543AFAF" w14:textId="77777777" w:rsidR="004F20B9" w:rsidRPr="00E915DB" w:rsidRDefault="004F20B9" w:rsidP="006E5567">
            <w:pPr>
              <w:pStyle w:val="Tablebody"/>
              <w:jc w:val="left"/>
            </w:pPr>
            <w:r w:rsidRPr="00E915DB">
              <w:t>PI3K/AKT pathway; chromatin remodeling (SWI/SNF); hypoxia and oxidative stress pathways</w:t>
            </w:r>
          </w:p>
        </w:tc>
        <w:tc>
          <w:tcPr>
            <w:tcW w:w="0" w:type="auto"/>
            <w:vAlign w:val="center"/>
            <w:hideMark/>
          </w:tcPr>
          <w:p w14:paraId="70B7A7AF" w14:textId="77777777" w:rsidR="004F20B9" w:rsidRPr="00E915DB" w:rsidRDefault="004F20B9" w:rsidP="006E5567">
            <w:pPr>
              <w:pStyle w:val="Tablebody"/>
              <w:jc w:val="left"/>
            </w:pPr>
            <w:r w:rsidRPr="00E915DB">
              <w:t>Characteristic HNF1β overexpression; frequent association with endometriosis; distinct methylation profile</w:t>
            </w:r>
          </w:p>
        </w:tc>
      </w:tr>
      <w:tr w:rsidR="004F20B9" w:rsidRPr="001D7A22" w14:paraId="6198D65F" w14:textId="77777777" w:rsidTr="00EF7E97">
        <w:trPr>
          <w:trHeight w:val="425"/>
          <w:jc w:val="center"/>
        </w:trPr>
        <w:tc>
          <w:tcPr>
            <w:tcW w:w="0" w:type="auto"/>
            <w:vAlign w:val="center"/>
            <w:hideMark/>
          </w:tcPr>
          <w:p w14:paraId="79A58050" w14:textId="774B9C0A" w:rsidR="004F20B9" w:rsidRPr="00E915DB" w:rsidRDefault="00740017" w:rsidP="00EF7E97">
            <w:pPr>
              <w:pStyle w:val="Tablebody"/>
              <w:jc w:val="left"/>
            </w:pPr>
            <w:proofErr w:type="spellStart"/>
            <w:r w:rsidRPr="00E915DB">
              <w:t>MuC</w:t>
            </w:r>
            <w:proofErr w:type="spellEnd"/>
          </w:p>
        </w:tc>
        <w:tc>
          <w:tcPr>
            <w:tcW w:w="0" w:type="auto"/>
            <w:vAlign w:val="center"/>
            <w:hideMark/>
          </w:tcPr>
          <w:p w14:paraId="5D387EFD" w14:textId="77777777" w:rsidR="004F20B9" w:rsidRPr="00E915DB" w:rsidRDefault="004F20B9" w:rsidP="006E5567">
            <w:pPr>
              <w:pStyle w:val="Tablebody"/>
              <w:jc w:val="left"/>
            </w:pPr>
            <w:r w:rsidRPr="00E915DB">
              <w:t>KRAS mutations (common); HER2 amplification (subset); occasional TP53 mutations in high-grade cases</w:t>
            </w:r>
          </w:p>
        </w:tc>
        <w:tc>
          <w:tcPr>
            <w:tcW w:w="0" w:type="auto"/>
            <w:vAlign w:val="center"/>
            <w:hideMark/>
          </w:tcPr>
          <w:p w14:paraId="5B6C888D" w14:textId="77777777" w:rsidR="004F20B9" w:rsidRPr="00E915DB" w:rsidRDefault="004F20B9" w:rsidP="006E5567">
            <w:pPr>
              <w:pStyle w:val="Tablebody"/>
              <w:jc w:val="left"/>
            </w:pPr>
            <w:r w:rsidRPr="00E915DB">
              <w:t>MAPK signaling; ERBB2 pathway</w:t>
            </w:r>
          </w:p>
        </w:tc>
        <w:tc>
          <w:tcPr>
            <w:tcW w:w="0" w:type="auto"/>
            <w:vAlign w:val="center"/>
            <w:hideMark/>
          </w:tcPr>
          <w:p w14:paraId="6DBF5E7D" w14:textId="77777777" w:rsidR="004F20B9" w:rsidRPr="00E915DB" w:rsidRDefault="004F20B9" w:rsidP="006E5567">
            <w:pPr>
              <w:pStyle w:val="Tablebody"/>
              <w:jc w:val="left"/>
            </w:pPr>
            <w:r w:rsidRPr="00E915DB">
              <w:t>Relatively low genomic instability; molecular distinction from metastatic gastrointestinal tumors essential</w:t>
            </w:r>
          </w:p>
        </w:tc>
      </w:tr>
    </w:tbl>
    <w:p w14:paraId="27804707" w14:textId="2032AB9C" w:rsidR="00EF7E97" w:rsidRPr="00E915DB" w:rsidRDefault="008C0F54" w:rsidP="007C5928">
      <w:pPr>
        <w:pStyle w:val="Text"/>
        <w:ind w:firstLineChars="0" w:firstLine="0"/>
        <w:rPr>
          <w:lang w:val="en-GB"/>
        </w:rPr>
      </w:pPr>
      <w:r w:rsidRPr="00E915DB">
        <w:rPr>
          <w:lang w:val="en-GB"/>
        </w:rPr>
        <w:t xml:space="preserve">HGSC, high-grade serous carcinoma; LGSC, low-grade serous carcinoma; </w:t>
      </w:r>
      <w:r w:rsidR="001D7A22">
        <w:rPr>
          <w:lang w:val="en-GB"/>
        </w:rPr>
        <w:t xml:space="preserve">EC: </w:t>
      </w:r>
      <w:r w:rsidR="008C042F">
        <w:rPr>
          <w:lang w:val="en-GB"/>
        </w:rPr>
        <w:t>endometrioid carcinoma;</w:t>
      </w:r>
      <w:r w:rsidR="00773DC6" w:rsidRPr="00E915DB">
        <w:rPr>
          <w:lang w:val="en-GB"/>
        </w:rPr>
        <w:t xml:space="preserve"> </w:t>
      </w:r>
      <w:r w:rsidRPr="00E915DB">
        <w:rPr>
          <w:lang w:val="en-GB"/>
        </w:rPr>
        <w:t xml:space="preserve">CCC, clear cell carcinoma; </w:t>
      </w:r>
      <w:proofErr w:type="spellStart"/>
      <w:r w:rsidR="001D7A22">
        <w:rPr>
          <w:lang w:val="en-GB"/>
        </w:rPr>
        <w:t>MuC</w:t>
      </w:r>
      <w:proofErr w:type="spellEnd"/>
      <w:r w:rsidR="001D7A22">
        <w:rPr>
          <w:lang w:val="en-GB"/>
        </w:rPr>
        <w:t xml:space="preserve">: Mucinous Carcinoma; </w:t>
      </w:r>
      <w:r w:rsidR="00CD4D35" w:rsidRPr="00E915DB">
        <w:rPr>
          <w:lang w:val="en-GB"/>
        </w:rPr>
        <w:t xml:space="preserve">MMR, mismatch repair; </w:t>
      </w:r>
      <w:r w:rsidR="007C5928" w:rsidRPr="00E915DB">
        <w:rPr>
          <w:lang w:val="en-GB"/>
        </w:rPr>
        <w:t xml:space="preserve">BRCA1/2, breast cancer susceptibility gene 1/2; RB, retinoblastoma protein; PI3K, </w:t>
      </w:r>
      <w:proofErr w:type="spellStart"/>
      <w:r w:rsidR="007C5928" w:rsidRPr="00E915DB">
        <w:rPr>
          <w:lang w:val="en-GB"/>
        </w:rPr>
        <w:t>phosphoinositol</w:t>
      </w:r>
      <w:proofErr w:type="spellEnd"/>
      <w:r w:rsidR="007C5928" w:rsidRPr="00E915DB">
        <w:rPr>
          <w:lang w:val="en-GB"/>
        </w:rPr>
        <w:t xml:space="preserve"> 3 kinas; </w:t>
      </w:r>
      <w:r w:rsidR="00C06854" w:rsidRPr="00E915DB">
        <w:rPr>
          <w:lang w:val="en-GB"/>
        </w:rPr>
        <w:t xml:space="preserve">RAS, </w:t>
      </w:r>
      <w:r w:rsidR="00C06854" w:rsidRPr="00E915DB">
        <w:t xml:space="preserve">Rat Sarcoma viral oncogene homolog; </w:t>
      </w:r>
      <w:r w:rsidR="005F0057" w:rsidRPr="00E915DB">
        <w:t xml:space="preserve">NOTCH, neurogenic locus notch homolog; FOXM1, </w:t>
      </w:r>
      <w:proofErr w:type="spellStart"/>
      <w:r w:rsidR="005F0057" w:rsidRPr="00E915DB">
        <w:t>forkhead</w:t>
      </w:r>
      <w:proofErr w:type="spellEnd"/>
      <w:r w:rsidR="005F0057" w:rsidRPr="00E915DB">
        <w:t xml:space="preserve"> box M1; </w:t>
      </w:r>
      <w:r w:rsidR="00C74495" w:rsidRPr="00E915DB">
        <w:t xml:space="preserve">KRAS, Kirsten Rat Sarcoma Viral Oncogene Homolog; BRAF, B-Raf Proto-Oncogene, Serine/Threonine Kinase; ERBB2, Erb-B2 Receptor Tyrosine Kinase 2; MAPK, mitogen-activated protein kinases; ARID1A, AT-rich interaction domain 1A, PIK3CA, p110alpha subunit of PI3K, PTEN, phosphatase and </w:t>
      </w:r>
      <w:proofErr w:type="spellStart"/>
      <w:r w:rsidR="00C74495" w:rsidRPr="00E915DB">
        <w:t>tensin</w:t>
      </w:r>
      <w:proofErr w:type="spellEnd"/>
      <w:r w:rsidR="00C74495" w:rsidRPr="00E915DB">
        <w:t xml:space="preserve"> homolog; CTNNB1, catenin beta 1; </w:t>
      </w:r>
      <w:r w:rsidR="00D27631" w:rsidRPr="00E915DB">
        <w:t>PPP2R1A, protein phosphatase 2 scaffold subunit Aα; SWI/SNF, Switch/Sucrose Non-Fermentable chromatin remodeling complex;  HNF1β, hepatocyte nuclear factor 1beta; TP53, tumor protein p53.</w:t>
      </w:r>
    </w:p>
    <w:p w14:paraId="50689161" w14:textId="497A9FD1" w:rsidR="00FE3FEF" w:rsidRPr="00E915DB" w:rsidRDefault="00FE3FEF" w:rsidP="00EF7E97">
      <w:pPr>
        <w:pStyle w:val="Text"/>
        <w:ind w:firstLine="420"/>
        <w:rPr>
          <w:lang w:val="en-GB"/>
        </w:rPr>
      </w:pPr>
    </w:p>
    <w:p w14:paraId="1FA98A43" w14:textId="77777777" w:rsidR="006E5567" w:rsidRPr="00E915DB" w:rsidRDefault="006E5567" w:rsidP="00EF7E97">
      <w:pPr>
        <w:pStyle w:val="Text"/>
        <w:ind w:firstLine="420"/>
        <w:rPr>
          <w:lang w:val="en-GB"/>
        </w:rPr>
        <w:sectPr w:rsidR="006E5567" w:rsidRPr="00E915DB" w:rsidSect="00133674">
          <w:pgSz w:w="16838" w:h="11906" w:orient="landscape" w:code="9"/>
          <w:pgMar w:top="1134" w:right="851" w:bottom="1134" w:left="851" w:header="283" w:footer="1134" w:gutter="0"/>
          <w:cols w:space="708"/>
          <w:docGrid w:type="lines" w:linePitch="360"/>
        </w:sectPr>
      </w:pPr>
    </w:p>
    <w:p w14:paraId="1EB766C3" w14:textId="32D0CD4C" w:rsidR="002E2508" w:rsidRPr="00E915DB" w:rsidRDefault="002E2508" w:rsidP="00EF7E97">
      <w:pPr>
        <w:pStyle w:val="2"/>
      </w:pPr>
      <w:r w:rsidRPr="00E915DB">
        <w:lastRenderedPageBreak/>
        <w:t xml:space="preserve">4.1 </w:t>
      </w:r>
      <w:r w:rsidR="00475D9C" w:rsidRPr="00E915DB">
        <w:t xml:space="preserve">HGSC </w:t>
      </w:r>
      <w:r w:rsidRPr="00E915DB">
        <w:t>as a Genomic Disease</w:t>
      </w:r>
    </w:p>
    <w:p w14:paraId="7CEE1AE9" w14:textId="556D8100" w:rsidR="002E2508" w:rsidRPr="00E915DB" w:rsidRDefault="002E2508" w:rsidP="00EF7E97">
      <w:pPr>
        <w:pStyle w:val="Text"/>
        <w:ind w:firstLine="420"/>
      </w:pPr>
      <w:r w:rsidRPr="00E915DB">
        <w:t xml:space="preserve"> HGSC represents the prototypical example of a gynecologic malignancy defined more by its genomic architecture than by its morphologic appearance. At the molecular level, HGSC is characterized by </w:t>
      </w:r>
      <w:r w:rsidR="009B3D9B" w:rsidRPr="00E915DB">
        <w:t>near-</w:t>
      </w:r>
      <w:r w:rsidRPr="00E915DB">
        <w:t xml:space="preserve"> universal alteration of TP53, observed in over 95% of cases, which constitutes its defining biological hallmark. These alterations include missense mutations leading to aberrant protein stabilization and overexpression, as well as truncating variants associated with complete loss of p53 expression. Functionally, disruption of the p53 pathway abolishes cell cycle checkpoint control, impairs DNA damage response mechanisms, and promotes chromosomal </w:t>
      </w:r>
      <w:r w:rsidR="00C04BEE" w:rsidRPr="00E915DB">
        <w:t>instability</w:t>
      </w:r>
      <w:r w:rsidR="009B3D9B" w:rsidRPr="00E915DB">
        <w:t>,</w:t>
      </w:r>
      <w:r w:rsidR="00C04BEE" w:rsidRPr="00E915DB">
        <w:t xml:space="preserve"> </w:t>
      </w:r>
      <w:r w:rsidR="009B3D9B" w:rsidRPr="00E915DB">
        <w:t xml:space="preserve">thereby contributing to </w:t>
      </w:r>
      <w:r w:rsidRPr="00E915DB">
        <w:t xml:space="preserve">the extensive structural genomic rearrangements typical of this disease. Unlike many solid tumors that display high mutational burdens driven by recurrent oncogenic drivers, HGSC is comparatively </w:t>
      </w:r>
      <w:r w:rsidR="009B3D9B" w:rsidRPr="00E915DB">
        <w:t>mutation-</w:t>
      </w:r>
      <w:r w:rsidRPr="00E915DB">
        <w:t>sparse but exhibits a copy-number–rich genome</w:t>
      </w:r>
      <w:r w:rsidR="009B3D9B" w:rsidRPr="00E915DB">
        <w:t xml:space="preserve"> characterized</w:t>
      </w:r>
      <w:r w:rsidRPr="00E915DB">
        <w:t xml:space="preserve"> </w:t>
      </w:r>
      <w:r w:rsidR="009B3D9B" w:rsidRPr="00E915DB">
        <w:t xml:space="preserve">by </w:t>
      </w:r>
      <w:r w:rsidRPr="00E915DB">
        <w:t>widespread chromosomal gains, losses, and co</w:t>
      </w:r>
      <w:r w:rsidR="00941A29" w:rsidRPr="00E915DB">
        <w:t>mplex structural alterations [2</w:t>
      </w:r>
      <w:r w:rsidRPr="00E915DB">
        <w:t>].</w:t>
      </w:r>
    </w:p>
    <w:p w14:paraId="558B45D8" w14:textId="1476CC10" w:rsidR="002E2508" w:rsidRPr="00E915DB" w:rsidRDefault="002E2508" w:rsidP="00EF7E97">
      <w:pPr>
        <w:pStyle w:val="Text"/>
        <w:ind w:firstLine="420"/>
      </w:pPr>
      <w:r w:rsidRPr="00E915DB">
        <w:t xml:space="preserve">A second </w:t>
      </w:r>
      <w:r w:rsidR="00EB39B4" w:rsidRPr="00E915DB">
        <w:t xml:space="preserve">major </w:t>
      </w:r>
      <w:r w:rsidRPr="00E915DB">
        <w:t xml:space="preserve">biological axis in HGSC is homologous recombination deficiency (HRD), most commonly resulting from germline or somatic mutations in BRCA1 and BRCA2. Approximately 15–20% of cases </w:t>
      </w:r>
      <w:r w:rsidR="00C04BEE" w:rsidRPr="00E915DB">
        <w:t>harbor</w:t>
      </w:r>
      <w:r w:rsidRPr="00E915DB">
        <w:t xml:space="preserve"> germline BRCA1/2 mutations, with an additional 5–10% demonstrating somatic alterations, </w:t>
      </w:r>
      <w:r w:rsidR="00EB39B4" w:rsidRPr="00E915DB">
        <w:t xml:space="preserve">whereas </w:t>
      </w:r>
      <w:r w:rsidRPr="00E915DB">
        <w:t xml:space="preserve">up to 50% of tumors exhibit functional HRD through alternative mechanisms, including epigenetic silencing or defects in other </w:t>
      </w:r>
      <w:r w:rsidR="00FA48A0" w:rsidRPr="00E915DB">
        <w:t>HRR</w:t>
      </w:r>
      <w:r w:rsidR="00941A29" w:rsidRPr="00E915DB">
        <w:t xml:space="preserve"> genes [2</w:t>
      </w:r>
      <w:r w:rsidRPr="00E915DB">
        <w:t xml:space="preserve">]. Loss of </w:t>
      </w:r>
      <w:r w:rsidR="00FA48A0" w:rsidRPr="00E915DB">
        <w:t>HRR</w:t>
      </w:r>
      <w:r w:rsidRPr="00E915DB">
        <w:t xml:space="preserve"> capacity </w:t>
      </w:r>
      <w:r w:rsidR="00773DC6" w:rsidRPr="00E915DB">
        <w:t xml:space="preserve">promotes </w:t>
      </w:r>
      <w:r w:rsidRPr="00E915DB">
        <w:t xml:space="preserve">genomic instability </w:t>
      </w:r>
      <w:r w:rsidR="00773DC6" w:rsidRPr="00E915DB">
        <w:t xml:space="preserve">while </w:t>
      </w:r>
      <w:r w:rsidRPr="00E915DB">
        <w:t xml:space="preserve">simultaneously </w:t>
      </w:r>
      <w:r w:rsidR="00773DC6" w:rsidRPr="00E915DB">
        <w:t xml:space="preserve">creating </w:t>
      </w:r>
      <w:r w:rsidRPr="00E915DB">
        <w:t>a therapeutically exploitable vulnerability, as HR-deficient tumors display marked sensitivity to platinum-based chemotherapy and poly(ADP-ribose) polymerase (PARP) inhibitors</w:t>
      </w:r>
      <w:r w:rsidR="000158E7" w:rsidRPr="00E915DB">
        <w:t xml:space="preserve"> (</w:t>
      </w:r>
      <w:proofErr w:type="spellStart"/>
      <w:r w:rsidR="000158E7" w:rsidRPr="00E915DB">
        <w:t>PARPi</w:t>
      </w:r>
      <w:proofErr w:type="spellEnd"/>
      <w:r w:rsidR="000158E7" w:rsidRPr="00E915DB">
        <w:t>)</w:t>
      </w:r>
      <w:r w:rsidRPr="00E915DB">
        <w:t xml:space="preserve">. Thus, the biological identity of HGSC is fundamentally shaped by the interplay between near-universal TP53 dysfunction and frequent impairment of </w:t>
      </w:r>
      <w:r w:rsidR="00FA48A0" w:rsidRPr="00E915DB">
        <w:t>HRR</w:t>
      </w:r>
      <w:r w:rsidRPr="00E915DB">
        <w:t xml:space="preserve">, establishing this neoplasm as a paradigmatic genomic disease in which molecular alterations directly </w:t>
      </w:r>
      <w:r w:rsidR="00773DC6" w:rsidRPr="00E915DB">
        <w:t xml:space="preserve">influence </w:t>
      </w:r>
      <w:r w:rsidRPr="00E915DB">
        <w:t xml:space="preserve">prognosis, therapeutic stratification, and clinical outcomes </w:t>
      </w:r>
      <w:r w:rsidR="00941A29" w:rsidRPr="00E915DB">
        <w:t>[2</w:t>
      </w:r>
      <w:r w:rsidRPr="00E915DB">
        <w:t>].</w:t>
      </w:r>
    </w:p>
    <w:p w14:paraId="294ABF29" w14:textId="1FD0F818" w:rsidR="00AC1256" w:rsidRPr="00E915DB" w:rsidRDefault="00482004" w:rsidP="00EF7E97">
      <w:pPr>
        <w:pStyle w:val="Text"/>
        <w:ind w:firstLine="420"/>
      </w:pPr>
      <w:r w:rsidRPr="00E915DB">
        <w:t xml:space="preserve">These molecular insights have been rapidly translated into clinical decision-making frameworks and are now firmly embedded in international guidelines, which recommend systematic histotype-oriented diagnosis and mandatory molecular testing, including </w:t>
      </w:r>
      <w:r w:rsidR="00773DC6" w:rsidRPr="00E915DB">
        <w:t xml:space="preserve">assessment of </w:t>
      </w:r>
      <w:r w:rsidRPr="00E915DB">
        <w:t xml:space="preserve">BRCA1/2 status and HRD, to guide therapeutic stratification and access to targeted treatments such as </w:t>
      </w:r>
      <w:proofErr w:type="spellStart"/>
      <w:r w:rsidRPr="00E915DB">
        <w:t>PARP</w:t>
      </w:r>
      <w:r w:rsidR="000158E7" w:rsidRPr="00E915DB">
        <w:t>i</w:t>
      </w:r>
      <w:proofErr w:type="spellEnd"/>
      <w:r w:rsidRPr="00E915DB">
        <w:t xml:space="preserve"> </w:t>
      </w:r>
      <w:r w:rsidR="00800B52" w:rsidRPr="00E915DB">
        <w:t>[2</w:t>
      </w:r>
      <w:r w:rsidR="00CB0CCF" w:rsidRPr="00E915DB">
        <w:t>2</w:t>
      </w:r>
      <w:r w:rsidR="00800B52" w:rsidRPr="00E915DB">
        <w:t>,</w:t>
      </w:r>
      <w:r w:rsidR="00EF7E97" w:rsidRPr="00E915DB">
        <w:t xml:space="preserve"> </w:t>
      </w:r>
      <w:r w:rsidR="00800B52" w:rsidRPr="00E915DB">
        <w:t>2</w:t>
      </w:r>
      <w:r w:rsidR="00CB0CCF" w:rsidRPr="00E915DB">
        <w:t>3</w:t>
      </w:r>
      <w:r w:rsidR="00800B52" w:rsidRPr="00E915DB">
        <w:t>]</w:t>
      </w:r>
      <w:r w:rsidR="00133674" w:rsidRPr="00E915DB">
        <w:t>.</w:t>
      </w:r>
    </w:p>
    <w:p w14:paraId="5B034A35" w14:textId="77777777" w:rsidR="002E2508" w:rsidRPr="00E915DB" w:rsidRDefault="002E2508" w:rsidP="00EF7E97">
      <w:pPr>
        <w:pStyle w:val="2"/>
      </w:pPr>
      <w:r w:rsidRPr="00E915DB">
        <w:t>4.2 Beyond BRCA: The HRD Continuum</w:t>
      </w:r>
    </w:p>
    <w:p w14:paraId="20C66597" w14:textId="4259EF74" w:rsidR="002E2508" w:rsidRPr="00E915DB" w:rsidRDefault="002E2508" w:rsidP="00EF7E97">
      <w:pPr>
        <w:pStyle w:val="Text"/>
        <w:ind w:firstLine="420"/>
      </w:pPr>
      <w:r w:rsidRPr="00E915DB">
        <w:t xml:space="preserve">The concept of HRD has expanded significantly beyond the classical framework of germline or somatic BRCA1/2 mutations. </w:t>
      </w:r>
      <w:r w:rsidR="00FA48A0" w:rsidRPr="00E915DB">
        <w:t xml:space="preserve">Although </w:t>
      </w:r>
      <w:r w:rsidRPr="00E915DB">
        <w:t xml:space="preserve">BRCA alterations represent the prototypical cause of HRD, it is now </w:t>
      </w:r>
      <w:r w:rsidR="00FA48A0" w:rsidRPr="00E915DB">
        <w:t xml:space="preserve">recognized </w:t>
      </w:r>
      <w:r w:rsidRPr="00E915DB">
        <w:t xml:space="preserve">that homologous recombination operates along a functional continuum </w:t>
      </w:r>
      <w:r w:rsidR="00FA48A0" w:rsidRPr="00E915DB">
        <w:t xml:space="preserve">rather than </w:t>
      </w:r>
      <w:r w:rsidRPr="00E915DB">
        <w:t>as a strictly binary competent</w:t>
      </w:r>
      <w:r w:rsidR="00FA48A0" w:rsidRPr="00E915DB">
        <w:t xml:space="preserve"> or </w:t>
      </w:r>
      <w:r w:rsidRPr="00E915DB">
        <w:t>deficient state. Numerous additional genes</w:t>
      </w:r>
      <w:r w:rsidR="00FA48A0" w:rsidRPr="00E915DB">
        <w:t xml:space="preserve">, </w:t>
      </w:r>
      <w:r w:rsidRPr="00E915DB">
        <w:t xml:space="preserve">including </w:t>
      </w:r>
      <w:r w:rsidRPr="00E915DB">
        <w:rPr>
          <w:i/>
          <w:iCs/>
        </w:rPr>
        <w:t>PALB2</w:t>
      </w:r>
      <w:r w:rsidRPr="00E915DB">
        <w:t xml:space="preserve">, </w:t>
      </w:r>
      <w:r w:rsidRPr="00E915DB">
        <w:rPr>
          <w:i/>
          <w:iCs/>
        </w:rPr>
        <w:t>RAD51C</w:t>
      </w:r>
      <w:r w:rsidRPr="00E915DB">
        <w:t xml:space="preserve">, </w:t>
      </w:r>
      <w:r w:rsidRPr="00E915DB">
        <w:rPr>
          <w:i/>
          <w:iCs/>
        </w:rPr>
        <w:t>RAD51D</w:t>
      </w:r>
      <w:r w:rsidRPr="00E915DB">
        <w:t xml:space="preserve">, and </w:t>
      </w:r>
      <w:r w:rsidRPr="00E915DB">
        <w:rPr>
          <w:i/>
          <w:iCs/>
        </w:rPr>
        <w:t>BRIP1</w:t>
      </w:r>
      <w:r w:rsidR="00FA48A0" w:rsidRPr="00E915DB">
        <w:t xml:space="preserve">, </w:t>
      </w:r>
      <w:r w:rsidRPr="00E915DB">
        <w:t>participate in the HRR pathway and may produce a similar “</w:t>
      </w:r>
      <w:proofErr w:type="spellStart"/>
      <w:r w:rsidRPr="00E915DB">
        <w:t>BRCAness</w:t>
      </w:r>
      <w:proofErr w:type="spellEnd"/>
      <w:r w:rsidR="00941A29" w:rsidRPr="00E915DB">
        <w:t>” phenotype when inactivated [</w:t>
      </w:r>
      <w:r w:rsidR="00722C87" w:rsidRPr="00E915DB">
        <w:t>24</w:t>
      </w:r>
      <w:r w:rsidRPr="00E915DB">
        <w:t xml:space="preserve">]. Furthermore, epigenetic mechanisms, particularly BRCA1 promoter methylation, contribute to reduced HRR function and may fluctuate over time, </w:t>
      </w:r>
      <w:r w:rsidR="00FA48A0" w:rsidRPr="00E915DB">
        <w:t xml:space="preserve">thereby </w:t>
      </w:r>
      <w:r w:rsidRPr="00E915DB">
        <w:t xml:space="preserve">adding </w:t>
      </w:r>
      <w:r w:rsidR="00FA48A0" w:rsidRPr="00E915DB">
        <w:t xml:space="preserve">dynamic complexity </w:t>
      </w:r>
      <w:r w:rsidRPr="00E915DB">
        <w:t>to t</w:t>
      </w:r>
      <w:r w:rsidR="00941A29" w:rsidRPr="00E915DB">
        <w:t>he HRD phenotype [</w:t>
      </w:r>
      <w:r w:rsidR="00D3274A" w:rsidRPr="00E915DB">
        <w:t>25</w:t>
      </w:r>
      <w:r w:rsidRPr="00E915DB">
        <w:t xml:space="preserve">]. This broader understanding </w:t>
      </w:r>
      <w:r w:rsidR="00FA48A0" w:rsidRPr="00E915DB">
        <w:t xml:space="preserve">highlights </w:t>
      </w:r>
      <w:r w:rsidRPr="00E915DB">
        <w:t xml:space="preserve">the biological heterogeneity of ovarian carcinomas and supports </w:t>
      </w:r>
      <w:r w:rsidR="00FA48A0" w:rsidRPr="00E915DB">
        <w:t xml:space="preserve">the concept </w:t>
      </w:r>
      <w:r w:rsidR="009340D3" w:rsidRPr="00E915DB">
        <w:t xml:space="preserve">of </w:t>
      </w:r>
      <w:r w:rsidRPr="00E915DB">
        <w:t>HRD as a graded functional impairment shaped by both genetic and epigenetic influences, with direct implications for therapeutic sensitivity and resistance.</w:t>
      </w:r>
    </w:p>
    <w:p w14:paraId="76342493" w14:textId="0E10AF69" w:rsidR="002E2508" w:rsidRPr="00E915DB" w:rsidRDefault="002E2508" w:rsidP="00EF7E97">
      <w:pPr>
        <w:pStyle w:val="Text"/>
        <w:ind w:firstLine="420"/>
      </w:pPr>
      <w:r w:rsidRPr="00E915DB">
        <w:t xml:space="preserve">As the clinical relevance of HRD </w:t>
      </w:r>
      <w:r w:rsidR="002B3BF8" w:rsidRPr="00E915DB">
        <w:t>expanded</w:t>
      </w:r>
      <w:r w:rsidRPr="00E915DB">
        <w:t>, testing strategies evolved accordingly. Current assays fall into two major categories: gene-based sequencing approaches and genomic scar</w:t>
      </w:r>
      <w:r w:rsidR="00E915DB" w:rsidRPr="00E915DB">
        <w:t>-</w:t>
      </w:r>
      <w:r w:rsidRPr="00E915DB">
        <w:t xml:space="preserve">based assays. Targeted NGS panels </w:t>
      </w:r>
      <w:r w:rsidR="002B3BF8" w:rsidRPr="00E915DB">
        <w:t xml:space="preserve">enable the </w:t>
      </w:r>
      <w:r w:rsidRPr="00E915DB">
        <w:t>detection of pathogenic variants across key HRR genes, including BRCA1, BRCA2, PALB2</w:t>
      </w:r>
      <w:r w:rsidR="00941A29" w:rsidRPr="00E915DB">
        <w:t>, RAD51C, RAD51D, and others [</w:t>
      </w:r>
      <w:r w:rsidR="00D904D4" w:rsidRPr="00E915DB">
        <w:t>26</w:t>
      </w:r>
      <w:r w:rsidRPr="00E915DB">
        <w:t xml:space="preserve">]. These panels provide valuable insight into the mechanistic drivers of HRD and can identify patients suitable </w:t>
      </w:r>
      <w:r w:rsidRPr="00E915DB">
        <w:lastRenderedPageBreak/>
        <w:t xml:space="preserve">for </w:t>
      </w:r>
      <w:proofErr w:type="spellStart"/>
      <w:r w:rsidRPr="00E915DB">
        <w:t>PARP</w:t>
      </w:r>
      <w:r w:rsidR="000158E7" w:rsidRPr="00E915DB">
        <w:t>i</w:t>
      </w:r>
      <w:proofErr w:type="spellEnd"/>
      <w:r w:rsidRPr="00E915DB">
        <w:t xml:space="preserve"> therapy. However, gene-centric testing alone fails to capture HRD arising from epigenetic silencing, regulatory alterations, or complex structural variants.</w:t>
      </w:r>
    </w:p>
    <w:p w14:paraId="496C099F" w14:textId="0CC69A73" w:rsidR="002E2508" w:rsidRPr="00E915DB" w:rsidRDefault="002E2508" w:rsidP="00EF7E97">
      <w:pPr>
        <w:pStyle w:val="Text"/>
        <w:ind w:firstLine="420"/>
      </w:pPr>
      <w:r w:rsidRPr="00E915DB">
        <w:t xml:space="preserve">To complement sequence-based testing, several commercial assays quantify genomic instability patterns reflecting the long-term footprint of </w:t>
      </w:r>
      <w:r w:rsidR="00C04BEE" w:rsidRPr="00E915DB">
        <w:t>HRD</w:t>
      </w:r>
      <w:r w:rsidR="002B3BF8" w:rsidRPr="00E915DB">
        <w:t>,</w:t>
      </w:r>
      <w:r w:rsidR="00C04BEE" w:rsidRPr="00E915DB">
        <w:t xml:space="preserve"> specifically</w:t>
      </w:r>
      <w:r w:rsidRPr="00E915DB">
        <w:t xml:space="preserve"> loss of heterozygosity (LOH), telomeric allelic imbalance (TAI), and large-scale transitions (LST). These metrics</w:t>
      </w:r>
      <w:r w:rsidR="002B3BF8" w:rsidRPr="00E915DB">
        <w:t xml:space="preserve"> are </w:t>
      </w:r>
      <w:r w:rsidRPr="00E915DB">
        <w:t>integrated into composite scores</w:t>
      </w:r>
      <w:r w:rsidR="002B3BF8" w:rsidRPr="00E915DB">
        <w:t>,</w:t>
      </w:r>
      <w:r w:rsidRPr="00E915DB">
        <w:t xml:space="preserve"> such as the </w:t>
      </w:r>
      <w:proofErr w:type="spellStart"/>
      <w:r w:rsidRPr="00E915DB">
        <w:t>myChoice</w:t>
      </w:r>
      <w:proofErr w:type="spellEnd"/>
      <w:r w:rsidRPr="00E915DB">
        <w:t xml:space="preserve">® </w:t>
      </w:r>
      <w:proofErr w:type="spellStart"/>
      <w:r w:rsidRPr="00E915DB">
        <w:t>CDx</w:t>
      </w:r>
      <w:proofErr w:type="spellEnd"/>
      <w:r w:rsidRPr="00E915DB">
        <w:t xml:space="preserve"> HRD score or the </w:t>
      </w:r>
      <w:proofErr w:type="spellStart"/>
      <w:r w:rsidRPr="00E915DB">
        <w:t>FoundationOne</w:t>
      </w:r>
      <w:proofErr w:type="spellEnd"/>
      <w:r w:rsidRPr="00E915DB">
        <w:t xml:space="preserve">® </w:t>
      </w:r>
      <w:proofErr w:type="spellStart"/>
      <w:r w:rsidRPr="00E915DB">
        <w:t>CDx</w:t>
      </w:r>
      <w:proofErr w:type="spellEnd"/>
      <w:r w:rsidRPr="00E915DB">
        <w:t xml:space="preserve"> instability parameters, </w:t>
      </w:r>
      <w:r w:rsidR="002B3BF8" w:rsidRPr="00E915DB">
        <w:t xml:space="preserve">which </w:t>
      </w:r>
      <w:r w:rsidRPr="00E915DB">
        <w:t>have demonstrated clinical utility in stratifying patients f</w:t>
      </w:r>
      <w:r w:rsidR="00941A29" w:rsidRPr="00E915DB">
        <w:t xml:space="preserve">or </w:t>
      </w:r>
      <w:proofErr w:type="spellStart"/>
      <w:r w:rsidR="00941A29" w:rsidRPr="00E915DB">
        <w:t>PARP</w:t>
      </w:r>
      <w:r w:rsidR="000158E7" w:rsidRPr="00E915DB">
        <w:t>i</w:t>
      </w:r>
      <w:proofErr w:type="spellEnd"/>
      <w:r w:rsidR="00941A29" w:rsidRPr="00E915DB">
        <w:t xml:space="preserve"> therapy [</w:t>
      </w:r>
      <w:r w:rsidR="00D904D4" w:rsidRPr="00E915DB">
        <w:t>27,</w:t>
      </w:r>
      <w:r w:rsidR="00EF7E97" w:rsidRPr="00E915DB">
        <w:t xml:space="preserve"> </w:t>
      </w:r>
      <w:r w:rsidR="00D904D4" w:rsidRPr="00E915DB">
        <w:t>28</w:t>
      </w:r>
      <w:r w:rsidRPr="00E915DB">
        <w:t xml:space="preserve">]. Their </w:t>
      </w:r>
      <w:r w:rsidR="002B3BF8" w:rsidRPr="00E915DB">
        <w:t xml:space="preserve">main </w:t>
      </w:r>
      <w:r w:rsidRPr="00E915DB">
        <w:t xml:space="preserve">strength </w:t>
      </w:r>
      <w:r w:rsidR="009340D3" w:rsidRPr="00E915DB">
        <w:t xml:space="preserve">lies </w:t>
      </w:r>
      <w:r w:rsidRPr="00E915DB">
        <w:t>in their ability to detect historic</w:t>
      </w:r>
      <w:r w:rsidR="002B3BF8" w:rsidRPr="00E915DB">
        <w:t>al</w:t>
      </w:r>
      <w:r w:rsidRPr="00E915DB">
        <w:t xml:space="preserve"> HRD</w:t>
      </w:r>
      <w:r w:rsidR="002B3BF8" w:rsidRPr="00E915DB">
        <w:t>-associated</w:t>
      </w:r>
      <w:r w:rsidRPr="00E915DB">
        <w:t xml:space="preserve"> </w:t>
      </w:r>
      <w:r w:rsidR="002B3BF8" w:rsidRPr="00E915DB">
        <w:t xml:space="preserve">genomic alterations, </w:t>
      </w:r>
      <w:r w:rsidRPr="00E915DB">
        <w:t xml:space="preserve">even in tumors without identifiable pathogenic variants. </w:t>
      </w:r>
      <w:r w:rsidR="002B3BF8" w:rsidRPr="00E915DB">
        <w:t xml:space="preserve">However, </w:t>
      </w:r>
      <w:r w:rsidRPr="00E915DB">
        <w:t>these assays also have notable limitations</w:t>
      </w:r>
      <w:r w:rsidR="002B3BF8" w:rsidRPr="00E915DB">
        <w:t xml:space="preserve">. Indeed, </w:t>
      </w:r>
      <w:r w:rsidRPr="00E915DB">
        <w:t xml:space="preserve">genomic scars represent </w:t>
      </w:r>
      <w:r w:rsidR="002B3BF8" w:rsidRPr="00E915DB">
        <w:t xml:space="preserve">prior </w:t>
      </w:r>
      <w:r w:rsidRPr="00E915DB">
        <w:t xml:space="preserve">defects and may not accurately reflect current HRR </w:t>
      </w:r>
      <w:r w:rsidR="002B3BF8" w:rsidRPr="00E915DB">
        <w:t xml:space="preserve">status </w:t>
      </w:r>
      <w:r w:rsidRPr="00E915DB">
        <w:t xml:space="preserve">in tumors that have acquired reversion mutations or other mechanisms </w:t>
      </w:r>
      <w:r w:rsidR="00941A29" w:rsidRPr="00E915DB">
        <w:t xml:space="preserve">of </w:t>
      </w:r>
      <w:proofErr w:type="spellStart"/>
      <w:r w:rsidR="00941A29" w:rsidRPr="00E915DB">
        <w:t>PARP</w:t>
      </w:r>
      <w:r w:rsidR="000158E7" w:rsidRPr="00E915DB">
        <w:t>i</w:t>
      </w:r>
      <w:proofErr w:type="spellEnd"/>
      <w:r w:rsidR="00941A29" w:rsidRPr="00E915DB">
        <w:t xml:space="preserve"> resistance [</w:t>
      </w:r>
      <w:r w:rsidR="00755C82" w:rsidRPr="00E915DB">
        <w:t>29</w:t>
      </w:r>
      <w:r w:rsidRPr="00E915DB">
        <w:t xml:space="preserve">]. As such, scar-based assays may overestimate therapeutic sensitivity in the </w:t>
      </w:r>
      <w:r w:rsidR="002B3BF8" w:rsidRPr="00E915DB">
        <w:t xml:space="preserve">context </w:t>
      </w:r>
      <w:r w:rsidRPr="00E915DB">
        <w:t>of tumor evolution.</w:t>
      </w:r>
    </w:p>
    <w:p w14:paraId="50B9FA18" w14:textId="01D4F427" w:rsidR="002E2508" w:rsidRPr="00E915DB" w:rsidRDefault="002E2508" w:rsidP="00EF7E97">
      <w:pPr>
        <w:pStyle w:val="Text"/>
        <w:ind w:firstLine="420"/>
      </w:pPr>
      <w:r w:rsidRPr="00E915DB">
        <w:t>In this complex landscape, the pathologist plays a central interpretive role</w:t>
      </w:r>
      <w:r w:rsidR="002344AC" w:rsidRPr="00E915DB">
        <w:t xml:space="preserve"> by </w:t>
      </w:r>
      <w:r w:rsidRPr="00E915DB">
        <w:t xml:space="preserve">ensuring that molecular findings are accurately contextualized within the morphologic and clinical framework. First, pathologists must confirm tumor content, evaluate specimen adequacy, and recognize histologic </w:t>
      </w:r>
      <w:r w:rsidR="00EA275C" w:rsidRPr="00E915DB">
        <w:t>patterns</w:t>
      </w:r>
      <w:r w:rsidR="002344AC" w:rsidRPr="00E915DB">
        <w:t>,</w:t>
      </w:r>
      <w:r w:rsidR="00EA275C" w:rsidRPr="00E915DB">
        <w:t xml:space="preserve"> such</w:t>
      </w:r>
      <w:r w:rsidRPr="00E915DB">
        <w:t xml:space="preserve"> as </w:t>
      </w:r>
      <w:r w:rsidR="008C0F54" w:rsidRPr="00E915DB">
        <w:t>HGSC</w:t>
      </w:r>
      <w:r w:rsidRPr="00E915DB">
        <w:t xml:space="preserve"> </w:t>
      </w:r>
      <w:r w:rsidR="00EA275C" w:rsidRPr="00E915DB">
        <w:t>morphology</w:t>
      </w:r>
      <w:r w:rsidR="002344AC" w:rsidRPr="00E915DB">
        <w:t>,</w:t>
      </w:r>
      <w:r w:rsidR="00EA275C" w:rsidRPr="00E915DB">
        <w:t xml:space="preserve"> that</w:t>
      </w:r>
      <w:r w:rsidRPr="00E915DB">
        <w:t xml:space="preserve"> carry inherent associations with</w:t>
      </w:r>
      <w:r w:rsidR="00941A29" w:rsidRPr="00E915DB">
        <w:t xml:space="preserve"> HRD and BRCA-driven biology [</w:t>
      </w:r>
      <w:r w:rsidR="00755C82" w:rsidRPr="00E915DB">
        <w:t>30</w:t>
      </w:r>
      <w:r w:rsidRPr="00E915DB">
        <w:t xml:space="preserve">]. Second, </w:t>
      </w:r>
      <w:r w:rsidR="002344AC" w:rsidRPr="00E915DB">
        <w:t xml:space="preserve">the integration of </w:t>
      </w:r>
      <w:r w:rsidRPr="00E915DB">
        <w:t xml:space="preserve">NGS findings with </w:t>
      </w:r>
      <w:r w:rsidR="002344AC" w:rsidRPr="00E915DB">
        <w:t xml:space="preserve">morphologic features can </w:t>
      </w:r>
      <w:r w:rsidRPr="00E915DB">
        <w:t xml:space="preserve">help refine the classification of </w:t>
      </w:r>
      <w:r w:rsidR="00875AAD" w:rsidRPr="00E915DB">
        <w:t>VUS</w:t>
      </w:r>
      <w:r w:rsidRPr="00E915DB">
        <w:t xml:space="preserve">, </w:t>
      </w:r>
      <w:r w:rsidR="002344AC" w:rsidRPr="00E915DB">
        <w:t xml:space="preserve">thereby </w:t>
      </w:r>
      <w:r w:rsidRPr="00E915DB">
        <w:t xml:space="preserve">improving diagnostic confidence and </w:t>
      </w:r>
      <w:r w:rsidR="002344AC" w:rsidRPr="00E915DB">
        <w:t xml:space="preserve">supporting </w:t>
      </w:r>
      <w:r w:rsidRPr="00E915DB">
        <w:t xml:space="preserve">therapeutic decision-making. Third, the pathologist </w:t>
      </w:r>
      <w:r w:rsidR="00183987" w:rsidRPr="00E915DB">
        <w:t xml:space="preserve">plays an </w:t>
      </w:r>
      <w:r w:rsidRPr="00E915DB">
        <w:t xml:space="preserve">essential in communicating not only the presence of HRD-associated alterations, but </w:t>
      </w:r>
      <w:r w:rsidR="00183987" w:rsidRPr="00E915DB">
        <w:t xml:space="preserve">also </w:t>
      </w:r>
      <w:r w:rsidRPr="00E915DB">
        <w:t>their functional plausibility, methodological limitations, and implications for treatment eligibility or resistance. As methylation assays, functional HRD tests, and longitudinal profiling</w:t>
      </w:r>
      <w:r w:rsidR="00183987" w:rsidRPr="00E915DB">
        <w:t>,</w:t>
      </w:r>
      <w:r w:rsidRPr="00E915DB">
        <w:t xml:space="preserve"> including re-biopsy or liquid biopsy</w:t>
      </w:r>
      <w:r w:rsidR="00183987" w:rsidRPr="00E915DB">
        <w:t>, gain</w:t>
      </w:r>
      <w:r w:rsidRPr="00E915DB">
        <w:t xml:space="preserve"> clinical relevance, the interpretive complexity will continue to grow.</w:t>
      </w:r>
    </w:p>
    <w:p w14:paraId="165716DB" w14:textId="3E0B30F1" w:rsidR="002E2508" w:rsidRPr="00E915DB" w:rsidRDefault="002E2508" w:rsidP="00EF7E97">
      <w:pPr>
        <w:pStyle w:val="Text"/>
        <w:ind w:firstLine="420"/>
      </w:pPr>
      <w:r w:rsidRPr="00E915DB">
        <w:t xml:space="preserve">Overall, the shift “beyond BRCA” reflects a broader redefinition of HRD as a multifactorial, evolving biological state. Understanding its continuum, recognizing the strengths and </w:t>
      </w:r>
      <w:r w:rsidR="0073253D" w:rsidRPr="00E915DB">
        <w:t xml:space="preserve">limitations </w:t>
      </w:r>
      <w:r w:rsidRPr="00E915DB">
        <w:t xml:space="preserve">of available assays, and leveraging the integrative expertise </w:t>
      </w:r>
      <w:r w:rsidR="0073253D" w:rsidRPr="00E915DB">
        <w:t xml:space="preserve">of pathologists </w:t>
      </w:r>
      <w:r w:rsidRPr="00E915DB">
        <w:t xml:space="preserve">are essential </w:t>
      </w:r>
      <w:r w:rsidR="0073253D" w:rsidRPr="00E915DB">
        <w:t>for the effective implementation of</w:t>
      </w:r>
      <w:r w:rsidRPr="00E915DB">
        <w:t xml:space="preserve"> HRD-guided therapies in ovarian cancer.</w:t>
      </w:r>
    </w:p>
    <w:p w14:paraId="251FE684" w14:textId="2CC4F0A4" w:rsidR="00480EC3" w:rsidRPr="00E915DB" w:rsidRDefault="00480EC3" w:rsidP="00EF7E97">
      <w:pPr>
        <w:pStyle w:val="Text"/>
        <w:ind w:firstLine="420"/>
      </w:pPr>
      <w:r w:rsidRPr="00E915DB">
        <w:t xml:space="preserve">An additional critical limitation of current HRD assessment </w:t>
      </w:r>
      <w:r w:rsidR="0073253D" w:rsidRPr="00E915DB">
        <w:t>is</w:t>
      </w:r>
      <w:r w:rsidRPr="00E915DB">
        <w:t xml:space="preserve"> the widespread use of genomic </w:t>
      </w:r>
      <w:r w:rsidR="00EA275C" w:rsidRPr="00E915DB">
        <w:t>scar-based</w:t>
      </w:r>
      <w:r w:rsidRPr="00E915DB">
        <w:t xml:space="preserve"> assays, which capture the historical footprint of homologous recombination deficiency rather than its </w:t>
      </w:r>
      <w:r w:rsidR="009340D3" w:rsidRPr="00E915DB">
        <w:t>real-time</w:t>
      </w:r>
      <w:r w:rsidRPr="00E915DB">
        <w:t xml:space="preserve"> functional status. While these approaches have clear clinical utility, they may overestimate sensitivity to platinum</w:t>
      </w:r>
      <w:r w:rsidR="0073253D" w:rsidRPr="00E915DB">
        <w:t>-based</w:t>
      </w:r>
      <w:r w:rsidRPr="00E915DB">
        <w:t xml:space="preserve"> agents and </w:t>
      </w:r>
      <w:proofErr w:type="spellStart"/>
      <w:r w:rsidRPr="00E915DB">
        <w:t>PARP</w:t>
      </w:r>
      <w:r w:rsidR="000158E7" w:rsidRPr="00E915DB">
        <w:t>i</w:t>
      </w:r>
      <w:proofErr w:type="spellEnd"/>
      <w:r w:rsidRPr="00E915DB">
        <w:t>, particularly in tumors that have acquired resistance through restoration of homologous recombination, including BRCA reversion mutations</w:t>
      </w:r>
      <w:r w:rsidR="002533EB" w:rsidRPr="00E915DB">
        <w:t xml:space="preserve"> [</w:t>
      </w:r>
      <w:r w:rsidR="008A4FDE">
        <w:t>26</w:t>
      </w:r>
      <w:r w:rsidR="008A4FDE">
        <w:rPr>
          <w:rFonts w:ascii="宋体" w:eastAsia="宋体" w:hAnsi="宋体" w:cs="宋体" w:hint="eastAsia"/>
          <w:lang w:eastAsia="zh-CN"/>
        </w:rPr>
        <w:t>,</w:t>
      </w:r>
      <w:r w:rsidR="00E915DB">
        <w:t xml:space="preserve">29, </w:t>
      </w:r>
      <w:r w:rsidR="002533EB" w:rsidRPr="00E915DB">
        <w:t>33]</w:t>
      </w:r>
      <w:r w:rsidR="00E4173A" w:rsidRPr="00E915DB">
        <w:t>.</w:t>
      </w:r>
    </w:p>
    <w:p w14:paraId="19CFE04C" w14:textId="5C45CA88" w:rsidR="00997A3E" w:rsidRPr="00E915DB" w:rsidRDefault="00480EC3" w:rsidP="00EF7E97">
      <w:pPr>
        <w:pStyle w:val="Text"/>
        <w:ind w:firstLine="420"/>
      </w:pPr>
      <w:r w:rsidRPr="00E915DB">
        <w:t xml:space="preserve">Consequently, genomic instability scores do not </w:t>
      </w:r>
      <w:r w:rsidR="0073253D" w:rsidRPr="00E915DB">
        <w:t xml:space="preserve">consistently </w:t>
      </w:r>
      <w:r w:rsidRPr="00E915DB">
        <w:t xml:space="preserve">translate into therapeutic response at the individual </w:t>
      </w:r>
      <w:r w:rsidR="0073253D" w:rsidRPr="00E915DB">
        <w:t xml:space="preserve">patient </w:t>
      </w:r>
      <w:r w:rsidRPr="00E915DB">
        <w:t>level</w:t>
      </w:r>
      <w:r w:rsidR="002533EB" w:rsidRPr="00E915DB">
        <w:t xml:space="preserve"> </w:t>
      </w:r>
      <w:r w:rsidR="0047056B" w:rsidRPr="00E915DB">
        <w:t>[</w:t>
      </w:r>
      <w:r w:rsidR="008A4FDE">
        <w:t>26</w:t>
      </w:r>
      <w:r w:rsidR="0047056B" w:rsidRPr="00E915DB">
        <w:t>,</w:t>
      </w:r>
      <w:r w:rsidR="00EF7E97" w:rsidRPr="00E915DB">
        <w:t xml:space="preserve"> </w:t>
      </w:r>
      <w:r w:rsidR="0047056B" w:rsidRPr="00E915DB">
        <w:t>34].</w:t>
      </w:r>
      <w:r w:rsidRPr="00E915DB">
        <w:t xml:space="preserve"> This limitation has relevant clinical implications, as it may lead to suboptimal patient selection in the context of tumor evolution. Emerging strategies based on functional assays, such as RAD51 foci detection, aim to provide a more dynamic assessment of homologous recombination activity and may complement genomic approaches in future diagnostic algorithms.</w:t>
      </w:r>
    </w:p>
    <w:p w14:paraId="28DA78A7" w14:textId="623EFCB6" w:rsidR="00480EC3" w:rsidRPr="00E915DB" w:rsidRDefault="00D90B88" w:rsidP="00EF7E97">
      <w:pPr>
        <w:pStyle w:val="Text"/>
        <w:ind w:firstLine="420"/>
      </w:pPr>
      <w:r w:rsidRPr="00E915DB">
        <w:t xml:space="preserve">The biological and clinical interplay </w:t>
      </w:r>
      <w:r w:rsidR="0073253D" w:rsidRPr="00E915DB">
        <w:t xml:space="preserve">among </w:t>
      </w:r>
      <w:r w:rsidRPr="00E915DB">
        <w:t>BRCA alterations, HRD, and targeted therapeutic strategies is summarized schematically in Fig</w:t>
      </w:r>
      <w:r w:rsidR="00EF7E97" w:rsidRPr="00E915DB">
        <w:t>.</w:t>
      </w:r>
      <w:r w:rsidRPr="00E915DB">
        <w:t xml:space="preserve"> </w:t>
      </w:r>
      <w:r w:rsidR="000B14BC" w:rsidRPr="00E915DB">
        <w:t>2</w:t>
      </w:r>
      <w:r w:rsidRPr="00E915DB">
        <w:t>, providing a practical framework for interpretation in routine clinical settings</w:t>
      </w:r>
      <w:r w:rsidR="00E4173A" w:rsidRPr="00E915DB">
        <w:t>.</w:t>
      </w:r>
    </w:p>
    <w:p w14:paraId="7AF0799C" w14:textId="57735C89" w:rsidR="004F22BC" w:rsidRPr="00E915DB" w:rsidRDefault="004F22BC" w:rsidP="00EF7E97">
      <w:pPr>
        <w:pStyle w:val="Text"/>
        <w:ind w:firstLine="420"/>
      </w:pPr>
    </w:p>
    <w:p w14:paraId="7FB1E9C7" w14:textId="77777777" w:rsidR="00EF7E97" w:rsidRPr="00E915DB" w:rsidRDefault="00EF7E97" w:rsidP="00EF7E97">
      <w:pPr>
        <w:pStyle w:val="Text"/>
        <w:ind w:firstLine="420"/>
      </w:pPr>
    </w:p>
    <w:p w14:paraId="71A60618" w14:textId="1EB986C7" w:rsidR="007A766B" w:rsidRPr="00E915DB" w:rsidRDefault="007A766B" w:rsidP="00EF7E97">
      <w:pPr>
        <w:pStyle w:val="Figure"/>
      </w:pPr>
      <w:r w:rsidRPr="00E915DB">
        <w:rPr>
          <w:noProof/>
          <w:lang w:val="it-IT" w:eastAsia="it-IT" w:bidi="ar-SA"/>
        </w:rPr>
        <w:lastRenderedPageBreak/>
        <w:drawing>
          <wp:inline distT="0" distB="0" distL="0" distR="0" wp14:anchorId="4E74557C" wp14:editId="60C8C3A7">
            <wp:extent cx="6120130" cy="4197350"/>
            <wp:effectExtent l="0" t="0" r="0" b="0"/>
            <wp:docPr id="42380169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01693" name="Immagine 423801693"/>
                    <pic:cNvPicPr/>
                  </pic:nvPicPr>
                  <pic:blipFill rotWithShape="1">
                    <a:blip r:embed="rId11">
                      <a:extLst>
                        <a:ext uri="{28A0092B-C50C-407E-A947-70E740481C1C}">
                          <a14:useLocalDpi xmlns:a14="http://schemas.microsoft.com/office/drawing/2010/main" val="0"/>
                        </a:ext>
                      </a:extLst>
                    </a:blip>
                    <a:srcRect t="1522" b="7041"/>
                    <a:stretch/>
                  </pic:blipFill>
                  <pic:spPr bwMode="auto">
                    <a:xfrm>
                      <a:off x="0" y="0"/>
                      <a:ext cx="6120130" cy="4197350"/>
                    </a:xfrm>
                    <a:prstGeom prst="rect">
                      <a:avLst/>
                    </a:prstGeom>
                    <a:ln>
                      <a:noFill/>
                    </a:ln>
                    <a:extLst>
                      <a:ext uri="{53640926-AAD7-44D8-BBD7-CCE9431645EC}">
                        <a14:shadowObscured xmlns:a14="http://schemas.microsoft.com/office/drawing/2010/main"/>
                      </a:ext>
                    </a:extLst>
                  </pic:spPr>
                </pic:pic>
              </a:graphicData>
            </a:graphic>
          </wp:inline>
        </w:drawing>
      </w:r>
    </w:p>
    <w:p w14:paraId="061A8040" w14:textId="6490F983" w:rsidR="00DF4510" w:rsidRPr="00E915DB" w:rsidRDefault="00DF4510" w:rsidP="0093544B">
      <w:pPr>
        <w:pStyle w:val="Figurecaption"/>
      </w:pPr>
      <w:r w:rsidRPr="00E915DB">
        <w:rPr>
          <w:b/>
        </w:rPr>
        <w:t>Fig</w:t>
      </w:r>
      <w:r w:rsidR="0093544B" w:rsidRPr="00E915DB">
        <w:rPr>
          <w:b/>
        </w:rPr>
        <w:t>.</w:t>
      </w:r>
      <w:r w:rsidRPr="00E915DB">
        <w:rPr>
          <w:b/>
        </w:rPr>
        <w:t xml:space="preserve"> </w:t>
      </w:r>
      <w:r w:rsidR="00CF0ABE" w:rsidRPr="00E915DB">
        <w:rPr>
          <w:b/>
        </w:rPr>
        <w:t>2</w:t>
      </w:r>
      <w:r w:rsidRPr="00E915DB">
        <w:rPr>
          <w:b/>
        </w:rPr>
        <w:t>. BRCA and HRD in ovarian cancer: biological mechanisms, diagnostic</w:t>
      </w:r>
      <w:r w:rsidR="00CF0ABE" w:rsidRPr="00E915DB">
        <w:rPr>
          <w:b/>
        </w:rPr>
        <w:t xml:space="preserve"> </w:t>
      </w:r>
      <w:r w:rsidRPr="00E915DB">
        <w:rPr>
          <w:b/>
        </w:rPr>
        <w:t>framework, and therapeutic implications.</w:t>
      </w:r>
      <w:r w:rsidR="00EF7E97" w:rsidRPr="00E915DB">
        <w:t xml:space="preserve"> </w:t>
      </w:r>
      <w:r w:rsidRPr="00E915DB">
        <w:t xml:space="preserve">This schematic representation illustrates the central role of HR repair in maintaining genomic stability and the consequences of its impairment in high-grade serous ovarian carcinoma. BRCA1/2 alterations, either germline or somatic, represent the prototypical mechanism leading to HRD, while additional defects in HR-related genes (e.g., </w:t>
      </w:r>
      <w:r w:rsidRPr="00E915DB">
        <w:rPr>
          <w:i/>
          <w:iCs/>
        </w:rPr>
        <w:t>PALB2</w:t>
      </w:r>
      <w:r w:rsidRPr="00E915DB">
        <w:rPr>
          <w:iCs/>
        </w:rPr>
        <w:t>,</w:t>
      </w:r>
      <w:r w:rsidRPr="00E915DB">
        <w:rPr>
          <w:i/>
          <w:iCs/>
        </w:rPr>
        <w:t xml:space="preserve"> RAD51C</w:t>
      </w:r>
      <w:r w:rsidRPr="00E915DB">
        <w:rPr>
          <w:iCs/>
        </w:rPr>
        <w:t>,</w:t>
      </w:r>
      <w:r w:rsidRPr="00E915DB">
        <w:rPr>
          <w:i/>
          <w:iCs/>
        </w:rPr>
        <w:t xml:space="preserve"> RAD51D</w:t>
      </w:r>
      <w:r w:rsidRPr="00E915DB">
        <w:rPr>
          <w:iCs/>
        </w:rPr>
        <w:t>,</w:t>
      </w:r>
      <w:r w:rsidRPr="00E915DB">
        <w:rPr>
          <w:i/>
          <w:iCs/>
        </w:rPr>
        <w:t xml:space="preserve"> BRIP1</w:t>
      </w:r>
      <w:r w:rsidRPr="00E915DB">
        <w:t>) and epigenetic events</w:t>
      </w:r>
      <w:r w:rsidR="0073253D" w:rsidRPr="00E915DB">
        <w:t>,</w:t>
      </w:r>
      <w:r w:rsidRPr="00E915DB">
        <w:t xml:space="preserve"> such as </w:t>
      </w:r>
      <w:r w:rsidRPr="00E915DB">
        <w:rPr>
          <w:i/>
          <w:iCs/>
        </w:rPr>
        <w:t>BRCA1</w:t>
      </w:r>
      <w:r w:rsidRPr="00E915DB">
        <w:t xml:space="preserve"> promoter methylation</w:t>
      </w:r>
      <w:r w:rsidR="0073253D" w:rsidRPr="00E915DB">
        <w:t>,</w:t>
      </w:r>
      <w:r w:rsidRPr="00E915DB">
        <w:t xml:space="preserve"> contribute to the broader “</w:t>
      </w:r>
      <w:proofErr w:type="spellStart"/>
      <w:r w:rsidRPr="00E915DB">
        <w:t>BRCAness</w:t>
      </w:r>
      <w:proofErr w:type="spellEnd"/>
      <w:r w:rsidRPr="00E915DB">
        <w:t xml:space="preserve">” phenotype. HRD results in characteristic genomic instability patterns, including LOH, TAI, and LST, which can be integrated into composite HRD scores. These molecular alterations have direct clinical implications, conferring increased sensitivity to platinum-based chemotherapy and enabling therapeutic exploitation through </w:t>
      </w:r>
      <w:proofErr w:type="spellStart"/>
      <w:r w:rsidRPr="00E915DB">
        <w:t>PARP</w:t>
      </w:r>
      <w:r w:rsidR="000158E7" w:rsidRPr="00E915DB">
        <w:t>i</w:t>
      </w:r>
      <w:proofErr w:type="spellEnd"/>
      <w:r w:rsidRPr="00E915DB">
        <w:t xml:space="preserve"> via synthetic lethality. </w:t>
      </w:r>
      <w:r w:rsidR="0073253D" w:rsidRPr="00E915DB">
        <w:t xml:space="preserve">This </w:t>
      </w:r>
      <w:r w:rsidRPr="00E915DB">
        <w:t xml:space="preserve">figure also outlines current testing strategies, including germline and somatic </w:t>
      </w:r>
      <w:r w:rsidRPr="00E915DB">
        <w:rPr>
          <w:i/>
          <w:iCs/>
        </w:rPr>
        <w:t>BRCA1/2</w:t>
      </w:r>
      <w:r w:rsidRPr="00E915DB">
        <w:t xml:space="preserve"> testing, NGS of </w:t>
      </w:r>
      <w:r w:rsidR="00FA48A0" w:rsidRPr="00E915DB">
        <w:t>HRR</w:t>
      </w:r>
      <w:r w:rsidRPr="00E915DB">
        <w:t xml:space="preserve"> genes, and genomic instability assays, as well as key mechanisms of resistance such as BRCA reversion mutations and restoration of HR function.</w:t>
      </w:r>
      <w:r w:rsidR="00EF7E97" w:rsidRPr="00E915DB">
        <w:rPr>
          <w:rFonts w:eastAsiaTheme="minorEastAsia" w:hint="eastAsia"/>
          <w:lang w:eastAsia="zh-CN"/>
        </w:rPr>
        <w:t xml:space="preserve"> </w:t>
      </w:r>
      <w:r w:rsidRPr="00E915DB">
        <w:rPr>
          <w:b/>
        </w:rPr>
        <w:t>Abbreviations</w:t>
      </w:r>
      <w:r w:rsidRPr="00E915DB">
        <w:t>: HR, homologous recombination; LOH, loss of heterozygosity; TAI, telomeric allelic imbalance; LST, large-scale transitions; PARP, poly(ADP-ribose) polymerase</w:t>
      </w:r>
      <w:r w:rsidR="00E915DB" w:rsidRPr="00E915DB">
        <w:t>.</w:t>
      </w:r>
    </w:p>
    <w:p w14:paraId="51B661AC" w14:textId="77777777" w:rsidR="00773114" w:rsidRPr="00E915DB" w:rsidRDefault="00773114" w:rsidP="0093544B">
      <w:pPr>
        <w:pStyle w:val="Text"/>
        <w:ind w:firstLine="420"/>
      </w:pPr>
    </w:p>
    <w:p w14:paraId="4EE59D8E" w14:textId="77777777" w:rsidR="00773114" w:rsidRPr="00E915DB" w:rsidRDefault="00773114" w:rsidP="0093544B">
      <w:pPr>
        <w:pStyle w:val="Text"/>
        <w:ind w:firstLine="420"/>
      </w:pPr>
    </w:p>
    <w:p w14:paraId="26149CE3" w14:textId="77777777" w:rsidR="002E2508" w:rsidRPr="00E915DB" w:rsidRDefault="002E2508" w:rsidP="0093544B">
      <w:pPr>
        <w:pStyle w:val="2"/>
      </w:pPr>
      <w:r w:rsidRPr="00E915DB">
        <w:t>4.3 Tumor Evolution and Therapeutic Resistance</w:t>
      </w:r>
    </w:p>
    <w:p w14:paraId="7FD37552" w14:textId="0B6456C4" w:rsidR="002E2508" w:rsidRPr="00E915DB" w:rsidRDefault="002E2508" w:rsidP="0093544B">
      <w:pPr>
        <w:pStyle w:val="Text"/>
        <w:ind w:firstLine="420"/>
      </w:pPr>
      <w:r w:rsidRPr="00E915DB">
        <w:t xml:space="preserve">Tumor evolution in ovarian cancer is a dynamic, continuous process shaped by therapeutic pressure, particularly in the context of HRD and </w:t>
      </w:r>
      <w:proofErr w:type="spellStart"/>
      <w:r w:rsidRPr="00E915DB">
        <w:t>PARPi</w:t>
      </w:r>
      <w:proofErr w:type="spellEnd"/>
      <w:r w:rsidRPr="00E915DB">
        <w:t xml:space="preserve"> treatment. Exposure to platinum</w:t>
      </w:r>
      <w:r w:rsidR="00F97720" w:rsidRPr="00E915DB">
        <w:t>-based</w:t>
      </w:r>
      <w:r w:rsidRPr="00E915DB">
        <w:t xml:space="preserve"> agents or </w:t>
      </w:r>
      <w:proofErr w:type="spellStart"/>
      <w:r w:rsidRPr="00E915DB">
        <w:t>PARPi</w:t>
      </w:r>
      <w:proofErr w:type="spellEnd"/>
      <w:r w:rsidRPr="00E915DB">
        <w:t xml:space="preserve"> can select for </w:t>
      </w:r>
      <w:proofErr w:type="spellStart"/>
      <w:r w:rsidRPr="00E915DB">
        <w:t>subclonal</w:t>
      </w:r>
      <w:proofErr w:type="spellEnd"/>
      <w:r w:rsidRPr="00E915DB">
        <w:t xml:space="preserve"> populations with restored DNA repair capacity, enabling tumor</w:t>
      </w:r>
      <w:r w:rsidR="00F97720" w:rsidRPr="00E915DB">
        <w:t>s</w:t>
      </w:r>
      <w:r w:rsidRPr="00E915DB">
        <w:t xml:space="preserve"> to escape synthetic lethality. A well-established mechanism </w:t>
      </w:r>
      <w:r w:rsidR="00F97720" w:rsidRPr="00E915DB">
        <w:t xml:space="preserve">involves </w:t>
      </w:r>
      <w:r w:rsidRPr="00E915DB">
        <w:t xml:space="preserve">the emergence of BRCA1/2 reversion mutations, which </w:t>
      </w:r>
      <w:r w:rsidR="009340D3" w:rsidRPr="00E915DB">
        <w:t>restore</w:t>
      </w:r>
      <w:r w:rsidR="00F97720" w:rsidRPr="00E915DB">
        <w:t xml:space="preserve"> the</w:t>
      </w:r>
      <w:r w:rsidRPr="00E915DB">
        <w:t xml:space="preserve"> open reading frame </w:t>
      </w:r>
      <w:r w:rsidR="00F97720" w:rsidRPr="00E915DB">
        <w:t xml:space="preserve">(ORF) </w:t>
      </w:r>
      <w:r w:rsidRPr="00E915DB">
        <w:t xml:space="preserve">and partially rescue homologous recombination, thereby </w:t>
      </w:r>
      <w:r w:rsidR="00F97720" w:rsidRPr="00E915DB">
        <w:t xml:space="preserve">reducing </w:t>
      </w:r>
      <w:proofErr w:type="spellStart"/>
      <w:r w:rsidRPr="00E915DB">
        <w:t>PA</w:t>
      </w:r>
      <w:r w:rsidR="00941A29" w:rsidRPr="00E915DB">
        <w:t>RPi</w:t>
      </w:r>
      <w:proofErr w:type="spellEnd"/>
      <w:r w:rsidR="00941A29" w:rsidRPr="00E915DB">
        <w:t xml:space="preserve"> sensitivity [</w:t>
      </w:r>
      <w:r w:rsidR="00EA7242" w:rsidRPr="00E915DB">
        <w:t>29</w:t>
      </w:r>
      <w:r w:rsidRPr="00E915DB">
        <w:t>]</w:t>
      </w:r>
      <w:r w:rsidR="00941A29" w:rsidRPr="00E915DB">
        <w:t>.</w:t>
      </w:r>
    </w:p>
    <w:p w14:paraId="45330DA8" w14:textId="0F33065F" w:rsidR="0093544B" w:rsidRPr="00E915DB" w:rsidRDefault="002E2508" w:rsidP="0093544B">
      <w:pPr>
        <w:pStyle w:val="Text"/>
        <w:ind w:firstLine="420"/>
      </w:pPr>
      <w:r w:rsidRPr="00E915DB">
        <w:lastRenderedPageBreak/>
        <w:t xml:space="preserve">Additional adaptive </w:t>
      </w:r>
      <w:r w:rsidR="00650AC4" w:rsidRPr="00E915DB">
        <w:t xml:space="preserve">mechanisms </w:t>
      </w:r>
      <w:r w:rsidRPr="00E915DB">
        <w:t xml:space="preserve">include loss of 53BP1, allowing </w:t>
      </w:r>
      <w:r w:rsidR="00650AC4" w:rsidRPr="00E915DB">
        <w:t xml:space="preserve">DNA </w:t>
      </w:r>
      <w:r w:rsidRPr="00E915DB">
        <w:t xml:space="preserve">end resection and restoration </w:t>
      </w:r>
      <w:r w:rsidR="00650AC4" w:rsidRPr="00E915DB">
        <w:t xml:space="preserve">of HR </w:t>
      </w:r>
      <w:r w:rsidRPr="00E915DB">
        <w:t xml:space="preserve">even in BRCA1-deficient settings, </w:t>
      </w:r>
      <w:r w:rsidR="00650AC4" w:rsidRPr="00E915DB">
        <w:t xml:space="preserve">as well as </w:t>
      </w:r>
      <w:r w:rsidRPr="00E915DB">
        <w:t xml:space="preserve">upregulation of drug efflux pumps such as MDR1, which reduce intracellular </w:t>
      </w:r>
      <w:proofErr w:type="spellStart"/>
      <w:r w:rsidRPr="00E915DB">
        <w:t>PARPi</w:t>
      </w:r>
      <w:proofErr w:type="spellEnd"/>
      <w:r w:rsidRPr="00E915DB">
        <w:t xml:space="preserve"> accumulation. Epigenetic plasticity also contributes</w:t>
      </w:r>
      <w:r w:rsidR="00650AC4" w:rsidRPr="00E915DB">
        <w:t xml:space="preserve"> to therapeutic resistance. </w:t>
      </w:r>
      <w:r w:rsidRPr="00E915DB">
        <w:t xml:space="preserve">BRCA1 promoter methylation, a </w:t>
      </w:r>
      <w:r w:rsidR="00650AC4" w:rsidRPr="00E915DB">
        <w:t xml:space="preserve">known </w:t>
      </w:r>
      <w:r w:rsidRPr="00E915DB">
        <w:t xml:space="preserve">driver of HRD, may be lost during therapy, resulting in a </w:t>
      </w:r>
      <w:r w:rsidR="00650AC4" w:rsidRPr="00E915DB">
        <w:t xml:space="preserve">transition </w:t>
      </w:r>
      <w:r w:rsidRPr="00E915DB">
        <w:t>from an HR</w:t>
      </w:r>
      <w:r w:rsidR="00941A29" w:rsidRPr="00E915DB">
        <w:t xml:space="preserve">D to </w:t>
      </w:r>
      <w:r w:rsidR="009340D3" w:rsidRPr="00E915DB">
        <w:t xml:space="preserve">an </w:t>
      </w:r>
      <w:r w:rsidR="00941A29" w:rsidRPr="00E915DB">
        <w:t>HR-proficient phenotype [</w:t>
      </w:r>
      <w:r w:rsidR="001E0259" w:rsidRPr="00E915DB">
        <w:t>25</w:t>
      </w:r>
      <w:r w:rsidRPr="00E915DB">
        <w:t>]</w:t>
      </w:r>
      <w:r w:rsidR="001E0259" w:rsidRPr="00E915DB">
        <w:t>.</w:t>
      </w:r>
    </w:p>
    <w:p w14:paraId="07F15F3A" w14:textId="6D3AF93C" w:rsidR="004F22BC" w:rsidRPr="00E915DB" w:rsidRDefault="002E2508" w:rsidP="0093544B">
      <w:pPr>
        <w:pStyle w:val="Text"/>
        <w:ind w:firstLine="420"/>
        <w:rPr>
          <w:szCs w:val="21"/>
          <w:lang w:val="en-GB"/>
        </w:rPr>
      </w:pPr>
      <w:r w:rsidRPr="00E915DB">
        <w:t xml:space="preserve">Because tumor biology evolves over time, genomic characterization </w:t>
      </w:r>
      <w:r w:rsidR="00650AC4" w:rsidRPr="00E915DB">
        <w:t xml:space="preserve">performed at a single time point </w:t>
      </w:r>
      <w:r w:rsidRPr="00E915DB">
        <w:t xml:space="preserve">may become </w:t>
      </w:r>
      <w:r w:rsidR="00650AC4" w:rsidRPr="00E915DB">
        <w:t xml:space="preserve">outdated </w:t>
      </w:r>
      <w:r w:rsidRPr="00E915DB">
        <w:t xml:space="preserve">as treatment progresses. Genomic scar assays reflect historical rather than current HRD </w:t>
      </w:r>
      <w:r w:rsidR="00962AA7" w:rsidRPr="00E915DB">
        <w:t>status and</w:t>
      </w:r>
      <w:r w:rsidRPr="00E915DB">
        <w:t xml:space="preserve"> thus may fail to detect regained </w:t>
      </w:r>
      <w:r w:rsidR="00650AC4" w:rsidRPr="00E915DB">
        <w:t xml:space="preserve">HR </w:t>
      </w:r>
      <w:r w:rsidRPr="00E915DB">
        <w:t xml:space="preserve">proficiency in resistant tumors. This limitation highlights the clinical value of re-biopsy and longitudinal profiling, allowing reassessment of HR pathway function during disease progression. Furthermore, liquid biopsy approaches, including circulating tumor DNA </w:t>
      </w:r>
      <w:r w:rsidR="004F2679" w:rsidRPr="00E915DB">
        <w:t>(</w:t>
      </w:r>
      <w:proofErr w:type="spellStart"/>
      <w:r w:rsidR="004F2679" w:rsidRPr="00E915DB">
        <w:t>ctDNA</w:t>
      </w:r>
      <w:proofErr w:type="spellEnd"/>
      <w:r w:rsidR="004F2679" w:rsidRPr="00E915DB">
        <w:t xml:space="preserve">) </w:t>
      </w:r>
      <w:r w:rsidRPr="00E915DB">
        <w:t>analysis, offer a noninvasive strategy to monitor emerging resistance mutations</w:t>
      </w:r>
      <w:r w:rsidR="00650AC4" w:rsidRPr="00E915DB">
        <w:t xml:space="preserve">, </w:t>
      </w:r>
      <w:r w:rsidRPr="00E915DB">
        <w:t>such as BRCA reversions</w:t>
      </w:r>
      <w:r w:rsidR="00650AC4" w:rsidRPr="00E915DB">
        <w:t xml:space="preserve">, </w:t>
      </w:r>
      <w:r w:rsidRPr="00E915DB">
        <w:t xml:space="preserve">and to capture tumor heterogeneity more effectively than tissue sampling alone. As therapeutic pressure continues to shape tumor evolution, </w:t>
      </w:r>
      <w:r w:rsidR="00650AC4" w:rsidRPr="00E915DB">
        <w:t xml:space="preserve">the integration of longitudinal </w:t>
      </w:r>
      <w:r w:rsidRPr="00E915DB">
        <w:t>molecular data becomes essential for guiding retreatment decisions and selecting patients for second-line targeted strategies.</w:t>
      </w:r>
    </w:p>
    <w:p w14:paraId="7611BEC8" w14:textId="4634A2F6" w:rsidR="002E2508" w:rsidRPr="00E915DB" w:rsidRDefault="002E2508" w:rsidP="0093544B">
      <w:pPr>
        <w:pStyle w:val="1"/>
      </w:pPr>
      <w:r w:rsidRPr="00E915DB">
        <w:t xml:space="preserve">5. Cervical Cancer: Still </w:t>
      </w:r>
      <w:r w:rsidR="00810A41" w:rsidRPr="00E915DB">
        <w:t>Human Papillomavirus (</w:t>
      </w:r>
      <w:r w:rsidRPr="00E915DB">
        <w:t>HPV</w:t>
      </w:r>
      <w:r w:rsidR="00810A41" w:rsidRPr="00E915DB">
        <w:t>)</w:t>
      </w:r>
      <w:r w:rsidRPr="00E915DB">
        <w:t xml:space="preserve">-Driven, </w:t>
      </w:r>
      <w:r w:rsidR="00AE434D" w:rsidRPr="00E915DB">
        <w:t>but</w:t>
      </w:r>
      <w:r w:rsidRPr="00E915DB">
        <w:t xml:space="preserve"> No </w:t>
      </w:r>
      <w:r w:rsidR="00F54345" w:rsidRPr="00E915DB">
        <w:t>Longer Defined Solely by</w:t>
      </w:r>
      <w:r w:rsidRPr="00E915DB">
        <w:t xml:space="preserve"> HPV</w:t>
      </w:r>
    </w:p>
    <w:p w14:paraId="21D10395" w14:textId="04CB3AA2" w:rsidR="002E2508" w:rsidRPr="00E915DB" w:rsidRDefault="002E2508" w:rsidP="0093544B">
      <w:pPr>
        <w:pStyle w:val="Text"/>
        <w:ind w:firstLine="420"/>
      </w:pPr>
      <w:r w:rsidRPr="00E915DB">
        <w:t xml:space="preserve">Cervical carcinoma remains one of the clearest paradigms of virus-driven oncogenesis in solid tumors. The etiologic role of persistent infection with high-risk HPV is unequivocal and continues to represent the biological foundation of both squamous cell carcinoma (SCC) and the majority of adenocarcinomas (ADC). Integration of high-risk HPV DNA into the host genome results in constitutive expression of the viral oncoproteins E6 and E7, which inactivate the tumor suppressors TP53 and RB1, respectively, thereby dismantling key cell-cycle checkpoints and promoting genomic instability. This viral dependency explains the remarkable success of primary prevention strategies, including vaccination and organized screening programs, and has historically </w:t>
      </w:r>
      <w:r w:rsidR="0051088B" w:rsidRPr="00E915DB">
        <w:t xml:space="preserve">positioned </w:t>
      </w:r>
      <w:r w:rsidRPr="00E915DB">
        <w:t xml:space="preserve">cervical cancer as a disease largely preventable through public health interventions. However, </w:t>
      </w:r>
      <w:r w:rsidR="0051088B" w:rsidRPr="00E915DB">
        <w:t xml:space="preserve">although </w:t>
      </w:r>
      <w:r w:rsidRPr="00E915DB">
        <w:t>HPV remains the initiating and sustaining oncogenic driver in most cases, comprehensive genomic profiling has demonstrated that cervical carcinoma cannot be reduc</w:t>
      </w:r>
      <w:r w:rsidR="00941A29" w:rsidRPr="00E915DB">
        <w:t>ed to a purely viral disease [</w:t>
      </w:r>
      <w:r w:rsidR="005E707F" w:rsidRPr="00E915DB">
        <w:t>6</w:t>
      </w:r>
      <w:r w:rsidRPr="00E915DB">
        <w:t>].</w:t>
      </w:r>
    </w:p>
    <w:p w14:paraId="6A832798" w14:textId="681D719B" w:rsidR="002E2508" w:rsidRPr="00E915DB" w:rsidRDefault="002E2508" w:rsidP="0093544B">
      <w:pPr>
        <w:pStyle w:val="Text"/>
        <w:ind w:firstLine="420"/>
      </w:pPr>
      <w:r w:rsidRPr="00E915DB">
        <w:t xml:space="preserve">Large-scale sequencing </w:t>
      </w:r>
      <w:r w:rsidR="0051088B" w:rsidRPr="00E915DB">
        <w:t xml:space="preserve">studies </w:t>
      </w:r>
      <w:r w:rsidRPr="00E915DB">
        <w:t>have revealed that, beyond HPV-mediated oncogenesis, cervical tumors accumulate recurrent somatic alterations that contribute to tumor progression, therapeutic resistance, and clinical heterogeneity. In advanced and recurrent disease</w:t>
      </w:r>
      <w:r w:rsidR="0051088B" w:rsidRPr="00E915DB">
        <w:t xml:space="preserve">, </w:t>
      </w:r>
      <w:r w:rsidRPr="00E915DB">
        <w:t xml:space="preserve">where prognosis remains poor and therapeutic options </w:t>
      </w:r>
      <w:r w:rsidR="0051088B" w:rsidRPr="00E915DB">
        <w:t xml:space="preserve">are </w:t>
      </w:r>
      <w:r w:rsidRPr="00E915DB">
        <w:t>limited</w:t>
      </w:r>
      <w:r w:rsidR="0051088B" w:rsidRPr="00E915DB">
        <w:t xml:space="preserve">, </w:t>
      </w:r>
      <w:r w:rsidRPr="00E915DB">
        <w:t xml:space="preserve">the </w:t>
      </w:r>
      <w:r w:rsidR="0051088B" w:rsidRPr="00E915DB">
        <w:t xml:space="preserve">clinical </w:t>
      </w:r>
      <w:r w:rsidRPr="00E915DB">
        <w:t>value of molecular profiling becomes particularly evident. NGS-based analyses enable the identification of genomic alterations that may not be central to tumor initiation but are critical for disease maintenance and progression. In this context, molecular characterization provides clinically actionable information, especially for patients who relapse after standard chemoradiation or present with metastatic disease. Thus, while HPV defines the biological origin</w:t>
      </w:r>
      <w:r w:rsidR="0051088B" w:rsidRPr="00E915DB">
        <w:t xml:space="preserve"> of cervical carcinoma</w:t>
      </w:r>
      <w:r w:rsidRPr="00E915DB">
        <w:t xml:space="preserve">, the genomic landscape </w:t>
      </w:r>
      <w:r w:rsidR="0051088B" w:rsidRPr="00E915DB">
        <w:t xml:space="preserve">largely determines </w:t>
      </w:r>
      <w:r w:rsidRPr="00E915DB">
        <w:t>therapeutic vulnerability.</w:t>
      </w:r>
    </w:p>
    <w:p w14:paraId="4492E276" w14:textId="3F31B69D" w:rsidR="002E2508" w:rsidRPr="00E915DB" w:rsidRDefault="002E2508" w:rsidP="0093544B">
      <w:pPr>
        <w:pStyle w:val="Text"/>
        <w:ind w:firstLine="420"/>
      </w:pPr>
      <w:r w:rsidRPr="00E915DB">
        <w:t xml:space="preserve">Among the most consistently altered pathways </w:t>
      </w:r>
      <w:r w:rsidR="0051088B" w:rsidRPr="00E915DB">
        <w:t xml:space="preserve">in cervical carcinoma </w:t>
      </w:r>
      <w:r w:rsidRPr="00E915DB">
        <w:t xml:space="preserve">is the PI3K/AKT/mTOR </w:t>
      </w:r>
      <w:r w:rsidR="00962AA7" w:rsidRPr="00E915DB">
        <w:t>signaling</w:t>
      </w:r>
      <w:r w:rsidRPr="00E915DB">
        <w:t xml:space="preserve"> axis. Activating mutations in PIK3CA are reported in approximately 25–40% of cervical carcinomas, particularly in SCC, and represent the most frequent somatic alteration identified in this tumor type. These mutations are associated with enhanced proliferative </w:t>
      </w:r>
      <w:r w:rsidR="00962AA7" w:rsidRPr="00E915DB">
        <w:t>signaling</w:t>
      </w:r>
      <w:r w:rsidRPr="00E915DB">
        <w:t xml:space="preserve">, resistance to apoptosis, and, in some studies, poorer clinical outcomes. Importantly, the presence of PIK3CA mutations provides a biological rationale for targeted therapeutic strategies using PI3K or mTOR </w:t>
      </w:r>
      <w:r w:rsidRPr="00E915DB">
        <w:lastRenderedPageBreak/>
        <w:t xml:space="preserve">inhibitors, which are currently </w:t>
      </w:r>
      <w:r w:rsidR="0051088B" w:rsidRPr="00E915DB">
        <w:t>under investigation</w:t>
      </w:r>
      <w:r w:rsidRPr="00E915DB">
        <w:t xml:space="preserve"> in clinical trials. Although </w:t>
      </w:r>
      <w:r w:rsidR="0051088B" w:rsidRPr="00E915DB">
        <w:t xml:space="preserve">these approaches have </w:t>
      </w:r>
      <w:r w:rsidRPr="00E915DB">
        <w:t xml:space="preserve">not yet </w:t>
      </w:r>
      <w:r w:rsidR="0051088B" w:rsidRPr="00E915DB">
        <w:t xml:space="preserve">become </w:t>
      </w:r>
      <w:r w:rsidRPr="00E915DB">
        <w:t xml:space="preserve">standard of care, </w:t>
      </w:r>
      <w:r w:rsidR="0051088B" w:rsidRPr="00E915DB">
        <w:t>they</w:t>
      </w:r>
      <w:r w:rsidRPr="00E915DB">
        <w:t xml:space="preserve"> exemplify the progressive shift toward biomarker-driven therapy in</w:t>
      </w:r>
      <w:r w:rsidR="00941A29" w:rsidRPr="00E915DB">
        <w:t xml:space="preserve"> selected patient subsets [</w:t>
      </w:r>
      <w:r w:rsidR="005E707F" w:rsidRPr="00E915DB">
        <w:t>6,</w:t>
      </w:r>
      <w:r w:rsidR="0093544B" w:rsidRPr="00E915DB">
        <w:t xml:space="preserve"> </w:t>
      </w:r>
      <w:r w:rsidR="00AB09C1" w:rsidRPr="00E915DB">
        <w:t>35</w:t>
      </w:r>
      <w:r w:rsidRPr="00E915DB">
        <w:t>].</w:t>
      </w:r>
    </w:p>
    <w:p w14:paraId="5206A674" w14:textId="64469EE7" w:rsidR="002E2508" w:rsidRPr="00E915DB" w:rsidRDefault="002E2508" w:rsidP="0093544B">
      <w:pPr>
        <w:pStyle w:val="Text"/>
        <w:ind w:firstLine="420"/>
      </w:pPr>
      <w:r w:rsidRPr="00E915DB">
        <w:t>Another emerging actionable alteration involves ERBB2 (HER2) amplification or activating mutations,</w:t>
      </w:r>
      <w:r w:rsidR="0051088B" w:rsidRPr="00E915DB">
        <w:t xml:space="preserve"> which are </w:t>
      </w:r>
      <w:r w:rsidRPr="00E915DB">
        <w:t xml:space="preserve">more frequently observed in cervical </w:t>
      </w:r>
      <w:r w:rsidR="0051088B" w:rsidRPr="00E915DB">
        <w:t xml:space="preserve">ADCs </w:t>
      </w:r>
      <w:r w:rsidRPr="00E915DB">
        <w:t xml:space="preserve">than in SCC. </w:t>
      </w:r>
      <w:r w:rsidR="0051088B" w:rsidRPr="00E915DB">
        <w:t xml:space="preserve">Although </w:t>
      </w:r>
      <w:r w:rsidRPr="00E915DB">
        <w:t xml:space="preserve">historically </w:t>
      </w:r>
      <w:r w:rsidR="0051088B" w:rsidRPr="00E915DB">
        <w:t xml:space="preserve">underrecognized </w:t>
      </w:r>
      <w:r w:rsidRPr="00E915DB">
        <w:t xml:space="preserve">in cervical cancer, HER2-driven oncogenic </w:t>
      </w:r>
      <w:r w:rsidR="00962AA7" w:rsidRPr="00E915DB">
        <w:t>signaling</w:t>
      </w:r>
      <w:r w:rsidRPr="00E915DB">
        <w:t xml:space="preserve"> has </w:t>
      </w:r>
      <w:r w:rsidR="0051088B" w:rsidRPr="00E915DB">
        <w:t xml:space="preserve">gained </w:t>
      </w:r>
      <w:r w:rsidR="009340D3" w:rsidRPr="00E915DB">
        <w:t>therapeutic relevance</w:t>
      </w:r>
      <w:r w:rsidRPr="00E915DB">
        <w:t xml:space="preserve"> due to the availability of HER2-targeted agents with </w:t>
      </w:r>
      <w:r w:rsidR="0051088B" w:rsidRPr="00E915DB">
        <w:t xml:space="preserve">established </w:t>
      </w:r>
      <w:r w:rsidRPr="00E915DB">
        <w:t>efficacy in other solid tumors. Case series and early-phase studies suggest that HER2-targeted therapies</w:t>
      </w:r>
      <w:r w:rsidR="00DB34F3" w:rsidRPr="00E915DB">
        <w:t xml:space="preserve">, </w:t>
      </w:r>
      <w:r w:rsidRPr="00E915DB">
        <w:t>including antibody–drug conjugates and irreversible tyrosine kinase inhibitors</w:t>
      </w:r>
      <w:r w:rsidR="00DB34F3" w:rsidRPr="00E915DB">
        <w:t xml:space="preserve">, </w:t>
      </w:r>
      <w:r w:rsidRPr="00E915DB">
        <w:t xml:space="preserve">may offer </w:t>
      </w:r>
      <w:r w:rsidR="00DB34F3" w:rsidRPr="00E915DB">
        <w:t xml:space="preserve">clinical </w:t>
      </w:r>
      <w:r w:rsidRPr="00E915DB">
        <w:t xml:space="preserve">benefit in molecularly selected cervical cancer patients, </w:t>
      </w:r>
      <w:r w:rsidR="00DB34F3" w:rsidRPr="00E915DB">
        <w:t xml:space="preserve">further </w:t>
      </w:r>
      <w:r w:rsidRPr="00E915DB">
        <w:t>reinforcing the importance of genomic prof</w:t>
      </w:r>
      <w:r w:rsidR="00941A29" w:rsidRPr="00E915DB">
        <w:t>iling in advanced disease [</w:t>
      </w:r>
      <w:r w:rsidR="00CB65DC" w:rsidRPr="00E915DB">
        <w:t>36,</w:t>
      </w:r>
      <w:r w:rsidR="0093544B" w:rsidRPr="00E915DB">
        <w:t xml:space="preserve"> </w:t>
      </w:r>
      <w:r w:rsidR="00CB65DC" w:rsidRPr="00E915DB">
        <w:t>37</w:t>
      </w:r>
      <w:r w:rsidRPr="00E915DB">
        <w:t>].</w:t>
      </w:r>
    </w:p>
    <w:p w14:paraId="642C84F5" w14:textId="61CCD0A2" w:rsidR="002E2508" w:rsidRPr="00E915DB" w:rsidRDefault="002E2508" w:rsidP="0093544B">
      <w:pPr>
        <w:pStyle w:val="Text"/>
        <w:ind w:firstLine="420"/>
      </w:pPr>
      <w:r w:rsidRPr="00E915DB">
        <w:t xml:space="preserve">In addition to recurrent hotspot mutations, rare but biologically </w:t>
      </w:r>
      <w:r w:rsidR="00DB34F3" w:rsidRPr="00E915DB">
        <w:t xml:space="preserve">significant </w:t>
      </w:r>
      <w:r w:rsidRPr="00E915DB">
        <w:t xml:space="preserve">gene fusions have been </w:t>
      </w:r>
      <w:r w:rsidR="00DB34F3" w:rsidRPr="00E915DB">
        <w:t xml:space="preserve">identified </w:t>
      </w:r>
      <w:r w:rsidRPr="00E915DB">
        <w:t xml:space="preserve">in cervical carcinoma. Although </w:t>
      </w:r>
      <w:r w:rsidR="00DB34F3" w:rsidRPr="00E915DB">
        <w:t>uncommon</w:t>
      </w:r>
      <w:r w:rsidRPr="00E915DB">
        <w:t xml:space="preserve">, oncogenic rearrangements involving genes such as NTRK or other receptor tyrosine kinases carry substantial therapeutic implications </w:t>
      </w:r>
      <w:r w:rsidR="00DB34F3" w:rsidRPr="00E915DB">
        <w:t xml:space="preserve">due to </w:t>
      </w:r>
      <w:r w:rsidRPr="00E915DB">
        <w:t xml:space="preserve">the availability of tumor-agnostic </w:t>
      </w:r>
      <w:r w:rsidR="00DB34F3" w:rsidRPr="00E915DB">
        <w:t xml:space="preserve">targeted </w:t>
      </w:r>
      <w:r w:rsidRPr="00E915DB">
        <w:t xml:space="preserve">inhibitors. The identification of such fusions, </w:t>
      </w:r>
      <w:r w:rsidR="00F4447E" w:rsidRPr="00E915DB">
        <w:t xml:space="preserve">which are </w:t>
      </w:r>
      <w:r w:rsidRPr="00E915DB">
        <w:t xml:space="preserve">often undetectable by conventional pathology alone, underscores the value of comprehensive NGS panels in selected cases, particularly in refractory or atypical tumors. </w:t>
      </w:r>
      <w:r w:rsidR="00F4447E" w:rsidRPr="00E915DB">
        <w:t>Although</w:t>
      </w:r>
      <w:r w:rsidRPr="00E915DB">
        <w:t xml:space="preserve"> these events occur in </w:t>
      </w:r>
      <w:r w:rsidR="00F4447E" w:rsidRPr="00E915DB">
        <w:t xml:space="preserve">only </w:t>
      </w:r>
      <w:r w:rsidRPr="00E915DB">
        <w:t xml:space="preserve">a small fraction of patients, their detection can dramatically alter clinical management, illustrating how precision oncology can </w:t>
      </w:r>
      <w:r w:rsidR="00F4447E" w:rsidRPr="00E915DB">
        <w:t xml:space="preserve">translate </w:t>
      </w:r>
      <w:r w:rsidRPr="00E915DB">
        <w:t xml:space="preserve">rare molecular findings into meaningful </w:t>
      </w:r>
      <w:r w:rsidR="00941A29" w:rsidRPr="00E915DB">
        <w:t>therapeutic opportunities [</w:t>
      </w:r>
      <w:r w:rsidR="00A4767C" w:rsidRPr="00E915DB">
        <w:t>36,</w:t>
      </w:r>
      <w:r w:rsidR="0093544B" w:rsidRPr="00E915DB">
        <w:t xml:space="preserve"> </w:t>
      </w:r>
      <w:r w:rsidR="00A4767C" w:rsidRPr="00E915DB">
        <w:t>37</w:t>
      </w:r>
      <w:r w:rsidRPr="00E915DB">
        <w:t>].</w:t>
      </w:r>
    </w:p>
    <w:p w14:paraId="1AF59C86" w14:textId="540281C9" w:rsidR="002E2508" w:rsidRPr="00E915DB" w:rsidRDefault="002E2508" w:rsidP="0093544B">
      <w:pPr>
        <w:pStyle w:val="Text"/>
        <w:ind w:firstLine="420"/>
      </w:pPr>
      <w:r w:rsidRPr="00E915DB">
        <w:t xml:space="preserve">Importantly, the incorporation of molecular profiling into cervical cancer management does not diminish the central </w:t>
      </w:r>
      <w:r w:rsidR="00607AB7" w:rsidRPr="00E915DB">
        <w:t xml:space="preserve">role </w:t>
      </w:r>
      <w:r w:rsidRPr="00E915DB">
        <w:t xml:space="preserve">of HPV in </w:t>
      </w:r>
      <w:r w:rsidR="00607AB7" w:rsidRPr="00E915DB">
        <w:t xml:space="preserve">disease </w:t>
      </w:r>
      <w:r w:rsidRPr="00E915DB">
        <w:t xml:space="preserve">pathogenesis; rather, it complements it. HPV-driven carcinogenesis establishes the oncogenic framework, </w:t>
      </w:r>
      <w:r w:rsidR="00607AB7" w:rsidRPr="00E915DB">
        <w:t xml:space="preserve">whereas </w:t>
      </w:r>
      <w:r w:rsidRPr="00E915DB">
        <w:t xml:space="preserve">secondary genomic </w:t>
      </w:r>
      <w:r w:rsidR="00607AB7" w:rsidRPr="00E915DB">
        <w:t xml:space="preserve">alterations </w:t>
      </w:r>
      <w:r w:rsidRPr="00E915DB">
        <w:t xml:space="preserve">contribute to tumor </w:t>
      </w:r>
      <w:r w:rsidR="00607AB7" w:rsidRPr="00E915DB">
        <w:t>progression</w:t>
      </w:r>
      <w:r w:rsidRPr="00E915DB">
        <w:t xml:space="preserve">, </w:t>
      </w:r>
      <w:proofErr w:type="spellStart"/>
      <w:r w:rsidRPr="00E915DB">
        <w:t>intratumoral</w:t>
      </w:r>
      <w:proofErr w:type="spellEnd"/>
      <w:r w:rsidRPr="00E915DB">
        <w:t xml:space="preserve"> heterogeneity, and treatment response. This </w:t>
      </w:r>
      <w:r w:rsidR="00607AB7" w:rsidRPr="00E915DB">
        <w:t>multi</w:t>
      </w:r>
      <w:r w:rsidRPr="00E915DB">
        <w:t xml:space="preserve">layered model of carcinogenesis supports a dual clinical approach: population-level prevention through vaccination and screening, </w:t>
      </w:r>
      <w:r w:rsidR="00607AB7" w:rsidRPr="00E915DB">
        <w:t xml:space="preserve">alongside </w:t>
      </w:r>
      <w:r w:rsidRPr="00E915DB">
        <w:t xml:space="preserve">individualized treatment </w:t>
      </w:r>
      <w:r w:rsidR="00607AB7" w:rsidRPr="00E915DB">
        <w:t xml:space="preserve">guided by </w:t>
      </w:r>
      <w:r w:rsidRPr="00E915DB">
        <w:t>genomic stratification in advanced disease.</w:t>
      </w:r>
    </w:p>
    <w:p w14:paraId="5B827B46" w14:textId="7F39E391" w:rsidR="002E2508" w:rsidRPr="00E915DB" w:rsidRDefault="002E2508" w:rsidP="0093544B">
      <w:pPr>
        <w:pStyle w:val="Text"/>
        <w:ind w:firstLine="420"/>
      </w:pPr>
      <w:r w:rsidRPr="00E915DB">
        <w:t xml:space="preserve">In this regard, precision oncology is progressively entering a field traditionally dominated by preventive strategies. Cervical cancer has long been considered a model of successful cancer prevention rather than targeted therapy. However, for patients with persistent, recurrent, or metastatic </w:t>
      </w:r>
      <w:r w:rsidR="00962AA7" w:rsidRPr="00E915DB">
        <w:t>disease</w:t>
      </w:r>
      <w:r w:rsidR="00607AB7" w:rsidRPr="00E915DB">
        <w:t>,</w:t>
      </w:r>
      <w:r w:rsidR="00962AA7" w:rsidRPr="00E915DB">
        <w:t xml:space="preserve"> particularly</w:t>
      </w:r>
      <w:r w:rsidRPr="00E915DB">
        <w:t xml:space="preserve"> in </w:t>
      </w:r>
      <w:r w:rsidR="00607AB7" w:rsidRPr="00E915DB">
        <w:t xml:space="preserve">contexts </w:t>
      </w:r>
      <w:r w:rsidRPr="00E915DB">
        <w:t xml:space="preserve">where access to early screening is </w:t>
      </w:r>
      <w:r w:rsidR="00962AA7" w:rsidRPr="00E915DB">
        <w:t>limited</w:t>
      </w:r>
      <w:r w:rsidR="00607AB7" w:rsidRPr="00E915DB">
        <w:t>,</w:t>
      </w:r>
      <w:r w:rsidR="00962AA7" w:rsidRPr="00E915DB">
        <w:t xml:space="preserve"> molecularly</w:t>
      </w:r>
      <w:r w:rsidRPr="00E915DB">
        <w:t xml:space="preserve"> guided therapeutic options are becoming increasingly relevant. The integration of NGS into clinical workflows, </w:t>
      </w:r>
      <w:r w:rsidR="00962AA7" w:rsidRPr="00E915DB">
        <w:t>enrolment</w:t>
      </w:r>
      <w:r w:rsidRPr="00E915DB">
        <w:t xml:space="preserve"> in biomarker-driven trials, and adoption of tumor-agnostic treatment paradigms reflec</w:t>
      </w:r>
      <w:r w:rsidR="00941A29" w:rsidRPr="00E915DB">
        <w:t>t this evolving landscape [</w:t>
      </w:r>
      <w:r w:rsidR="00A4767C" w:rsidRPr="00E915DB">
        <w:t>3,</w:t>
      </w:r>
      <w:r w:rsidR="0093544B" w:rsidRPr="00E915DB">
        <w:t xml:space="preserve"> </w:t>
      </w:r>
      <w:r w:rsidR="00D51FC7" w:rsidRPr="00E915DB">
        <w:t xml:space="preserve">38, </w:t>
      </w:r>
      <w:r w:rsidR="00A4767C" w:rsidRPr="00E915DB">
        <w:t>39</w:t>
      </w:r>
      <w:r w:rsidRPr="00E915DB">
        <w:t>].</w:t>
      </w:r>
    </w:p>
    <w:p w14:paraId="37C007EB" w14:textId="189014EB" w:rsidR="002E2508" w:rsidRPr="00E915DB" w:rsidRDefault="002E2508" w:rsidP="0093544B">
      <w:pPr>
        <w:pStyle w:val="Text"/>
        <w:ind w:firstLine="420"/>
      </w:pPr>
      <w:r w:rsidRPr="00E915DB">
        <w:t xml:space="preserve">Thus, cervical carcinoma remains fundamentally HPV-driven, but it is no longer exclusively defined </w:t>
      </w:r>
      <w:r w:rsidR="00607AB7" w:rsidRPr="00E915DB">
        <w:t xml:space="preserve">exclusively </w:t>
      </w:r>
      <w:r w:rsidRPr="00E915DB">
        <w:t xml:space="preserve">by HPV biology. The convergence of viral oncogenesis and somatic genomic alterations positions cervical cancer at the intersection of infectious disease, molecular oncology, and precision medicine. As molecular testing becomes more accessible and therapeutically actionable alterations </w:t>
      </w:r>
      <w:r w:rsidR="00607AB7" w:rsidRPr="00E915DB">
        <w:t xml:space="preserve">become </w:t>
      </w:r>
      <w:r w:rsidRPr="00E915DB">
        <w:t>better characterized, the management of advanced cervical cancer is poised to transition from a largely uniform treatment paradigm to</w:t>
      </w:r>
      <w:r w:rsidR="00607AB7" w:rsidRPr="00E915DB">
        <w:t>ward</w:t>
      </w:r>
      <w:r w:rsidRPr="00E915DB">
        <w:t xml:space="preserve"> a more stratified, biology-informed approach.</w:t>
      </w:r>
    </w:p>
    <w:p w14:paraId="047602E2" w14:textId="1C9A94AD" w:rsidR="00983AEA" w:rsidRPr="00E915DB" w:rsidRDefault="00F74F2C" w:rsidP="0093544B">
      <w:pPr>
        <w:pStyle w:val="Text"/>
        <w:ind w:firstLine="420"/>
      </w:pPr>
      <w:r w:rsidRPr="00E915DB">
        <w:t>These evolving molecular insights are increasingly being incorporated into contemporary clinical frameworks and are reflected in current international guidelines, which emphasize the integration of pathological, molecular, and imaging-derived prognostic factors</w:t>
      </w:r>
      <w:r w:rsidR="00607AB7" w:rsidRPr="00E915DB">
        <w:t xml:space="preserve">, </w:t>
      </w:r>
      <w:r w:rsidRPr="00E915DB">
        <w:t>including HPV status</w:t>
      </w:r>
      <w:r w:rsidR="00607AB7" w:rsidRPr="00E915DB">
        <w:t xml:space="preserve">, </w:t>
      </w:r>
      <w:r w:rsidRPr="00E915DB">
        <w:t>within a multidisciplinary approach to staging and treatment planning in cervical cancer</w:t>
      </w:r>
      <w:r w:rsidR="007C1DEE" w:rsidRPr="00E915DB">
        <w:t xml:space="preserve"> [40].</w:t>
      </w:r>
    </w:p>
    <w:p w14:paraId="76763DD2" w14:textId="71467DF2" w:rsidR="004F22BC" w:rsidRPr="00E915DB" w:rsidRDefault="002E2508" w:rsidP="00D55772">
      <w:pPr>
        <w:pStyle w:val="1"/>
      </w:pPr>
      <w:r w:rsidRPr="00E915DB">
        <w:lastRenderedPageBreak/>
        <w:t>6. Germline Findings and Hereditary Syndromes: An Exp</w:t>
      </w:r>
      <w:r w:rsidR="00DA7EBA" w:rsidRPr="00E915DB">
        <w:t>anding Responsibility</w:t>
      </w:r>
    </w:p>
    <w:p w14:paraId="5B91B225" w14:textId="09EBE37C" w:rsidR="002E2508" w:rsidRPr="00E915DB" w:rsidRDefault="002E2508" w:rsidP="0093544B">
      <w:pPr>
        <w:pStyle w:val="Text"/>
        <w:ind w:firstLine="420"/>
      </w:pPr>
      <w:r w:rsidRPr="00E915DB">
        <w:t>The integration of NGS into routine gynecologic oncology has progressively expanded the clinical relevance of germline findings, transforming hereditary cancer syndromes from niche considerations into central components of diagnostic and therapeutic workflows. Among these, Lynch syndrome and hereditary breast</w:t>
      </w:r>
      <w:r w:rsidR="009340D3" w:rsidRPr="00E915DB">
        <w:t>-</w:t>
      </w:r>
      <w:r w:rsidRPr="00E915DB">
        <w:t xml:space="preserve">ovarian cancer (HBOC) represent the two paradigmatic models through which the impact of inherited susceptibility in gynecologic malignancies is </w:t>
      </w:r>
      <w:r w:rsidR="00607AB7" w:rsidRPr="00E915DB">
        <w:t xml:space="preserve">most clearly </w:t>
      </w:r>
      <w:r w:rsidRPr="00E915DB">
        <w:t xml:space="preserve">understood. Lynch syndrome, caused by germline pathogenic variants in MMR genes (MLH1, MSH2, MSH6, PMS2, and EPCAM), confers a markedly increased lifetime risk of </w:t>
      </w:r>
      <w:r w:rsidR="00810A41" w:rsidRPr="00E915DB">
        <w:t xml:space="preserve">EC </w:t>
      </w:r>
      <w:r w:rsidRPr="00E915DB">
        <w:t>and ovarian carcinoma, often preceding colorectal manifestations. HBOC, primarily associated with germline BRCA1 and BRCA2 mutations, underlies a substantial fraction of high-grade serous ovarian carcinomas and carries well-established implications for risk-reducing strate</w:t>
      </w:r>
      <w:r w:rsidR="00941A29" w:rsidRPr="00E915DB">
        <w:t>gies and targeted therapy [</w:t>
      </w:r>
      <w:r w:rsidR="00BB72F6" w:rsidRPr="00E915DB">
        <w:t>41,</w:t>
      </w:r>
      <w:r w:rsidR="00C83803" w:rsidRPr="00E915DB">
        <w:t xml:space="preserve"> </w:t>
      </w:r>
      <w:r w:rsidR="00BB72F6" w:rsidRPr="00E915DB">
        <w:t>42</w:t>
      </w:r>
      <w:r w:rsidRPr="00E915DB">
        <w:t xml:space="preserve">]. These syndromes exemplify how constitutional genomic alterations </w:t>
      </w:r>
      <w:r w:rsidR="000F088A" w:rsidRPr="00E915DB">
        <w:t xml:space="preserve">influence </w:t>
      </w:r>
      <w:r w:rsidRPr="00E915DB">
        <w:t xml:space="preserve">tumor biology, clinical management, and familial </w:t>
      </w:r>
      <w:r w:rsidR="000F088A" w:rsidRPr="00E915DB">
        <w:t xml:space="preserve">cancer </w:t>
      </w:r>
      <w:r w:rsidRPr="00E915DB">
        <w:t>risk across generations.</w:t>
      </w:r>
    </w:p>
    <w:p w14:paraId="7F6C2ED2" w14:textId="0A71EC68" w:rsidR="002E2508" w:rsidRPr="00E915DB" w:rsidRDefault="002E2508" w:rsidP="0093544B">
      <w:pPr>
        <w:pStyle w:val="Text"/>
        <w:ind w:firstLine="420"/>
      </w:pPr>
      <w:r w:rsidRPr="00E915DB">
        <w:t xml:space="preserve">The increasing adoption of comprehensive somatic tumor profiling has further blurred the traditional </w:t>
      </w:r>
      <w:r w:rsidR="000F088A" w:rsidRPr="00E915DB">
        <w:t xml:space="preserve">distinction </w:t>
      </w:r>
      <w:r w:rsidRPr="00E915DB">
        <w:t xml:space="preserve">between somatic and germline testing. In contemporary </w:t>
      </w:r>
      <w:r w:rsidR="000F088A" w:rsidRPr="00E915DB">
        <w:t xml:space="preserve">clinical </w:t>
      </w:r>
      <w:r w:rsidRPr="00E915DB">
        <w:t xml:space="preserve">practice, tumor-based NGS frequently identifies alterations in genes classically associated with hereditary syndromes, </w:t>
      </w:r>
      <w:r w:rsidR="000F088A" w:rsidRPr="00E915DB">
        <w:t>including</w:t>
      </w:r>
      <w:r w:rsidRPr="00E915DB">
        <w:t xml:space="preserve"> BRCA1/2 or MMR genes. In this context, somatic testing often </w:t>
      </w:r>
      <w:r w:rsidR="000F088A" w:rsidRPr="00E915DB">
        <w:t xml:space="preserve">serves </w:t>
      </w:r>
      <w:r w:rsidRPr="00E915DB">
        <w:t>as a</w:t>
      </w:r>
      <w:r w:rsidR="000F088A" w:rsidRPr="00E915DB">
        <w:t>n initial indicator</w:t>
      </w:r>
      <w:r w:rsidRPr="00E915DB">
        <w:t xml:space="preserve"> </w:t>
      </w:r>
      <w:r w:rsidR="000F088A" w:rsidRPr="00E915DB">
        <w:t xml:space="preserve">of potential </w:t>
      </w:r>
      <w:r w:rsidRPr="00E915DB">
        <w:t xml:space="preserve">germline </w:t>
      </w:r>
      <w:r w:rsidR="000F088A" w:rsidRPr="00E915DB">
        <w:t>predisposition</w:t>
      </w:r>
      <w:r w:rsidRPr="00E915DB">
        <w:t xml:space="preserve">. Detection of MMR deficiency or pathogenic variants in BRCA1/2 </w:t>
      </w:r>
      <w:r w:rsidR="000F088A" w:rsidRPr="00E915DB">
        <w:t xml:space="preserve">in </w:t>
      </w:r>
      <w:r w:rsidRPr="00E915DB">
        <w:t xml:space="preserve">tumor tissue should prompt consideration of constitutional testing, particularly in the absence of clear sporadic mechanisms such as MLH1 promoter methylation. </w:t>
      </w:r>
      <w:r w:rsidR="000F088A" w:rsidRPr="00E915DB">
        <w:t>Accordingly</w:t>
      </w:r>
      <w:r w:rsidRPr="00E915DB">
        <w:t xml:space="preserve">, molecular </w:t>
      </w:r>
      <w:r w:rsidR="003E51D4" w:rsidRPr="00E915DB">
        <w:t xml:space="preserve">tumor </w:t>
      </w:r>
      <w:r w:rsidRPr="00E915DB">
        <w:t xml:space="preserve">characterization </w:t>
      </w:r>
      <w:r w:rsidR="003E51D4" w:rsidRPr="00E915DB">
        <w:t xml:space="preserve">serves </w:t>
      </w:r>
      <w:r w:rsidRPr="00E915DB">
        <w:t xml:space="preserve">not only </w:t>
      </w:r>
      <w:r w:rsidR="003E51D4" w:rsidRPr="00E915DB">
        <w:t xml:space="preserve">as </w:t>
      </w:r>
      <w:r w:rsidRPr="00E915DB">
        <w:t xml:space="preserve">a tool for therapeutic stratification but also </w:t>
      </w:r>
      <w:r w:rsidR="003E51D4" w:rsidRPr="00E915DB">
        <w:t xml:space="preserve">as </w:t>
      </w:r>
      <w:r w:rsidRPr="00E915DB">
        <w:t xml:space="preserve">a potential trigger for genetic </w:t>
      </w:r>
      <w:r w:rsidR="00962AA7" w:rsidRPr="00E915DB">
        <w:t>counselling</w:t>
      </w:r>
      <w:r w:rsidRPr="00E915DB">
        <w:t xml:space="preserve"> and cascade testing. This paradigm shift underscores the </w:t>
      </w:r>
      <w:r w:rsidR="003E51D4" w:rsidRPr="00E915DB">
        <w:t xml:space="preserve">importance </w:t>
      </w:r>
      <w:r w:rsidRPr="00E915DB">
        <w:t xml:space="preserve">of interpreting tumor genomic findings within a broader hereditary </w:t>
      </w:r>
      <w:r w:rsidR="003E51D4" w:rsidRPr="00E915DB">
        <w:t>context</w:t>
      </w:r>
      <w:r w:rsidRPr="00E915DB">
        <w:t xml:space="preserve">, recognizing that somatic data </w:t>
      </w:r>
      <w:r w:rsidR="003E51D4" w:rsidRPr="00E915DB">
        <w:t xml:space="preserve">alterations may </w:t>
      </w:r>
      <w:r w:rsidRPr="00E915DB">
        <w:t>reveal</w:t>
      </w:r>
      <w:r w:rsidR="003E51D4" w:rsidRPr="00E915DB">
        <w:t xml:space="preserve"> previously</w:t>
      </w:r>
      <w:r w:rsidRPr="00E915DB">
        <w:t xml:space="preserve"> unsuspected inherited susceptibility.</w:t>
      </w:r>
    </w:p>
    <w:p w14:paraId="744D3861" w14:textId="495C7360" w:rsidR="002E2508" w:rsidRPr="00E915DB" w:rsidRDefault="002E2508" w:rsidP="0093544B">
      <w:pPr>
        <w:pStyle w:val="Text"/>
        <w:ind w:firstLine="420"/>
      </w:pPr>
      <w:r w:rsidRPr="00E915DB">
        <w:t xml:space="preserve">Within this evolving landscape, the pathology report assumes a role that </w:t>
      </w:r>
      <w:r w:rsidR="00A30445" w:rsidRPr="00E915DB">
        <w:t xml:space="preserve">extends beyond </w:t>
      </w:r>
      <w:r w:rsidRPr="00E915DB">
        <w:t xml:space="preserve">traditional morphologic diagnosis. The identification of molecular alterations suggestive of a hereditary syndrome </w:t>
      </w:r>
      <w:r w:rsidR="00A30445" w:rsidRPr="00E915DB">
        <w:t xml:space="preserve">transforms </w:t>
      </w:r>
      <w:r w:rsidRPr="00E915DB">
        <w:t xml:space="preserve">the report </w:t>
      </w:r>
      <w:r w:rsidR="00A30445" w:rsidRPr="00E915DB">
        <w:t xml:space="preserve">into both </w:t>
      </w:r>
      <w:r w:rsidRPr="00E915DB">
        <w:t xml:space="preserve">a clinical and familial </w:t>
      </w:r>
      <w:r w:rsidR="00A30445" w:rsidRPr="00E915DB">
        <w:t>instrument</w:t>
      </w:r>
      <w:r w:rsidRPr="00E915DB">
        <w:t xml:space="preserve">. When MMR deficiency, a pathogenic BRCA mutation, or other alterations </w:t>
      </w:r>
      <w:r w:rsidR="00A30445" w:rsidRPr="00E915DB">
        <w:t xml:space="preserve">associated </w:t>
      </w:r>
      <w:r w:rsidRPr="00E915DB">
        <w:t>with inherited predisposition</w:t>
      </w:r>
      <w:r w:rsidR="00A30445" w:rsidRPr="00E915DB">
        <w:t xml:space="preserve"> are identified</w:t>
      </w:r>
      <w:r w:rsidRPr="00E915DB">
        <w:t xml:space="preserve">, the implications extend beyond the individual patient to </w:t>
      </w:r>
      <w:r w:rsidR="00A30445" w:rsidRPr="00E915DB">
        <w:t xml:space="preserve">include </w:t>
      </w:r>
      <w:r w:rsidRPr="00E915DB">
        <w:t xml:space="preserve">at-risk relatives. The pathology report thus becomes a pivotal interface between diagnostic pathology, oncology, and clinical genetics, guiding referral to genetic </w:t>
      </w:r>
      <w:r w:rsidR="00962AA7" w:rsidRPr="00E915DB">
        <w:t>counselling</w:t>
      </w:r>
      <w:r w:rsidRPr="00E915DB">
        <w:t xml:space="preserve"> services and informing preventive interventions such as intensified surveillance </w:t>
      </w:r>
      <w:r w:rsidR="00A30445" w:rsidRPr="00E915DB">
        <w:t xml:space="preserve">and </w:t>
      </w:r>
      <w:r w:rsidRPr="00E915DB">
        <w:t xml:space="preserve">risk-reducing surgery. </w:t>
      </w:r>
      <w:r w:rsidR="00A30445" w:rsidRPr="00E915DB">
        <w:t xml:space="preserve">Accordingly, the </w:t>
      </w:r>
      <w:r w:rsidRPr="00E915DB">
        <w:t xml:space="preserve">structured and standardized </w:t>
      </w:r>
      <w:r w:rsidR="000465EF" w:rsidRPr="00E915DB">
        <w:t xml:space="preserve">integration </w:t>
      </w:r>
      <w:r w:rsidRPr="00E915DB">
        <w:t>of molecular findings in</w:t>
      </w:r>
      <w:r w:rsidR="000465EF" w:rsidRPr="00E915DB">
        <w:t>to</w:t>
      </w:r>
      <w:r w:rsidRPr="00E915DB">
        <w:t xml:space="preserve"> pathology </w:t>
      </w:r>
      <w:r w:rsidR="000465EF" w:rsidRPr="00E915DB">
        <w:t xml:space="preserve">reports </w:t>
      </w:r>
      <w:r w:rsidRPr="00E915DB">
        <w:t>is essential to ensure that potentially heritable alterations are neither overlooked nor inadequately cont</w:t>
      </w:r>
      <w:r w:rsidR="00941A29" w:rsidRPr="00E915DB">
        <w:t>extualized [</w:t>
      </w:r>
      <w:r w:rsidR="0051747B" w:rsidRPr="00E915DB">
        <w:t>41,</w:t>
      </w:r>
      <w:r w:rsidR="0093544B" w:rsidRPr="00E915DB">
        <w:t xml:space="preserve"> </w:t>
      </w:r>
      <w:r w:rsidR="0051747B" w:rsidRPr="00E915DB">
        <w:t>42</w:t>
      </w:r>
      <w:r w:rsidRPr="00E915DB">
        <w:t>].</w:t>
      </w:r>
    </w:p>
    <w:p w14:paraId="16C56EF4" w14:textId="27134DE9" w:rsidR="008F3C15" w:rsidRPr="00E915DB" w:rsidRDefault="008F3C15" w:rsidP="0093544B">
      <w:pPr>
        <w:pStyle w:val="Text"/>
        <w:ind w:firstLine="420"/>
      </w:pPr>
      <w:r w:rsidRPr="00E915DB">
        <w:t xml:space="preserve">Beyond Lynch syndrome and HBOC, the spectrum of hereditary gynecologic cancer predisposition is broader and biologically more heterogeneous than </w:t>
      </w:r>
      <w:r w:rsidR="00875AAD" w:rsidRPr="00E915DB">
        <w:t xml:space="preserve">previously </w:t>
      </w:r>
      <w:r w:rsidRPr="00E915DB">
        <w:t xml:space="preserve">appreciated. The widespread adoption of multigene panel testing has demonstrated that a substantial proportion of pathogenic variants occur in genes outside the classical BRCA1/2 and </w:t>
      </w:r>
      <w:r w:rsidR="00CD4D35" w:rsidRPr="00E915DB">
        <w:t>MMR</w:t>
      </w:r>
      <w:r w:rsidRPr="00E915DB">
        <w:t xml:space="preserve"> pathways, highlighting the limitations of syndrome-restricted approaches and supporting a more comprehensive evaluation of hereditary </w:t>
      </w:r>
      <w:r w:rsidR="00875AAD" w:rsidRPr="00E915DB">
        <w:t xml:space="preserve">cancer </w:t>
      </w:r>
      <w:r w:rsidRPr="00E915DB">
        <w:t>risk</w:t>
      </w:r>
      <w:r w:rsidR="008D7829" w:rsidRPr="00E915DB">
        <w:t xml:space="preserve"> [42].</w:t>
      </w:r>
    </w:p>
    <w:p w14:paraId="2F3E4B47" w14:textId="7D088C90" w:rsidR="008F3C15" w:rsidRPr="00E915DB" w:rsidRDefault="008F3C15" w:rsidP="0093544B">
      <w:pPr>
        <w:pStyle w:val="Text"/>
        <w:ind w:firstLine="420"/>
      </w:pPr>
      <w:r w:rsidRPr="00E915DB">
        <w:t xml:space="preserve">Among these conditions, </w:t>
      </w:r>
      <w:proofErr w:type="spellStart"/>
      <w:r w:rsidR="00962AA7" w:rsidRPr="00E915DB">
        <w:t>Puetz</w:t>
      </w:r>
      <w:proofErr w:type="spellEnd"/>
      <w:r w:rsidRPr="00E915DB">
        <w:t>–</w:t>
      </w:r>
      <w:proofErr w:type="spellStart"/>
      <w:r w:rsidRPr="00E915DB">
        <w:t>Jeghers</w:t>
      </w:r>
      <w:proofErr w:type="spellEnd"/>
      <w:r w:rsidRPr="00E915DB">
        <w:t xml:space="preserve"> syndrome, caused by germline mutations in STK11/LKB1, represents a paradigmatic example of a non-BRCA hereditary syndrome with significant gynecologic implications. This disorder is associated with a distinctive spectrum of tumors involving the female genital tract, including ovarian sex cord tumors with annular tubules, minimal deviation </w:t>
      </w:r>
      <w:r w:rsidR="0051088B" w:rsidRPr="00E915DB">
        <w:t xml:space="preserve">ADC </w:t>
      </w:r>
      <w:r w:rsidRPr="00E915DB">
        <w:t xml:space="preserve">of the cervix, and, less consistently, </w:t>
      </w:r>
      <w:r w:rsidR="00810A41" w:rsidRPr="00E915DB">
        <w:t>EC</w:t>
      </w:r>
      <w:r w:rsidRPr="00E915DB">
        <w:t xml:space="preserve">. In addition, </w:t>
      </w:r>
      <w:r w:rsidR="00875AAD" w:rsidRPr="00E915DB">
        <w:t xml:space="preserve">precursor </w:t>
      </w:r>
      <w:r w:rsidRPr="00E915DB">
        <w:t xml:space="preserve">lesions </w:t>
      </w:r>
      <w:r w:rsidRPr="00E915DB">
        <w:lastRenderedPageBreak/>
        <w:t>such as lobular endocervical glandular hyperplasia have been described in association with STK11 alterations, further supporting a pathogenetic link between this syndrome and cervical neoplasia</w:t>
      </w:r>
      <w:r w:rsidR="00AC3CB3" w:rsidRPr="00E915DB">
        <w:t xml:space="preserve"> [43]</w:t>
      </w:r>
      <w:r w:rsidRPr="00E915DB">
        <w:t>.</w:t>
      </w:r>
    </w:p>
    <w:p w14:paraId="03DAA4F5" w14:textId="2F15B7D1" w:rsidR="008F3C15" w:rsidRPr="00E915DB" w:rsidRDefault="008F3C15" w:rsidP="0093544B">
      <w:pPr>
        <w:pStyle w:val="Text"/>
        <w:ind w:firstLine="420"/>
      </w:pPr>
      <w:r w:rsidRPr="00E915DB">
        <w:t xml:space="preserve">More broadly, </w:t>
      </w:r>
      <w:r w:rsidR="00875AAD" w:rsidRPr="00E915DB">
        <w:t xml:space="preserve">additional </w:t>
      </w:r>
      <w:r w:rsidRPr="00E915DB">
        <w:t xml:space="preserve">non-BRCA hereditary syndromes, including Cowden syndrome (PTEN), </w:t>
      </w:r>
      <w:proofErr w:type="spellStart"/>
      <w:r w:rsidRPr="00E915DB">
        <w:t>Gorlin</w:t>
      </w:r>
      <w:proofErr w:type="spellEnd"/>
      <w:r w:rsidRPr="00E915DB">
        <w:t xml:space="preserve"> syndrome (PTCH1), and hereditary </w:t>
      </w:r>
      <w:proofErr w:type="spellStart"/>
      <w:r w:rsidRPr="00E915DB">
        <w:t>leiomyomatosis</w:t>
      </w:r>
      <w:proofErr w:type="spellEnd"/>
      <w:r w:rsidRPr="00E915DB">
        <w:t xml:space="preserve"> and renal cell cancer (HLRCC</w:t>
      </w:r>
      <w:r w:rsidR="00875AAD" w:rsidRPr="00E915DB">
        <w:t>;</w:t>
      </w:r>
      <w:r w:rsidRPr="00E915DB">
        <w:t xml:space="preserve"> FH), may also involve the female genital tract, contributing to a wider and more complex landscape of inherited gynecologic cancer susceptibility</w:t>
      </w:r>
      <w:r w:rsidR="00845DA9" w:rsidRPr="00E915DB">
        <w:t xml:space="preserve"> [41]</w:t>
      </w:r>
      <w:r w:rsidRPr="00E915DB">
        <w:t xml:space="preserve">. Although individually rare, these conditions are clinically relevant, particularly in the context of expanded genomic testing, </w:t>
      </w:r>
      <w:r w:rsidR="00875AAD" w:rsidRPr="00E915DB">
        <w:t xml:space="preserve">in which </w:t>
      </w:r>
      <w:r w:rsidRPr="00E915DB">
        <w:t>pathogenic variants may be identified in patients who do not meet traditional clinical criteria for established hereditary syndromes.</w:t>
      </w:r>
    </w:p>
    <w:p w14:paraId="7C27D6CB" w14:textId="0F7DB8DF" w:rsidR="005735E0" w:rsidRPr="00E915DB" w:rsidRDefault="008F3C15" w:rsidP="0093544B">
      <w:pPr>
        <w:pStyle w:val="Text"/>
        <w:ind w:firstLine="420"/>
      </w:pPr>
      <w:r w:rsidRPr="00E915DB">
        <w:t>Collectively, these observations underscore the need to move beyond a limited syndrome-</w:t>
      </w:r>
      <w:r w:rsidR="00962AA7" w:rsidRPr="00E915DB">
        <w:t>cent</w:t>
      </w:r>
      <w:r w:rsidR="00875AAD" w:rsidRPr="00E915DB">
        <w:t>ere</w:t>
      </w:r>
      <w:r w:rsidR="00962AA7" w:rsidRPr="00E915DB">
        <w:t>d</w:t>
      </w:r>
      <w:r w:rsidRPr="00E915DB">
        <w:t xml:space="preserve"> framework toward a more integrative and gene-agnostic approach to germline evaluation, in which hereditary cancer risk is interpreted within a broader genomic and clinical context.</w:t>
      </w:r>
    </w:p>
    <w:p w14:paraId="5178D873" w14:textId="7BC47D2A" w:rsidR="002E2508" w:rsidRPr="00E915DB" w:rsidRDefault="002E2508" w:rsidP="0093544B">
      <w:pPr>
        <w:pStyle w:val="Text"/>
        <w:ind w:firstLine="420"/>
      </w:pPr>
      <w:r w:rsidRPr="00E915DB">
        <w:t xml:space="preserve">This expanded responsibility is accompanied by significant ethical and interpretive challenges. The identification of VUS </w:t>
      </w:r>
      <w:r w:rsidR="00875AAD" w:rsidRPr="00E915DB">
        <w:t xml:space="preserve">through </w:t>
      </w:r>
      <w:r w:rsidRPr="00E915DB">
        <w:t xml:space="preserve">multigene panel </w:t>
      </w:r>
      <w:r w:rsidR="00875AAD" w:rsidRPr="00E915DB">
        <w:t xml:space="preserve">testing </w:t>
      </w:r>
      <w:r w:rsidRPr="00E915DB">
        <w:t xml:space="preserve">requires cautious interpretation </w:t>
      </w:r>
      <w:r w:rsidR="00875AAD" w:rsidRPr="00E915DB">
        <w:t xml:space="preserve">to </w:t>
      </w:r>
      <w:r w:rsidRPr="00E915DB">
        <w:t xml:space="preserve">avoid both </w:t>
      </w:r>
      <w:r w:rsidR="00875AAD" w:rsidRPr="00E915DB">
        <w:t xml:space="preserve">overestimation </w:t>
      </w:r>
      <w:r w:rsidRPr="00E915DB">
        <w:t xml:space="preserve">and </w:t>
      </w:r>
      <w:proofErr w:type="spellStart"/>
      <w:r w:rsidRPr="00E915DB">
        <w:t>underrecognition</w:t>
      </w:r>
      <w:proofErr w:type="spellEnd"/>
      <w:r w:rsidRPr="00E915DB">
        <w:t xml:space="preserve"> of potential hereditary risk. Moreover, incidental or secondary germline findings detected during tumor profiling raise complex questions regarding disclosure, informed consent, and the </w:t>
      </w:r>
      <w:r w:rsidR="00590155" w:rsidRPr="00E915DB">
        <w:t>responsibility</w:t>
      </w:r>
      <w:r w:rsidR="00875AAD" w:rsidRPr="00E915DB">
        <w:t xml:space="preserve"> </w:t>
      </w:r>
      <w:r w:rsidRPr="00E915DB">
        <w:t xml:space="preserve">to recontact patients as variant classifications evolve. </w:t>
      </w:r>
      <w:r w:rsidR="00590155" w:rsidRPr="00E915DB">
        <w:t>P</w:t>
      </w:r>
      <w:r w:rsidRPr="00E915DB">
        <w:t>athologist</w:t>
      </w:r>
      <w:r w:rsidR="00590155" w:rsidRPr="00E915DB">
        <w:t>s</w:t>
      </w:r>
      <w:r w:rsidRPr="00E915DB">
        <w:t xml:space="preserve"> must navigate these </w:t>
      </w:r>
      <w:r w:rsidR="00590155" w:rsidRPr="00E915DB">
        <w:t xml:space="preserve">challenges </w:t>
      </w:r>
      <w:r w:rsidRPr="00E915DB">
        <w:t xml:space="preserve">in close collaboration with genetic </w:t>
      </w:r>
      <w:r w:rsidR="00962AA7" w:rsidRPr="00E915DB">
        <w:t>counsellors</w:t>
      </w:r>
      <w:r w:rsidRPr="00E915DB">
        <w:t xml:space="preserve"> and treating clinicians, ensuring that molecular </w:t>
      </w:r>
      <w:r w:rsidR="00590155" w:rsidRPr="00E915DB">
        <w:t xml:space="preserve">findings </w:t>
      </w:r>
      <w:r w:rsidRPr="00E915DB">
        <w:t>are communicated accurately, responsibly, and within established ethical frameworks.</w:t>
      </w:r>
    </w:p>
    <w:p w14:paraId="62810261" w14:textId="52EA9475" w:rsidR="00F6122E" w:rsidRPr="00E915DB" w:rsidRDefault="002E2508" w:rsidP="0093544B">
      <w:pPr>
        <w:pStyle w:val="Text"/>
        <w:ind w:firstLine="420"/>
      </w:pPr>
      <w:r w:rsidRPr="00E915DB">
        <w:t xml:space="preserve">In this context, NGS has not merely enhanced diagnostic precision; it has redefined the scope of professional accountability in gynecologic pathology. Germline findings, whether directly identified or indirectly suspected through somatic analysis, </w:t>
      </w:r>
      <w:r w:rsidR="00352E60" w:rsidRPr="00E915DB">
        <w:t xml:space="preserve">require </w:t>
      </w:r>
      <w:r w:rsidRPr="00E915DB">
        <w:t xml:space="preserve">an integrated approach that bridges molecular diagnostics, clinical management, and familial risk assessment. Lynch syndrome and HBOC serve as </w:t>
      </w:r>
      <w:r w:rsidR="00352E60" w:rsidRPr="00E915DB">
        <w:t xml:space="preserve">notable </w:t>
      </w:r>
      <w:r w:rsidRPr="00E915DB">
        <w:t xml:space="preserve">examples of this transformation, illustrating how the expanding capabilities of genomic technologies have simultaneously broadened </w:t>
      </w:r>
      <w:r w:rsidR="00352E60" w:rsidRPr="00E915DB">
        <w:t xml:space="preserve">both </w:t>
      </w:r>
      <w:r w:rsidRPr="00E915DB">
        <w:t xml:space="preserve">the scientific </w:t>
      </w:r>
      <w:r w:rsidR="00352E60" w:rsidRPr="00E915DB">
        <w:t xml:space="preserve">scope </w:t>
      </w:r>
      <w:r w:rsidRPr="00E915DB">
        <w:t xml:space="preserve">and the ethical </w:t>
      </w:r>
      <w:r w:rsidR="00352E60" w:rsidRPr="00E915DB">
        <w:t>responsibilities of modern pathology practice</w:t>
      </w:r>
      <w:r w:rsidR="00962AA7" w:rsidRPr="00E915DB">
        <w:t>.</w:t>
      </w:r>
    </w:p>
    <w:p w14:paraId="4A7A3C79" w14:textId="61F473DC" w:rsidR="00983AEA" w:rsidRPr="00E915DB" w:rsidRDefault="00DF4C4E" w:rsidP="0093544B">
      <w:pPr>
        <w:pStyle w:val="Text"/>
        <w:ind w:firstLine="420"/>
      </w:pPr>
      <w:r w:rsidRPr="00E915DB">
        <w:t>This expanding landscape has important implications for training, multidisciplinary collaboration</w:t>
      </w:r>
      <w:r w:rsidR="001047E3" w:rsidRPr="00E915DB">
        <w:t>s</w:t>
      </w:r>
      <w:r w:rsidRPr="00E915DB">
        <w:t xml:space="preserve">, and reporting standards in modern pathology practice. The increasing complexity of molecular data requires integrated expertise </w:t>
      </w:r>
      <w:r w:rsidR="001047E3" w:rsidRPr="00E915DB">
        <w:t xml:space="preserve">not only </w:t>
      </w:r>
      <w:r w:rsidRPr="00E915DB">
        <w:t xml:space="preserve">in genomic technologies </w:t>
      </w:r>
      <w:r w:rsidR="001047E3" w:rsidRPr="00E915DB">
        <w:t xml:space="preserve">but also </w:t>
      </w:r>
      <w:r w:rsidRPr="00E915DB">
        <w:t xml:space="preserve">in the interpretation of molecular, morphologic, and clinical information. Effective management of germline findings relies on close collaboration </w:t>
      </w:r>
      <w:r w:rsidR="006303F2" w:rsidRPr="00E915DB">
        <w:t xml:space="preserve">among </w:t>
      </w:r>
      <w:r w:rsidRPr="00E915DB">
        <w:t>multidisciplinary teams</w:t>
      </w:r>
      <w:r w:rsidR="006303F2" w:rsidRPr="00E915DB">
        <w:t>,</w:t>
      </w:r>
      <w:r w:rsidR="00E32DC3" w:rsidRPr="00E915DB">
        <w:t xml:space="preserve"> </w:t>
      </w:r>
      <w:r w:rsidRPr="00E915DB">
        <w:t xml:space="preserve">including oncologists, genetic </w:t>
      </w:r>
      <w:r w:rsidR="00962AA7" w:rsidRPr="00E915DB">
        <w:t>counselors</w:t>
      </w:r>
      <w:r w:rsidRPr="00E915DB">
        <w:t>, and surgeons</w:t>
      </w:r>
      <w:r w:rsidR="006303F2" w:rsidRPr="00E915DB">
        <w:t>,</w:t>
      </w:r>
      <w:r w:rsidR="00E32DC3" w:rsidRPr="00E915DB">
        <w:t xml:space="preserve"> </w:t>
      </w:r>
      <w:r w:rsidRPr="00E915DB">
        <w:t xml:space="preserve">to ensure appropriate patient referral, risk assessment, and follow-up. At the same time, the growing clinical and familial implications of molecular </w:t>
      </w:r>
      <w:r w:rsidR="006303F2" w:rsidRPr="00E915DB">
        <w:t xml:space="preserve">findings </w:t>
      </w:r>
      <w:r w:rsidRPr="00E915DB">
        <w:t xml:space="preserve">highlight the need for standardized and structured reporting frameworks capable of clearly conveying both diagnostic and hereditary significance. Overall, these developments underscore a </w:t>
      </w:r>
      <w:r w:rsidR="006303F2" w:rsidRPr="00E915DB">
        <w:t xml:space="preserve">transition </w:t>
      </w:r>
      <w:r w:rsidRPr="00E915DB">
        <w:t xml:space="preserve">toward a more integrated, </w:t>
      </w:r>
      <w:r w:rsidR="006303F2" w:rsidRPr="00E915DB">
        <w:t>multidisciplinary</w:t>
      </w:r>
      <w:r w:rsidRPr="00E915DB">
        <w:t xml:space="preserve"> approach to patient care in precision </w:t>
      </w:r>
      <w:r w:rsidR="00962AA7" w:rsidRPr="00E915DB">
        <w:t>oncology</w:t>
      </w:r>
      <w:r w:rsidR="003715C1" w:rsidRPr="00E915DB">
        <w:t>.</w:t>
      </w:r>
    </w:p>
    <w:p w14:paraId="61FF52A9" w14:textId="7A0DAA84" w:rsidR="004F22BC" w:rsidRPr="00E915DB" w:rsidRDefault="00D13531" w:rsidP="0093544B">
      <w:pPr>
        <w:pStyle w:val="1"/>
      </w:pPr>
      <w:r w:rsidRPr="00E915DB">
        <w:t>7. Beyond Tissue: Liquid Biopsy, Digital Patholo</w:t>
      </w:r>
      <w:r w:rsidR="00DA7EBA" w:rsidRPr="00E915DB">
        <w:t xml:space="preserve">gy, and </w:t>
      </w:r>
      <w:r w:rsidR="006303F2" w:rsidRPr="00E915DB">
        <w:t>AI</w:t>
      </w:r>
    </w:p>
    <w:p w14:paraId="1B130B8B" w14:textId="27EA409A" w:rsidR="004F22BC" w:rsidRPr="00E915DB" w:rsidRDefault="00B11DE5" w:rsidP="0093544B">
      <w:pPr>
        <w:pStyle w:val="Text"/>
        <w:ind w:firstLine="420"/>
      </w:pPr>
      <w:r w:rsidRPr="00E915DB">
        <w:t xml:space="preserve">NGS has </w:t>
      </w:r>
      <w:r w:rsidR="009340D3" w:rsidRPr="00E915DB">
        <w:t xml:space="preserve">been </w:t>
      </w:r>
      <w:r w:rsidRPr="00E915DB">
        <w:t xml:space="preserve">established as a foundational tool in the molecular profiling of gynecologic cancers. Looking </w:t>
      </w:r>
      <w:r w:rsidR="006303F2" w:rsidRPr="00E915DB">
        <w:t>forward</w:t>
      </w:r>
      <w:r w:rsidRPr="00E915DB">
        <w:t xml:space="preserve">, a more refined, integrated, and minimally invasive approach to cancer diagnostics and treatment is emerging. Innovations such as liquid biopsy, AI, digital pathology, and multi-omics are set to </w:t>
      </w:r>
      <w:r w:rsidR="006303F2" w:rsidRPr="00E915DB">
        <w:t xml:space="preserve">further </w:t>
      </w:r>
      <w:r w:rsidRPr="00E915DB">
        <w:t xml:space="preserve">reshape personalized medicine and precision oncology in </w:t>
      </w:r>
      <w:r w:rsidR="006303F2" w:rsidRPr="00E915DB">
        <w:t>gynecologic oncology</w:t>
      </w:r>
      <w:r w:rsidRPr="00E915DB">
        <w:t>.</w:t>
      </w:r>
    </w:p>
    <w:p w14:paraId="510D8969" w14:textId="60BD2F35" w:rsidR="00B11DE5" w:rsidRPr="00E915DB" w:rsidRDefault="006F1B5B" w:rsidP="0093544B">
      <w:pPr>
        <w:pStyle w:val="2"/>
      </w:pPr>
      <w:r w:rsidRPr="00E915DB">
        <w:lastRenderedPageBreak/>
        <w:t>7</w:t>
      </w:r>
      <w:r w:rsidR="00B11DE5" w:rsidRPr="00E915DB">
        <w:t xml:space="preserve">.1 Liquid Biopsy and </w:t>
      </w:r>
      <w:r w:rsidR="004F2679" w:rsidRPr="00E915DB">
        <w:t>ctDNA</w:t>
      </w:r>
    </w:p>
    <w:p w14:paraId="0F5D6434" w14:textId="2B69C81A" w:rsidR="00B11DE5" w:rsidRPr="00E915DB" w:rsidRDefault="006F1B5B" w:rsidP="0093544B">
      <w:pPr>
        <w:pStyle w:val="3"/>
      </w:pPr>
      <w:r w:rsidRPr="00E915DB">
        <w:t>7</w:t>
      </w:r>
      <w:r w:rsidR="00B11DE5" w:rsidRPr="00E915DB">
        <w:t>.1.1 Overview and Mechanism</w:t>
      </w:r>
    </w:p>
    <w:p w14:paraId="1C25E94A" w14:textId="2BC28ACF" w:rsidR="00B11DE5" w:rsidRPr="00E915DB" w:rsidRDefault="00B11DE5" w:rsidP="0093544B">
      <w:pPr>
        <w:pStyle w:val="Text"/>
        <w:ind w:firstLine="420"/>
      </w:pPr>
      <w:r w:rsidRPr="00E915DB">
        <w:t xml:space="preserve">Liquid biopsy represents a minimally invasive approach to tumor genomic assessment through the analysis of circulating tumor-derived material in body fluids, most commonly blood. </w:t>
      </w:r>
      <w:r w:rsidR="004F2679" w:rsidRPr="00E915DB">
        <w:t xml:space="preserve">Although </w:t>
      </w:r>
      <w:r w:rsidRPr="00E915DB">
        <w:t xml:space="preserve">primarily </w:t>
      </w:r>
      <w:r w:rsidR="004F2679" w:rsidRPr="00E915DB">
        <w:t xml:space="preserve">focused </w:t>
      </w:r>
      <w:r w:rsidRPr="00E915DB">
        <w:t xml:space="preserve">on </w:t>
      </w:r>
      <w:proofErr w:type="spellStart"/>
      <w:r w:rsidRPr="00E915DB">
        <w:t>ctDNA</w:t>
      </w:r>
      <w:proofErr w:type="spellEnd"/>
      <w:r w:rsidR="004F2679" w:rsidRPr="00E915DB">
        <w:t>,</w:t>
      </w:r>
      <w:r w:rsidRPr="00E915DB">
        <w:t xml:space="preserve"> </w:t>
      </w:r>
      <w:r w:rsidR="004F2679" w:rsidRPr="00E915DB">
        <w:t xml:space="preserve">liquid biopsy </w:t>
      </w:r>
      <w:r w:rsidRPr="00E915DB">
        <w:t xml:space="preserve">may also include circulating tumor cells (CTCs), exosomes, and other tumor-associated biomarkers. In gynecologic malignancies, </w:t>
      </w:r>
      <w:proofErr w:type="spellStart"/>
      <w:r w:rsidRPr="00E915DB">
        <w:t>ctDNA</w:t>
      </w:r>
      <w:proofErr w:type="spellEnd"/>
      <w:r w:rsidRPr="00E915DB">
        <w:t xml:space="preserve"> carries tumor-specific genetic and epigenetic alterations, providing a dynamic molecular snapshot of the disease that complements, </w:t>
      </w:r>
      <w:r w:rsidR="004F2679" w:rsidRPr="00E915DB">
        <w:t xml:space="preserve">and </w:t>
      </w:r>
      <w:r w:rsidRPr="00E915DB">
        <w:t xml:space="preserve">in certain contexts, may even </w:t>
      </w:r>
      <w:r w:rsidR="004F2679" w:rsidRPr="00E915DB">
        <w:t xml:space="preserve">partially </w:t>
      </w:r>
      <w:r w:rsidRPr="00E915DB">
        <w:t>substitute f</w:t>
      </w:r>
      <w:r w:rsidR="00CA334D" w:rsidRPr="00E915DB">
        <w:t>or traditional tissue biopsies.</w:t>
      </w:r>
    </w:p>
    <w:p w14:paraId="75736B76" w14:textId="2ECC9F37" w:rsidR="00B11DE5" w:rsidRPr="00E915DB" w:rsidRDefault="00B11DE5" w:rsidP="0093544B">
      <w:pPr>
        <w:pStyle w:val="Text"/>
        <w:ind w:firstLine="420"/>
      </w:pPr>
      <w:r w:rsidRPr="00E915DB">
        <w:t xml:space="preserve">As technologies improve, liquid biopsy is expected to become an integral component of precision oncology in gynecologic cancers, offering earlier </w:t>
      </w:r>
      <w:r w:rsidR="00412DE2" w:rsidRPr="00E915DB">
        <w:t xml:space="preserve">therapeutic intervention </w:t>
      </w:r>
      <w:r w:rsidRPr="00E915DB">
        <w:t>and facilitating dynamic adaptation of therapy to the evolving molecular landscape of the tumor.</w:t>
      </w:r>
    </w:p>
    <w:p w14:paraId="67EE74D1" w14:textId="4E778428" w:rsidR="00B11DE5" w:rsidRPr="00E915DB" w:rsidRDefault="006F1B5B" w:rsidP="0093544B">
      <w:pPr>
        <w:pStyle w:val="3"/>
      </w:pPr>
      <w:r w:rsidRPr="00E915DB">
        <w:t>7</w:t>
      </w:r>
      <w:r w:rsidR="00B11DE5" w:rsidRPr="00E915DB">
        <w:t>.1.2 Applications in Gynecologic Oncology</w:t>
      </w:r>
    </w:p>
    <w:p w14:paraId="420465F2" w14:textId="7C0565F0" w:rsidR="00B11DE5" w:rsidRPr="00E915DB" w:rsidRDefault="003302E7" w:rsidP="0093544B">
      <w:pPr>
        <w:pStyle w:val="Text"/>
        <w:ind w:firstLine="420"/>
      </w:pPr>
      <w:r w:rsidRPr="00E915DB">
        <w:t xml:space="preserve">In </w:t>
      </w:r>
      <w:r w:rsidRPr="00E915DB">
        <w:rPr>
          <w:bCs/>
        </w:rPr>
        <w:t>ovarian cancer</w:t>
      </w:r>
      <w:r w:rsidRPr="00E915DB">
        <w:t xml:space="preserve">, </w:t>
      </w:r>
      <w:proofErr w:type="spellStart"/>
      <w:r w:rsidRPr="00E915DB">
        <w:t>ctDNA</w:t>
      </w:r>
      <w:proofErr w:type="spellEnd"/>
      <w:r w:rsidRPr="00E915DB">
        <w:t xml:space="preserve"> has emerged as a valuable biomarker </w:t>
      </w:r>
      <w:r w:rsidR="00933A9A" w:rsidRPr="00E915DB">
        <w:t xml:space="preserve">that </w:t>
      </w:r>
      <w:r w:rsidRPr="00E915DB">
        <w:t xml:space="preserve">closely </w:t>
      </w:r>
      <w:r w:rsidR="00933A9A" w:rsidRPr="00E915DB">
        <w:t xml:space="preserve">correlates </w:t>
      </w:r>
      <w:r w:rsidRPr="00E915DB">
        <w:t xml:space="preserve">with </w:t>
      </w:r>
      <w:r w:rsidRPr="00E915DB">
        <w:rPr>
          <w:bCs/>
        </w:rPr>
        <w:t>tumor burden, treatment response, and risk of recurrence</w:t>
      </w:r>
      <w:r w:rsidRPr="00E915DB">
        <w:t xml:space="preserve">. </w:t>
      </w:r>
      <w:proofErr w:type="spellStart"/>
      <w:r w:rsidR="00B11DE5" w:rsidRPr="00E915DB">
        <w:t>ctDNA</w:t>
      </w:r>
      <w:proofErr w:type="spellEnd"/>
      <w:r w:rsidR="00B11DE5" w:rsidRPr="00E915DB">
        <w:t xml:space="preserve"> analysis can reveal BRCA reversion mutations, which restore </w:t>
      </w:r>
      <w:r w:rsidR="00FA48A0" w:rsidRPr="00E915DB">
        <w:t>HRR</w:t>
      </w:r>
      <w:r w:rsidR="00B11DE5" w:rsidRPr="00E915DB">
        <w:t xml:space="preserve"> and confer resistance to </w:t>
      </w:r>
      <w:proofErr w:type="spellStart"/>
      <w:r w:rsidR="00B11DE5" w:rsidRPr="00E915DB">
        <w:t>PARP</w:t>
      </w:r>
      <w:r w:rsidR="000158E7" w:rsidRPr="00E915DB">
        <w:t>i</w:t>
      </w:r>
      <w:proofErr w:type="spellEnd"/>
      <w:r w:rsidR="00B11DE5" w:rsidRPr="00E915DB">
        <w:t xml:space="preserve">, </w:t>
      </w:r>
      <w:r w:rsidR="00933A9A" w:rsidRPr="00E915DB">
        <w:t xml:space="preserve">thereby </w:t>
      </w:r>
      <w:r w:rsidR="00B11DE5" w:rsidRPr="00E915DB">
        <w:t xml:space="preserve">providing </w:t>
      </w:r>
      <w:r w:rsidR="00933A9A" w:rsidRPr="00E915DB">
        <w:t xml:space="preserve">clinically </w:t>
      </w:r>
      <w:r w:rsidR="00B11DE5" w:rsidRPr="00E915DB">
        <w:t>crucial information for therapeutic decisio</w:t>
      </w:r>
      <w:r w:rsidR="00941A29" w:rsidRPr="00E915DB">
        <w:t xml:space="preserve">n-making and </w:t>
      </w:r>
      <w:r w:rsidR="00933A9A" w:rsidRPr="00E915DB">
        <w:t xml:space="preserve">clinical </w:t>
      </w:r>
      <w:r w:rsidR="00941A29" w:rsidRPr="00E915DB">
        <w:t>trial enrolment [</w:t>
      </w:r>
      <w:r w:rsidR="00FD67AE" w:rsidRPr="00E915DB">
        <w:t>44</w:t>
      </w:r>
      <w:r w:rsidR="00B11DE5" w:rsidRPr="00E915DB">
        <w:t>].</w:t>
      </w:r>
    </w:p>
    <w:p w14:paraId="32F21357" w14:textId="52451C2F" w:rsidR="00530DE3" w:rsidRPr="00E915DB" w:rsidRDefault="00B11DE5" w:rsidP="00DD071E">
      <w:pPr>
        <w:pStyle w:val="Text"/>
        <w:ind w:firstLine="420"/>
      </w:pPr>
      <w:r w:rsidRPr="00E915DB">
        <w:t xml:space="preserve">In endometrial and cervical cancers, </w:t>
      </w:r>
      <w:proofErr w:type="spellStart"/>
      <w:r w:rsidRPr="00E915DB">
        <w:t>ctDNA</w:t>
      </w:r>
      <w:proofErr w:type="spellEnd"/>
      <w:r w:rsidRPr="00E915DB">
        <w:t xml:space="preserve"> similarly captures tumor-specific genomic alterations, including recurrent mutations</w:t>
      </w:r>
      <w:r w:rsidR="00941A29" w:rsidRPr="00E915DB">
        <w:t xml:space="preserve"> in PIK3CA, PTEN, and TP53 [</w:t>
      </w:r>
      <w:r w:rsidR="00FD67AE" w:rsidRPr="00E915DB">
        <w:t>45</w:t>
      </w:r>
      <w:r w:rsidRPr="00E915DB">
        <w:t>].</w:t>
      </w:r>
      <w:r w:rsidR="00DD071E" w:rsidRPr="00E915DB">
        <w:t xml:space="preserve"> </w:t>
      </w:r>
      <w:r w:rsidRPr="00E915DB">
        <w:t xml:space="preserve">As evidence continues to accumulate, </w:t>
      </w:r>
      <w:proofErr w:type="spellStart"/>
      <w:r w:rsidRPr="00E915DB">
        <w:t>ctDNA</w:t>
      </w:r>
      <w:proofErr w:type="spellEnd"/>
      <w:r w:rsidRPr="00E915DB">
        <w:t xml:space="preserve"> profiling is poised to complement </w:t>
      </w:r>
      <w:r w:rsidR="00DD071E" w:rsidRPr="00E915DB">
        <w:t xml:space="preserve">conventional </w:t>
      </w:r>
      <w:r w:rsidRPr="00E915DB">
        <w:t xml:space="preserve">imaging and tissue-based diagnostics, enhancing real-time molecular surveillance and guiding personalized </w:t>
      </w:r>
      <w:r w:rsidR="009340D3" w:rsidRPr="00E915DB">
        <w:t>therapy</w:t>
      </w:r>
      <w:r w:rsidRPr="00E915DB">
        <w:t xml:space="preserve"> across gynecologic malignancies.</w:t>
      </w:r>
    </w:p>
    <w:p w14:paraId="245B10A2" w14:textId="40571B1B" w:rsidR="00131644" w:rsidRPr="00E915DB" w:rsidRDefault="00530DE3" w:rsidP="0093544B">
      <w:pPr>
        <w:pStyle w:val="2"/>
      </w:pPr>
      <w:r w:rsidRPr="00E915DB">
        <w:t xml:space="preserve">7.2 Integration </w:t>
      </w:r>
      <w:r w:rsidR="0093544B" w:rsidRPr="00E915DB">
        <w:t>Wi</w:t>
      </w:r>
      <w:r w:rsidRPr="00E915DB">
        <w:t xml:space="preserve">th </w:t>
      </w:r>
      <w:r w:rsidR="006303F2" w:rsidRPr="00E915DB">
        <w:t>AI</w:t>
      </w:r>
      <w:r w:rsidRPr="00E915DB">
        <w:t xml:space="preserve"> and Digital Pathology</w:t>
      </w:r>
    </w:p>
    <w:p w14:paraId="7ADDA002" w14:textId="77777777" w:rsidR="00530DE3" w:rsidRPr="00E915DB" w:rsidRDefault="00530DE3" w:rsidP="0093544B">
      <w:pPr>
        <w:pStyle w:val="3"/>
      </w:pPr>
      <w:r w:rsidRPr="00E915DB">
        <w:t>7.2.1 Digital Pathology and Whole-Slide Imaging</w:t>
      </w:r>
    </w:p>
    <w:p w14:paraId="23505ACC" w14:textId="36E9ADEC" w:rsidR="00530DE3" w:rsidRPr="00E915DB" w:rsidRDefault="00530DE3" w:rsidP="0093544B">
      <w:pPr>
        <w:pStyle w:val="Text"/>
        <w:ind w:firstLine="420"/>
      </w:pPr>
      <w:r w:rsidRPr="00E915DB">
        <w:t xml:space="preserve">The adoption of digital pathology has transformed </w:t>
      </w:r>
      <w:r w:rsidR="009A286F" w:rsidRPr="00E915DB">
        <w:t xml:space="preserve">conventional </w:t>
      </w:r>
      <w:r w:rsidRPr="00E915DB">
        <w:t>histopathology by enabling the digitization, storage, and computational analysis of whole-slide images (WSI</w:t>
      </w:r>
      <w:r w:rsidR="009A286F" w:rsidRPr="00E915DB">
        <w:t>s</w:t>
      </w:r>
      <w:r w:rsidRPr="00E915DB">
        <w:t xml:space="preserve">). This technological </w:t>
      </w:r>
      <w:r w:rsidR="009A286F" w:rsidRPr="00E915DB">
        <w:t xml:space="preserve">transition </w:t>
      </w:r>
      <w:r w:rsidRPr="00E915DB">
        <w:t xml:space="preserve">not only facilitates remote access and </w:t>
      </w:r>
      <w:r w:rsidR="009A286F" w:rsidRPr="00E915DB">
        <w:t xml:space="preserve">digital </w:t>
      </w:r>
      <w:r w:rsidRPr="00E915DB">
        <w:t>archiving but also establishes the foundation for the development of AI and machine learning (ML) applications in diagnostic pathology.</w:t>
      </w:r>
    </w:p>
    <w:p w14:paraId="1D6A9013" w14:textId="099EA1A7" w:rsidR="00530DE3" w:rsidRPr="00E915DB" w:rsidRDefault="00530DE3" w:rsidP="001657F7">
      <w:pPr>
        <w:pStyle w:val="Text"/>
        <w:ind w:firstLine="420"/>
      </w:pPr>
      <w:r w:rsidRPr="00E915DB">
        <w:t xml:space="preserve">Recent studies have demonstrated the </w:t>
      </w:r>
      <w:r w:rsidR="001657F7" w:rsidRPr="00E915DB">
        <w:t xml:space="preserve">practical </w:t>
      </w:r>
      <w:r w:rsidRPr="00E915DB">
        <w:t xml:space="preserve">applicability of AI in gynecologic pathology. Deep learning models have been successfully developed to classify ovarian carcinoma </w:t>
      </w:r>
      <w:proofErr w:type="spellStart"/>
      <w:r w:rsidRPr="00E915DB">
        <w:t>histotypes</w:t>
      </w:r>
      <w:proofErr w:type="spellEnd"/>
      <w:r w:rsidRPr="00E915DB">
        <w:t xml:space="preserve"> directly from </w:t>
      </w:r>
      <w:r w:rsidR="001657F7" w:rsidRPr="00E915DB">
        <w:t>WSIs</w:t>
      </w:r>
      <w:r w:rsidRPr="00E915DB">
        <w:t xml:space="preserve">, achieving diagnostic concordance </w:t>
      </w:r>
      <w:r w:rsidR="001657F7" w:rsidRPr="00E915DB">
        <w:t xml:space="preserve">comparable to </w:t>
      </w:r>
      <w:r w:rsidRPr="00E915DB">
        <w:t>that of expert gynecologic pathologists and, in selected cases, even highlighting discrepancies in integrated diagnoses</w:t>
      </w:r>
      <w:r w:rsidR="007E1FC7" w:rsidRPr="00E915DB">
        <w:t xml:space="preserve"> [46]</w:t>
      </w:r>
      <w:r w:rsidRPr="00E915DB">
        <w:t>.</w:t>
      </w:r>
      <w:r w:rsidR="001657F7" w:rsidRPr="00E915DB">
        <w:t xml:space="preserve"> </w:t>
      </w:r>
      <w:r w:rsidRPr="00E915DB">
        <w:t xml:space="preserve">Similarly, AI-based systems have shown the potential to improve diagnostic accuracy and consistency in cervical cancer pathology, supporting </w:t>
      </w:r>
      <w:r w:rsidR="001657F7" w:rsidRPr="00E915DB">
        <w:t xml:space="preserve">large-scale </w:t>
      </w:r>
      <w:r w:rsidRPr="00E915DB">
        <w:t xml:space="preserve">screening and histopathological interpretation </w:t>
      </w:r>
      <w:r w:rsidR="0074296E" w:rsidRPr="00E915DB">
        <w:t>[47]</w:t>
      </w:r>
      <w:r w:rsidRPr="00E915DB">
        <w:t>.</w:t>
      </w:r>
    </w:p>
    <w:p w14:paraId="1C25E513" w14:textId="25AC3652" w:rsidR="00530DE3" w:rsidRPr="00E915DB" w:rsidRDefault="00530DE3" w:rsidP="0093544B">
      <w:pPr>
        <w:pStyle w:val="Text"/>
        <w:ind w:firstLine="420"/>
      </w:pPr>
      <w:r w:rsidRPr="00E915DB">
        <w:t xml:space="preserve">More broadly, large-scale computational pathology frameworks based on weakly supervised learning have demonstrated clinical-grade performance across multiple tumor types, achieving high diagnostic accuracy while reducing the need for extensive manual annotation and enabling scalable </w:t>
      </w:r>
      <w:r w:rsidR="001657F7" w:rsidRPr="00E915DB">
        <w:t xml:space="preserve">implementation </w:t>
      </w:r>
      <w:r w:rsidRPr="00E915DB">
        <w:t>in real-world settings</w:t>
      </w:r>
      <w:r w:rsidR="009B0DF3" w:rsidRPr="00E915DB">
        <w:t xml:space="preserve"> [48]</w:t>
      </w:r>
      <w:r w:rsidRPr="00E915DB">
        <w:t>.</w:t>
      </w:r>
    </w:p>
    <w:p w14:paraId="2C892D5A" w14:textId="17988E3D" w:rsidR="00530DE3" w:rsidRPr="00E915DB" w:rsidRDefault="00530DE3" w:rsidP="0093544B">
      <w:pPr>
        <w:pStyle w:val="Text"/>
        <w:ind w:firstLine="420"/>
      </w:pPr>
      <w:r w:rsidRPr="00E915DB">
        <w:t>As computational pathology continues to evolve, the integration of AI-driven image analysis with molecular profiling is expected to further enhance diagnostic precision and support the development of fully integrated, data-driven workflows in gynecologic oncology [</w:t>
      </w:r>
      <w:r w:rsidR="00151684" w:rsidRPr="00E915DB">
        <w:t>4</w:t>
      </w:r>
      <w:r w:rsidR="009B0DF3" w:rsidRPr="00E915DB">
        <w:t>9</w:t>
      </w:r>
      <w:r w:rsidRPr="00E915DB">
        <w:t>,</w:t>
      </w:r>
      <w:r w:rsidR="0093544B" w:rsidRPr="00E915DB">
        <w:t xml:space="preserve"> </w:t>
      </w:r>
      <w:r w:rsidR="009B0DF3" w:rsidRPr="00E915DB">
        <w:t>50</w:t>
      </w:r>
      <w:r w:rsidRPr="00E915DB">
        <w:t>].</w:t>
      </w:r>
    </w:p>
    <w:p w14:paraId="259DA918" w14:textId="3306DB23" w:rsidR="00530DE3" w:rsidRPr="00E915DB" w:rsidRDefault="00530DE3" w:rsidP="0093544B">
      <w:pPr>
        <w:pStyle w:val="3"/>
      </w:pPr>
      <w:r w:rsidRPr="00E915DB">
        <w:lastRenderedPageBreak/>
        <w:t xml:space="preserve">7.2.2 AI in Genomics and Predictive </w:t>
      </w:r>
      <w:r w:rsidR="008B74BD" w:rsidRPr="00E915DB">
        <w:t>Modelling</w:t>
      </w:r>
    </w:p>
    <w:p w14:paraId="2C6CB791" w14:textId="28D6C518" w:rsidR="00530DE3" w:rsidRPr="00E915DB" w:rsidRDefault="00530DE3" w:rsidP="0093544B">
      <w:pPr>
        <w:pStyle w:val="Text"/>
        <w:ind w:firstLine="420"/>
      </w:pPr>
      <w:r w:rsidRPr="00E915DB">
        <w:t xml:space="preserve">AI is increasingly being applied to the analysis of complex NGS data, offering new opportunities to </w:t>
      </w:r>
      <w:r w:rsidR="001657F7" w:rsidRPr="00E915DB">
        <w:t xml:space="preserve">advance </w:t>
      </w:r>
      <w:r w:rsidRPr="00E915DB">
        <w:t xml:space="preserve">precision oncology in gynecologic cancers. By leveraging advanced </w:t>
      </w:r>
      <w:r w:rsidR="001657F7" w:rsidRPr="00E915DB">
        <w:t>ML</w:t>
      </w:r>
      <w:r w:rsidRPr="00E915DB">
        <w:t xml:space="preserve"> and deep learning algorithms, AI can integrate genomic, histologic, and clinical variables to predict treatment response, such as </w:t>
      </w:r>
      <w:r w:rsidR="001657F7" w:rsidRPr="00E915DB">
        <w:t xml:space="preserve">the </w:t>
      </w:r>
      <w:r w:rsidRPr="00E915DB">
        <w:t>estimati</w:t>
      </w:r>
      <w:r w:rsidR="001657F7" w:rsidRPr="00E915DB">
        <w:t>on</w:t>
      </w:r>
      <w:r w:rsidRPr="00E915DB">
        <w:t xml:space="preserve"> </w:t>
      </w:r>
      <w:r w:rsidR="001657F7" w:rsidRPr="00E915DB">
        <w:t xml:space="preserve">of </w:t>
      </w:r>
      <w:r w:rsidRPr="00E915DB">
        <w:t xml:space="preserve">sensitivity to </w:t>
      </w:r>
      <w:proofErr w:type="spellStart"/>
      <w:r w:rsidRPr="00E915DB">
        <w:t>PARPi</w:t>
      </w:r>
      <w:proofErr w:type="spellEnd"/>
      <w:r w:rsidRPr="00E915DB">
        <w:t xml:space="preserve"> based on integrated genomic features and HRD profiles.</w:t>
      </w:r>
    </w:p>
    <w:p w14:paraId="61CAF1D7" w14:textId="5253F5D8" w:rsidR="00530DE3" w:rsidRPr="00E915DB" w:rsidRDefault="00530DE3" w:rsidP="0093544B">
      <w:pPr>
        <w:pStyle w:val="Text"/>
        <w:ind w:firstLine="420"/>
      </w:pPr>
      <w:r w:rsidRPr="00E915DB">
        <w:t xml:space="preserve">Importantly, emerging approaches are beginning to bridge morphology and genomics, demonstrating that molecular features </w:t>
      </w:r>
      <w:r w:rsidR="001657F7" w:rsidRPr="00E915DB">
        <w:t xml:space="preserve">can </w:t>
      </w:r>
      <w:r w:rsidRPr="00E915DB">
        <w:t>be inferred directly from histologic images, thereby linking digital pathology and genomic profiling within unified analytical frameworks.</w:t>
      </w:r>
    </w:p>
    <w:p w14:paraId="30C6EBAA" w14:textId="5295664B" w:rsidR="00D13531" w:rsidRPr="00E915DB" w:rsidRDefault="00530DE3" w:rsidP="0093544B">
      <w:pPr>
        <w:pStyle w:val="Text"/>
        <w:ind w:firstLine="420"/>
      </w:pPr>
      <w:r w:rsidRPr="00E915DB">
        <w:t>As computational models become increasingly sophisticated, the integration of AI with NGS and digital pathology holds the potential to generate multi-</w:t>
      </w:r>
      <w:proofErr w:type="spellStart"/>
      <w:r w:rsidRPr="00E915DB">
        <w:t>omic</w:t>
      </w:r>
      <w:proofErr w:type="spellEnd"/>
      <w:r w:rsidRPr="00E915DB">
        <w:t>, data-driven insights, ultimately improving patient outcomes and accelerating the translation of genomic discoveries into clinical practice [</w:t>
      </w:r>
      <w:r w:rsidR="009B0DF3" w:rsidRPr="00E915DB">
        <w:t>5</w:t>
      </w:r>
      <w:r w:rsidR="002A6DCB" w:rsidRPr="00E915DB">
        <w:t>1</w:t>
      </w:r>
      <w:r w:rsidRPr="00E915DB">
        <w:t>].</w:t>
      </w:r>
    </w:p>
    <w:p w14:paraId="768E0F5A" w14:textId="2CCB3B91" w:rsidR="004F22BC" w:rsidRPr="00E915DB" w:rsidRDefault="004F22BC" w:rsidP="0093544B">
      <w:pPr>
        <w:pStyle w:val="1"/>
      </w:pPr>
      <w:r w:rsidRPr="00E915DB">
        <w:t xml:space="preserve">8. </w:t>
      </w:r>
      <w:r w:rsidR="00D13531" w:rsidRPr="00E915DB">
        <w:t>Challenges, Limits, and Inequalities</w:t>
      </w:r>
    </w:p>
    <w:p w14:paraId="295971B7" w14:textId="2BCDB99F" w:rsidR="00CA334D" w:rsidRPr="00E915DB" w:rsidRDefault="006F1B5B" w:rsidP="0093544B">
      <w:pPr>
        <w:pStyle w:val="2"/>
      </w:pPr>
      <w:r w:rsidRPr="00E915DB">
        <w:t>8</w:t>
      </w:r>
      <w:r w:rsidR="00CA334D" w:rsidRPr="00E915DB">
        <w:t>.1 Challenges and Future Directions</w:t>
      </w:r>
    </w:p>
    <w:p w14:paraId="676C49F4" w14:textId="08C58AAA" w:rsidR="00CA334D" w:rsidRPr="00E915DB" w:rsidRDefault="00CA334D" w:rsidP="0093544B">
      <w:pPr>
        <w:pStyle w:val="Text"/>
        <w:ind w:firstLine="420"/>
      </w:pPr>
      <w:r w:rsidRPr="00E915DB">
        <w:t xml:space="preserve">Despite its promise, liquid biopsy still faces several important limitations. Sensitivity remains a major challenge in early-stage disease, where </w:t>
      </w:r>
      <w:proofErr w:type="spellStart"/>
      <w:r w:rsidRPr="00E915DB">
        <w:t>ctDNA</w:t>
      </w:r>
      <w:proofErr w:type="spellEnd"/>
      <w:r w:rsidRPr="00E915DB">
        <w:t xml:space="preserve"> </w:t>
      </w:r>
      <w:r w:rsidR="008D19A6" w:rsidRPr="00E915DB">
        <w:t xml:space="preserve">levels are </w:t>
      </w:r>
      <w:r w:rsidRPr="00E915DB">
        <w:t xml:space="preserve">often extremely low, increasing the risk of false-negative results and limiting its utility for early detection or MRD assessment. The field also requires standardized pre-analytical and analytical protocols, </w:t>
      </w:r>
      <w:r w:rsidR="008D19A6" w:rsidRPr="00E915DB">
        <w:t xml:space="preserve">as well as </w:t>
      </w:r>
      <w:r w:rsidRPr="00E915DB">
        <w:t>clinically validated assays, to ensure reproducibility, accuracy, and comparability of results across laboratories and clinical trials.</w:t>
      </w:r>
    </w:p>
    <w:p w14:paraId="70BF3B20" w14:textId="43C16F92" w:rsidR="004F22BC" w:rsidRPr="00E915DB" w:rsidRDefault="00CA334D" w:rsidP="0093544B">
      <w:pPr>
        <w:pStyle w:val="Text"/>
        <w:ind w:firstLine="420"/>
      </w:pPr>
      <w:r w:rsidRPr="00E915DB">
        <w:t>For optimal clinical impact, liquid biopsy is best integrated with tissue-based NGS, allowing for comprehensive molecular profiling that captures both the baseline genomic architecture of the tumor and its dynamic evolution under treatment pressure. This combined approach maximizes diagnostic yield, supports informed therapeutic decision-making, and lays the foundation for the routine incorporation of liquid biopsy into precision oncology workflows.</w:t>
      </w:r>
    </w:p>
    <w:p w14:paraId="3FD861D6" w14:textId="7F5243CC" w:rsidR="00CA334D" w:rsidRPr="00E915DB" w:rsidRDefault="006F1B5B" w:rsidP="0093544B">
      <w:pPr>
        <w:pStyle w:val="2"/>
      </w:pPr>
      <w:r w:rsidRPr="00E915DB">
        <w:t>8</w:t>
      </w:r>
      <w:r w:rsidR="00CA334D" w:rsidRPr="00E915DB">
        <w:t>.2</w:t>
      </w:r>
      <w:r w:rsidR="006425E9" w:rsidRPr="00E915DB">
        <w:t xml:space="preserve"> </w:t>
      </w:r>
      <w:r w:rsidR="00CA334D" w:rsidRPr="00E915DB">
        <w:t>Future Outlook</w:t>
      </w:r>
    </w:p>
    <w:p w14:paraId="6B2E31F2" w14:textId="45B807E3" w:rsidR="00CA334D" w:rsidRPr="00E915DB" w:rsidRDefault="00CA334D" w:rsidP="0093544B">
      <w:pPr>
        <w:pStyle w:val="Text"/>
        <w:ind w:firstLine="420"/>
      </w:pPr>
      <w:r w:rsidRPr="00E915DB">
        <w:t>The integration of AI into clinical workflows is poised to transform the management of gynecologic cancers by providing real-time decision support during multidisciplinary tumor board</w:t>
      </w:r>
      <w:r w:rsidR="008D19A6" w:rsidRPr="00E915DB">
        <w:t xml:space="preserve"> discussion</w:t>
      </w:r>
      <w:r w:rsidRPr="00E915DB">
        <w:t>s. AI-powered platforms can rapidly synthesize genomic, radiologic, and histopathologic data, offering actionable insights to guide diagnosis, prognostication, and therapeutic selection.</w:t>
      </w:r>
    </w:p>
    <w:p w14:paraId="5E87AFB4" w14:textId="4BFCEA2B" w:rsidR="00DD4192" w:rsidRPr="00E915DB" w:rsidRDefault="00CA334D" w:rsidP="0093544B">
      <w:pPr>
        <w:pStyle w:val="Text"/>
        <w:ind w:firstLine="420"/>
      </w:pPr>
      <w:r w:rsidRPr="00E915DB">
        <w:t xml:space="preserve">Emerging hybrid models that </w:t>
      </w:r>
      <w:r w:rsidR="00FE0B7A" w:rsidRPr="00E915DB">
        <w:t xml:space="preserve">integrate </w:t>
      </w:r>
      <w:r w:rsidRPr="00E915DB">
        <w:t xml:space="preserve">digital pathology, radiomics, and genomics exemplify the next frontier of precision oncology. These multimodal systems aim to capture the full biological complexity of tumors </w:t>
      </w:r>
      <w:r w:rsidR="00FE0B7A" w:rsidRPr="00E915DB">
        <w:t xml:space="preserve">by </w:t>
      </w:r>
      <w:r w:rsidRPr="00E915DB">
        <w:t xml:space="preserve">correlating imaging features with molecular alterations and histologic patterns. Such integrative approaches </w:t>
      </w:r>
      <w:r w:rsidR="00FE0B7A" w:rsidRPr="00E915DB">
        <w:t xml:space="preserve">have the potential </w:t>
      </w:r>
      <w:r w:rsidRPr="00E915DB">
        <w:t>to enhance diagnostic accuracy, optimize patient stratification, and accelerate the transition toward fully data-driven, personalized cancer care.</w:t>
      </w:r>
    </w:p>
    <w:p w14:paraId="45978583" w14:textId="77777777" w:rsidR="00BF28B0" w:rsidRPr="00E915DB" w:rsidRDefault="00BF28B0" w:rsidP="0093544B">
      <w:pPr>
        <w:pStyle w:val="2"/>
      </w:pPr>
      <w:r w:rsidRPr="00E915DB">
        <w:t>8.3 Inequalities in the Era of Precision Oncology</w:t>
      </w:r>
    </w:p>
    <w:p w14:paraId="60E9C7C8" w14:textId="236EEE8E" w:rsidR="00BF28B0" w:rsidRPr="00E915DB" w:rsidRDefault="00BF28B0" w:rsidP="0093544B">
      <w:pPr>
        <w:pStyle w:val="Text"/>
        <w:ind w:firstLine="420"/>
      </w:pPr>
      <w:r w:rsidRPr="00E915DB">
        <w:t xml:space="preserve">While advances in molecular diagnostics and liquid biopsy are redefining gynecologic oncology, they also raise critical concerns regarding equity and access. </w:t>
      </w:r>
      <w:r w:rsidR="008B7280" w:rsidRPr="00E915DB">
        <w:t xml:space="preserve">These disparities </w:t>
      </w:r>
      <w:r w:rsidRPr="00E915DB">
        <w:t xml:space="preserve">are often emphasized in low- and middle-income countries, </w:t>
      </w:r>
      <w:r w:rsidR="008B7280" w:rsidRPr="00E915DB">
        <w:t xml:space="preserve">in which </w:t>
      </w:r>
      <w:r w:rsidRPr="00E915DB">
        <w:t xml:space="preserve">limited infrastructure and resources </w:t>
      </w:r>
      <w:r w:rsidR="008B7280" w:rsidRPr="00E915DB">
        <w:t xml:space="preserve">restrict </w:t>
      </w:r>
      <w:r w:rsidRPr="00E915DB">
        <w:t xml:space="preserve">the implementation of advanced technologies. However, </w:t>
      </w:r>
      <w:r w:rsidRPr="00E915DB">
        <w:lastRenderedPageBreak/>
        <w:t>important inequities also persist within high-resource healthcare systems. Access to comprehensive molecular testing, including NGS and liquid biopsy, may vary across institutions, geographic regions, and patient populations, reflecting differences in funding models, reimbursement policies, and local expertise.</w:t>
      </w:r>
    </w:p>
    <w:p w14:paraId="03A231A8" w14:textId="507D2AAD" w:rsidR="00BF28B0" w:rsidRPr="00E915DB" w:rsidRDefault="00BF28B0" w:rsidP="0093544B">
      <w:pPr>
        <w:pStyle w:val="Text"/>
        <w:ind w:firstLine="420"/>
      </w:pPr>
      <w:r w:rsidRPr="00E915DB">
        <w:t xml:space="preserve">These discrepancies have direct clinical implications, as unequal access to molecular profiling may translate into differences in diagnostic accuracy, eligibility for targeted therapies, and participation in clinical trials. Moreover, the increasing complexity and cost of precision oncology platforms risk widening the gap between </w:t>
      </w:r>
      <w:r w:rsidR="008B7280" w:rsidRPr="00E915DB">
        <w:t>centers</w:t>
      </w:r>
      <w:r w:rsidRPr="00E915DB">
        <w:t xml:space="preserve"> of excellence and peripheral institutions, as well as between socioeconomically advantaged and disadvantaged patient </w:t>
      </w:r>
      <w:r w:rsidR="008B7280" w:rsidRPr="00E915DB">
        <w:t>populations</w:t>
      </w:r>
      <w:r w:rsidRPr="00E915DB">
        <w:t>.</w:t>
      </w:r>
    </w:p>
    <w:p w14:paraId="0E65C18F" w14:textId="66AE8497" w:rsidR="004F22BC" w:rsidRPr="00E915DB" w:rsidRDefault="00BF28B0" w:rsidP="0093544B">
      <w:pPr>
        <w:pStyle w:val="Text"/>
        <w:ind w:firstLine="420"/>
      </w:pPr>
      <w:r w:rsidRPr="00E915DB">
        <w:t xml:space="preserve">In this context, the expansion of precision medicine, while representing a major scientific advance, may paradoxically </w:t>
      </w:r>
      <w:r w:rsidR="008B7280" w:rsidRPr="00E915DB">
        <w:t xml:space="preserve">exacerbate </w:t>
      </w:r>
      <w:r w:rsidRPr="00E915DB">
        <w:t xml:space="preserve">pre-existing structural inequities if not accompanied by coordinated efforts to ensure equitable implementation. Addressing these challenges will require not only technological innovation, but also health policy interventions, standardization of care pathways, and international collaboration to promote accessibility, sustainability, and </w:t>
      </w:r>
      <w:r w:rsidR="008B7280" w:rsidRPr="00E915DB">
        <w:t xml:space="preserve">equity </w:t>
      </w:r>
      <w:r w:rsidRPr="00E915DB">
        <w:t>in molecular oncology</w:t>
      </w:r>
      <w:r w:rsidR="008B7280" w:rsidRPr="00E915DB">
        <w:t xml:space="preserve"> delivery</w:t>
      </w:r>
      <w:r w:rsidRPr="00E915DB">
        <w:t>.</w:t>
      </w:r>
    </w:p>
    <w:p w14:paraId="6FBA32A5" w14:textId="6B3401D7" w:rsidR="00956BD4" w:rsidRPr="00E915DB" w:rsidRDefault="00D13531" w:rsidP="0093544B">
      <w:pPr>
        <w:pStyle w:val="1"/>
        <w:rPr>
          <w:strike/>
        </w:rPr>
      </w:pPr>
      <w:r w:rsidRPr="00E915DB">
        <w:t>9. Conclusions</w:t>
      </w:r>
      <w:r w:rsidR="0093544B" w:rsidRPr="00E915DB">
        <w:t>—</w:t>
      </w:r>
      <w:r w:rsidRPr="00E915DB">
        <w:t>The Quiet Revolution Is Already Underway</w:t>
      </w:r>
    </w:p>
    <w:p w14:paraId="1DDE844C" w14:textId="3F6A0CF0" w:rsidR="00C77977" w:rsidRPr="00E915DB" w:rsidRDefault="00CA334D" w:rsidP="0093544B">
      <w:pPr>
        <w:pStyle w:val="Text"/>
        <w:ind w:firstLine="420"/>
      </w:pPr>
      <w:r w:rsidRPr="00E915DB">
        <w:t xml:space="preserve">The integration of NGS into gynecologic oncology has fundamentally reshaped the diagnostic and therapeutic paradigms of uterine, ovarian, and cervical malignancies. </w:t>
      </w:r>
      <w:r w:rsidR="008B7280" w:rsidRPr="00E915DB">
        <w:t xml:space="preserve">By </w:t>
      </w:r>
      <w:r w:rsidRPr="00E915DB">
        <w:t>refining molecular classification</w:t>
      </w:r>
      <w:r w:rsidR="008B7280" w:rsidRPr="00E915DB">
        <w:t>,</w:t>
      </w:r>
      <w:r w:rsidRPr="00E915DB">
        <w:t xml:space="preserve"> identifying actionable mutations</w:t>
      </w:r>
      <w:r w:rsidR="008B7280" w:rsidRPr="00E915DB">
        <w:t>, and</w:t>
      </w:r>
      <w:r w:rsidRPr="00E915DB">
        <w:t xml:space="preserve"> guiding targeted therapies and familial risk assessment, NGS </w:t>
      </w:r>
      <w:r w:rsidR="008B7280" w:rsidRPr="00E915DB">
        <w:t xml:space="preserve">has </w:t>
      </w:r>
      <w:r w:rsidRPr="00E915DB">
        <w:t>enable</w:t>
      </w:r>
      <w:r w:rsidR="008B7280" w:rsidRPr="00E915DB">
        <w:t>d</w:t>
      </w:r>
      <w:r w:rsidRPr="00E915DB">
        <w:t xml:space="preserve"> a more personalized and precise approach to patient care. However, </w:t>
      </w:r>
      <w:r w:rsidR="008B7280" w:rsidRPr="00E915DB">
        <w:t xml:space="preserve">the </w:t>
      </w:r>
      <w:r w:rsidRPr="00E915DB">
        <w:t xml:space="preserve">full clinical potential </w:t>
      </w:r>
      <w:r w:rsidR="008B7280" w:rsidRPr="00E915DB">
        <w:t xml:space="preserve">of NGS </w:t>
      </w:r>
      <w:r w:rsidRPr="00E915DB">
        <w:t xml:space="preserve">will only be realized through the systematic resolution of technical, interpretative, economic, and ethical challenges. </w:t>
      </w:r>
      <w:r w:rsidR="008B7280" w:rsidRPr="00E915DB">
        <w:t>Emerging approaches,</w:t>
      </w:r>
      <w:r w:rsidRPr="00E915DB">
        <w:t xml:space="preserve"> including liquid biopsy, </w:t>
      </w:r>
      <w:r w:rsidR="006303F2" w:rsidRPr="00E915DB">
        <w:t>AI</w:t>
      </w:r>
      <w:r w:rsidRPr="00E915DB">
        <w:t>, digital pathology, and multi-</w:t>
      </w:r>
      <w:proofErr w:type="spellStart"/>
      <w:r w:rsidRPr="00E915DB">
        <w:t>omic</w:t>
      </w:r>
      <w:proofErr w:type="spellEnd"/>
      <w:r w:rsidRPr="00E915DB">
        <w:t xml:space="preserve"> integration</w:t>
      </w:r>
      <w:r w:rsidR="008B7280" w:rsidRPr="00E915DB">
        <w:t>,</w:t>
      </w:r>
      <w:r w:rsidRPr="00E915DB">
        <w:t xml:space="preserve"> promise to enhance the dynamic understanding of tumor evolution and therapeutic response. As the field </w:t>
      </w:r>
      <w:r w:rsidR="008B7280" w:rsidRPr="00E915DB">
        <w:t xml:space="preserve">advances </w:t>
      </w:r>
      <w:r w:rsidRPr="00E915DB">
        <w:t>toward a fully integrated precision oncology model, NGS will remain a cornerstone</w:t>
      </w:r>
      <w:r w:rsidR="008B7280" w:rsidRPr="00E915DB">
        <w:t xml:space="preserve"> technology</w:t>
      </w:r>
      <w:r w:rsidRPr="00E915DB">
        <w:t xml:space="preserve">, guiding individualized treatment </w:t>
      </w:r>
      <w:r w:rsidR="008B7280" w:rsidRPr="00E915DB">
        <w:t xml:space="preserve">strategies </w:t>
      </w:r>
      <w:r w:rsidRPr="00E915DB">
        <w:t>and contributing to improved outcomes for</w:t>
      </w:r>
      <w:r w:rsidR="004C2C80" w:rsidRPr="00E915DB">
        <w:t xml:space="preserve"> women with gynecologic cancers</w:t>
      </w:r>
      <w:r w:rsidR="0003689D" w:rsidRPr="00E915DB">
        <w:t>.</w:t>
      </w:r>
    </w:p>
    <w:p w14:paraId="4FAB9055" w14:textId="627F326B" w:rsidR="009354E0" w:rsidRPr="00E915DB" w:rsidRDefault="008B7280" w:rsidP="0093544B">
      <w:pPr>
        <w:pStyle w:val="Text"/>
        <w:ind w:firstLine="420"/>
      </w:pPr>
      <w:r w:rsidRPr="00E915DB">
        <w:t xml:space="preserve">Although </w:t>
      </w:r>
      <w:r w:rsidR="00D86B89" w:rsidRPr="00E915DB">
        <w:t>the impact of molecular pathology in gynecologic oncology has often been described as revolutionary, a more nuanced perspective suggests that this transformation is both profound and incomplete. In certain domains, molecular classification has clearly redefined clinical practice.</w:t>
      </w:r>
    </w:p>
    <w:p w14:paraId="2A0F2ABD" w14:textId="44BE2DE7" w:rsidR="00D86B89" w:rsidRPr="00E915DB" w:rsidRDefault="00810A41" w:rsidP="0093544B">
      <w:pPr>
        <w:pStyle w:val="Text"/>
        <w:ind w:firstLine="420"/>
      </w:pPr>
      <w:r w:rsidRPr="00E915DB">
        <w:t>EC</w:t>
      </w:r>
      <w:r w:rsidR="00A66BE6" w:rsidRPr="00E915DB">
        <w:t xml:space="preserve"> is perhaps the clearest example of </w:t>
      </w:r>
      <w:r w:rsidR="008B7280" w:rsidRPr="00E915DB">
        <w:t xml:space="preserve">the </w:t>
      </w:r>
      <w:r w:rsidR="00A66BE6" w:rsidRPr="00E915DB">
        <w:t xml:space="preserve">successful clinical translation of molecular pathology, as TCGA- and </w:t>
      </w:r>
      <w:proofErr w:type="spellStart"/>
      <w:r w:rsidR="00A66BE6" w:rsidRPr="00E915DB">
        <w:t>ProMisE</w:t>
      </w:r>
      <w:proofErr w:type="spellEnd"/>
      <w:r w:rsidR="00A66BE6" w:rsidRPr="00E915DB">
        <w:t>-based subgroups have been incorporated into routine risk stratification algorithms, international management guidelines, and increasingly individualized adjuvant treatment strategies, with direct implications for prognosis and therapeutic decision-making [52].</w:t>
      </w:r>
    </w:p>
    <w:p w14:paraId="79235E39" w14:textId="5EE274FB" w:rsidR="00336799" w:rsidRPr="00E915DB" w:rsidRDefault="00336799" w:rsidP="0093544B">
      <w:pPr>
        <w:pStyle w:val="Text"/>
        <w:ind w:firstLine="420"/>
      </w:pPr>
      <w:r w:rsidRPr="00E915DB">
        <w:t xml:space="preserve">Similarly, ovarian carcinoma has emerged as a model of therapeutically actionable molecular pathology, in which BRCA mutation testing and </w:t>
      </w:r>
      <w:r w:rsidR="00773DC6" w:rsidRPr="00E915DB">
        <w:t>HRD</w:t>
      </w:r>
      <w:r w:rsidRPr="00E915DB">
        <w:t xml:space="preserve"> assessment are increasingly incorporated into routine clinical algorithms to guide maintenance strategies with </w:t>
      </w:r>
      <w:proofErr w:type="spellStart"/>
      <w:r w:rsidRPr="00E915DB">
        <w:t>PARP</w:t>
      </w:r>
      <w:r w:rsidR="000158E7" w:rsidRPr="00E915DB">
        <w:t>i</w:t>
      </w:r>
      <w:proofErr w:type="spellEnd"/>
      <w:r w:rsidRPr="00E915DB">
        <w:t xml:space="preserve"> and refine personalized treatment selection</w:t>
      </w:r>
      <w:r w:rsidR="00B604AF" w:rsidRPr="00E915DB">
        <w:t xml:space="preserve"> [53].</w:t>
      </w:r>
    </w:p>
    <w:p w14:paraId="22E75C38" w14:textId="77EEF66E" w:rsidR="00D86B89" w:rsidRPr="00E915DB" w:rsidRDefault="00D86B89" w:rsidP="0093544B">
      <w:pPr>
        <w:pStyle w:val="Text"/>
        <w:ind w:firstLine="420"/>
      </w:pPr>
      <w:r w:rsidRPr="00E915DB">
        <w:t xml:space="preserve">However, this “quiet revolution” remains uneven across tumor types and clinical settings. In cervical carcinoma, for </w:t>
      </w:r>
      <w:r w:rsidR="000E4701" w:rsidRPr="00E915DB">
        <w:t>example</w:t>
      </w:r>
      <w:r w:rsidRPr="00E915DB">
        <w:t xml:space="preserve">, molecular profiling has not yet achieved the same </w:t>
      </w:r>
      <w:r w:rsidR="000E4701" w:rsidRPr="00E915DB">
        <w:t xml:space="preserve">degree </w:t>
      </w:r>
      <w:r w:rsidRPr="00E915DB">
        <w:t xml:space="preserve">of integration into standard care, with HPV status still </w:t>
      </w:r>
      <w:r w:rsidR="000E4701" w:rsidRPr="00E915DB">
        <w:t xml:space="preserve">remaining </w:t>
      </w:r>
      <w:r w:rsidRPr="00E915DB">
        <w:t xml:space="preserve">the </w:t>
      </w:r>
      <w:r w:rsidR="000E4701" w:rsidRPr="00E915DB">
        <w:t>pre</w:t>
      </w:r>
      <w:r w:rsidRPr="00E915DB">
        <w:t xml:space="preserve">dominant biological driver in most cases. More broadly, several challenges continue to limit the full </w:t>
      </w:r>
      <w:r w:rsidR="000E4701" w:rsidRPr="00E915DB">
        <w:t xml:space="preserve">implementation </w:t>
      </w:r>
      <w:r w:rsidRPr="00E915DB">
        <w:t>of precision oncology</w:t>
      </w:r>
      <w:r w:rsidR="000E4701" w:rsidRPr="00E915DB">
        <w:t xml:space="preserve">, including </w:t>
      </w:r>
      <w:r w:rsidRPr="00E915DB">
        <w:t xml:space="preserve">tumor heterogeneity, </w:t>
      </w:r>
      <w:r w:rsidR="000E4701" w:rsidRPr="00E915DB">
        <w:t xml:space="preserve">unequal </w:t>
      </w:r>
      <w:r w:rsidRPr="00E915DB">
        <w:t xml:space="preserve">access to molecular testing, </w:t>
      </w:r>
      <w:r w:rsidR="000E4701" w:rsidRPr="00E915DB">
        <w:t xml:space="preserve">the </w:t>
      </w:r>
      <w:r w:rsidRPr="00E915DB">
        <w:t xml:space="preserve">interpretative complexity of genomic data, and the clinical uncertainty </w:t>
      </w:r>
      <w:r w:rsidR="000E4701" w:rsidRPr="00E915DB">
        <w:t xml:space="preserve">associated with </w:t>
      </w:r>
      <w:r w:rsidRPr="00E915DB">
        <w:t>variants of unknown significance.</w:t>
      </w:r>
    </w:p>
    <w:p w14:paraId="20C995BB" w14:textId="45BD0688" w:rsidR="00D86B89" w:rsidRPr="00E915DB" w:rsidRDefault="00D86B89" w:rsidP="0093544B">
      <w:pPr>
        <w:pStyle w:val="Text"/>
        <w:ind w:firstLine="420"/>
      </w:pPr>
      <w:r w:rsidRPr="00E915DB">
        <w:lastRenderedPageBreak/>
        <w:t xml:space="preserve">Furthermore, </w:t>
      </w:r>
      <w:r w:rsidR="00967B42" w:rsidRPr="00E915DB">
        <w:t xml:space="preserve">although </w:t>
      </w:r>
      <w:r w:rsidRPr="00E915DB">
        <w:t xml:space="preserve">molecular classification refines prognostic stratification, its impact on improving long-term outcomes at the population level remains to be fully </w:t>
      </w:r>
      <w:r w:rsidR="00967B42" w:rsidRPr="00E915DB">
        <w:t>established</w:t>
      </w:r>
      <w:r w:rsidRPr="00E915DB">
        <w:t xml:space="preserve">. The translation </w:t>
      </w:r>
      <w:r w:rsidR="00967B42" w:rsidRPr="00E915DB">
        <w:t xml:space="preserve">of </w:t>
      </w:r>
      <w:r w:rsidRPr="00E915DB">
        <w:t>molecular insight</w:t>
      </w:r>
      <w:r w:rsidR="00967B42" w:rsidRPr="00E915DB">
        <w:t>s</w:t>
      </w:r>
      <w:r w:rsidRPr="00E915DB">
        <w:t xml:space="preserve"> </w:t>
      </w:r>
      <w:r w:rsidR="00967B42" w:rsidRPr="00E915DB">
        <w:t>in</w:t>
      </w:r>
      <w:r w:rsidRPr="00E915DB">
        <w:t xml:space="preserve">to therapeutic benefit is not always linear, and in some contexts, expectations have </w:t>
      </w:r>
      <w:r w:rsidR="00967B42" w:rsidRPr="00E915DB">
        <w:t xml:space="preserve">exceeded demonstrated </w:t>
      </w:r>
      <w:r w:rsidRPr="00E915DB">
        <w:t>clinical utility.</w:t>
      </w:r>
    </w:p>
    <w:p w14:paraId="10F7F9A9" w14:textId="7FB07588" w:rsidR="005E31E4" w:rsidRPr="00E915DB" w:rsidRDefault="00D86B89" w:rsidP="0093544B">
      <w:pPr>
        <w:pStyle w:val="Text"/>
        <w:ind w:firstLine="420"/>
      </w:pPr>
      <w:r w:rsidRPr="00E915DB">
        <w:t xml:space="preserve">Therefore, rather than </w:t>
      </w:r>
      <w:r w:rsidR="00C10F89" w:rsidRPr="00E915DB">
        <w:t xml:space="preserve">representing </w:t>
      </w:r>
      <w:r w:rsidRPr="00E915DB">
        <w:t>a uniform revolution, molecular pathology in gynecologic oncology may be better understood as a progressive and context-dependent transformation</w:t>
      </w:r>
      <w:r w:rsidR="00C10F89" w:rsidRPr="00E915DB">
        <w:t xml:space="preserve"> </w:t>
      </w:r>
      <w:r w:rsidRPr="00E915DB">
        <w:t xml:space="preserve"> that has profoundly reshaped selected areas of </w:t>
      </w:r>
      <w:r w:rsidR="00C10F89" w:rsidRPr="00E915DB">
        <w:t xml:space="preserve">clinical </w:t>
      </w:r>
      <w:r w:rsidRPr="00E915DB">
        <w:t>practice while leaving others still in transition. Recognizing both its achievements and its current limitations is essential to guide future research, optimize clinical implementation, and ensure equitable access to precision medicine</w:t>
      </w:r>
      <w:r w:rsidR="00985307" w:rsidRPr="00E915DB">
        <w:t>.</w:t>
      </w:r>
    </w:p>
    <w:p w14:paraId="2D7C9A94" w14:textId="77777777" w:rsidR="00963941" w:rsidRPr="00E915DB" w:rsidRDefault="00963941" w:rsidP="00963941">
      <w:pPr>
        <w:pStyle w:val="Backmatter"/>
        <w:spacing w:before="180" w:after="180"/>
      </w:pPr>
      <w:r w:rsidRPr="00E915DB">
        <w:t>Author Contributions</w:t>
      </w:r>
    </w:p>
    <w:p w14:paraId="2042D8CA" w14:textId="7A01D29C" w:rsidR="00963941" w:rsidRDefault="00963941" w:rsidP="00963941">
      <w:pPr>
        <w:pStyle w:val="Backmattertext"/>
        <w:ind w:firstLine="420"/>
      </w:pPr>
      <w:r w:rsidRPr="00E915DB">
        <w:t>.</w:t>
      </w:r>
    </w:p>
    <w:p w14:paraId="3A351DCE" w14:textId="1D833688" w:rsidR="004E37A8" w:rsidRPr="00E915DB" w:rsidRDefault="004E37A8" w:rsidP="00963941">
      <w:pPr>
        <w:pStyle w:val="Backmattertext"/>
        <w:ind w:firstLine="420"/>
      </w:pPr>
      <w:r>
        <w:t>VGV conceived and coordinated the project and supervised the overall integration and development of the manuscript. RM and MTG drafted the initial manuscript. GG and MP performed the literature review and critically revised the manuscript for important intellectual content. FB, KM, SM, and SF contributed to scientific discussion and domain-specific expertise. EM critically revised the final manuscript and contributed to the interpretation of the review. All authors contributed to editorial revisions of the manuscript, read and approved the final version, and agreed to be accountable for all aspects of the work.</w:t>
      </w:r>
    </w:p>
    <w:p w14:paraId="3F8379A0" w14:textId="77777777" w:rsidR="00963941" w:rsidRPr="00E915DB" w:rsidRDefault="00963941" w:rsidP="00963941">
      <w:pPr>
        <w:pStyle w:val="Backmatter"/>
        <w:spacing w:before="180" w:after="180"/>
      </w:pPr>
      <w:r w:rsidRPr="00E915DB">
        <w:t>Ethics Approval and Consent to Participate</w:t>
      </w:r>
    </w:p>
    <w:p w14:paraId="31DDCA77" w14:textId="77777777" w:rsidR="00963941" w:rsidRPr="00E915DB" w:rsidRDefault="00963941" w:rsidP="00963941">
      <w:pPr>
        <w:pStyle w:val="Backmattertext"/>
        <w:ind w:firstLine="420"/>
      </w:pPr>
      <w:r w:rsidRPr="00E915DB">
        <w:t>Not applicable.</w:t>
      </w:r>
    </w:p>
    <w:p w14:paraId="24ACFAD1" w14:textId="77777777" w:rsidR="00963941" w:rsidRPr="00E915DB" w:rsidRDefault="00963941" w:rsidP="00963941">
      <w:pPr>
        <w:pStyle w:val="Backmatter"/>
        <w:spacing w:before="180" w:after="180"/>
      </w:pPr>
      <w:r w:rsidRPr="00E915DB">
        <w:t>Acknowledgment</w:t>
      </w:r>
    </w:p>
    <w:p w14:paraId="1B1EF7A0" w14:textId="624A7F02" w:rsidR="00963941" w:rsidRPr="00E915DB" w:rsidRDefault="006F1296" w:rsidP="006F1296">
      <w:pPr>
        <w:pStyle w:val="Backmattertext"/>
        <w:ind w:firstLineChars="0" w:firstLine="0"/>
        <w:rPr>
          <w:lang w:val="en-GB"/>
        </w:rPr>
      </w:pPr>
      <w:r w:rsidRPr="00E915DB">
        <w:rPr>
          <w:lang w:val="en-GB"/>
        </w:rPr>
        <w:t xml:space="preserve">The authors gratefully acknowledge the laboratory technicians and research support personnel of the IRCCS </w:t>
      </w:r>
      <w:proofErr w:type="spellStart"/>
      <w:r w:rsidRPr="00E915DB">
        <w:rPr>
          <w:lang w:val="en-GB"/>
        </w:rPr>
        <w:t>Istituto</w:t>
      </w:r>
      <w:proofErr w:type="spellEnd"/>
      <w:r w:rsidRPr="00E915DB">
        <w:rPr>
          <w:lang w:val="en-GB"/>
        </w:rPr>
        <w:t xml:space="preserve"> </w:t>
      </w:r>
      <w:proofErr w:type="spellStart"/>
      <w:r w:rsidRPr="00E915DB">
        <w:rPr>
          <w:lang w:val="en-GB"/>
        </w:rPr>
        <w:t>Giannina</w:t>
      </w:r>
      <w:proofErr w:type="spellEnd"/>
      <w:r w:rsidRPr="00E915DB">
        <w:rPr>
          <w:lang w:val="en-GB"/>
        </w:rPr>
        <w:t xml:space="preserve"> </w:t>
      </w:r>
      <w:proofErr w:type="spellStart"/>
      <w:r w:rsidRPr="00E915DB">
        <w:rPr>
          <w:lang w:val="en-GB"/>
        </w:rPr>
        <w:t>Gaslini</w:t>
      </w:r>
      <w:proofErr w:type="spellEnd"/>
      <w:r w:rsidRPr="00E915DB">
        <w:rPr>
          <w:lang w:val="en-GB"/>
        </w:rPr>
        <w:t xml:space="preserve"> and the AOM-IRCCS </w:t>
      </w:r>
      <w:proofErr w:type="spellStart"/>
      <w:r w:rsidRPr="00E915DB">
        <w:rPr>
          <w:lang w:val="en-GB"/>
        </w:rPr>
        <w:t>Ospedale</w:t>
      </w:r>
      <w:proofErr w:type="spellEnd"/>
      <w:r w:rsidRPr="00E915DB">
        <w:rPr>
          <w:lang w:val="en-GB"/>
        </w:rPr>
        <w:t xml:space="preserve"> </w:t>
      </w:r>
      <w:proofErr w:type="spellStart"/>
      <w:r w:rsidRPr="00E915DB">
        <w:rPr>
          <w:lang w:val="en-GB"/>
        </w:rPr>
        <w:t>Policlinico</w:t>
      </w:r>
      <w:proofErr w:type="spellEnd"/>
      <w:r w:rsidRPr="00E915DB">
        <w:rPr>
          <w:lang w:val="en-GB"/>
        </w:rPr>
        <w:t xml:space="preserve"> San Martino for their invaluable daily technical and organizational support, which significantly contributed to the clinical, diagnostic, and research activities underlying this work</w:t>
      </w:r>
    </w:p>
    <w:p w14:paraId="0E0E647C" w14:textId="77777777" w:rsidR="00963941" w:rsidRPr="00E915DB" w:rsidRDefault="00963941" w:rsidP="00963941">
      <w:pPr>
        <w:pStyle w:val="Backmatter"/>
        <w:spacing w:before="180" w:after="180"/>
      </w:pPr>
      <w:r w:rsidRPr="00E915DB">
        <w:t>Funding</w:t>
      </w:r>
    </w:p>
    <w:p w14:paraId="593194BB" w14:textId="2F99D25A" w:rsidR="00963941" w:rsidRPr="00E915DB" w:rsidRDefault="00963941" w:rsidP="00963941">
      <w:pPr>
        <w:pStyle w:val="Backmattertext"/>
        <w:ind w:firstLine="420"/>
      </w:pPr>
      <w:r w:rsidRPr="00E915DB">
        <w:t xml:space="preserve">The research leading to these results has received funding from AIRC </w:t>
      </w:r>
      <w:r w:rsidR="009340D3" w:rsidRPr="00E915DB">
        <w:t xml:space="preserve">under IG </w:t>
      </w:r>
      <w:r w:rsidRPr="00E915DB">
        <w:t xml:space="preserve">2021—ID. 26037 project—P.I. </w:t>
      </w:r>
      <w:proofErr w:type="spellStart"/>
      <w:r w:rsidRPr="00E915DB">
        <w:t>Marcenaro</w:t>
      </w:r>
      <w:proofErr w:type="spellEnd"/>
      <w:r w:rsidRPr="00E915DB">
        <w:t xml:space="preserve"> </w:t>
      </w:r>
      <w:proofErr w:type="spellStart"/>
      <w:r w:rsidRPr="00E915DB">
        <w:t>Emanuela</w:t>
      </w:r>
      <w:proofErr w:type="spellEnd"/>
      <w:r w:rsidRPr="00E915DB">
        <w:t xml:space="preserve">. Additional grants from University of Genova: PRIN-MIUR 2022, grant n. 2022YCKH7K-P.I. </w:t>
      </w:r>
      <w:proofErr w:type="spellStart"/>
      <w:r w:rsidRPr="00E915DB">
        <w:t>Marcenaro</w:t>
      </w:r>
      <w:proofErr w:type="spellEnd"/>
      <w:r w:rsidRPr="00E915DB">
        <w:t xml:space="preserve"> </w:t>
      </w:r>
      <w:proofErr w:type="spellStart"/>
      <w:r w:rsidRPr="00E915DB">
        <w:t>Emanuela</w:t>
      </w:r>
      <w:proofErr w:type="spellEnd"/>
      <w:r w:rsidRPr="00E915DB">
        <w:t>.</w:t>
      </w:r>
    </w:p>
    <w:p w14:paraId="5E239FCD" w14:textId="77777777" w:rsidR="00963941" w:rsidRPr="00E915DB" w:rsidRDefault="00963941" w:rsidP="00963941">
      <w:pPr>
        <w:pStyle w:val="Backmatter"/>
        <w:spacing w:before="180" w:after="180"/>
      </w:pPr>
      <w:r w:rsidRPr="00E915DB">
        <w:t>Conflicts of Interest</w:t>
      </w:r>
    </w:p>
    <w:p w14:paraId="17B65B75" w14:textId="133A83C6" w:rsidR="00963941" w:rsidRPr="00E915DB" w:rsidRDefault="00963941" w:rsidP="00963941">
      <w:pPr>
        <w:spacing w:after="0" w:line="240" w:lineRule="auto"/>
        <w:ind w:firstLineChars="200" w:firstLine="420"/>
        <w:jc w:val="both"/>
        <w:rPr>
          <w:rFonts w:ascii="宋体" w:eastAsia="宋体" w:hAnsi="宋体" w:cs="宋体"/>
          <w:sz w:val="24"/>
          <w:szCs w:val="24"/>
          <w:lang w:val="en-US" w:eastAsia="zh-CN"/>
        </w:rPr>
      </w:pPr>
      <w:r w:rsidRPr="00E915DB">
        <w:rPr>
          <w:sz w:val="21"/>
          <w:szCs w:val="22"/>
          <w:lang w:val="en-GB" w:eastAsia="de-DE"/>
        </w:rPr>
        <w:t xml:space="preserve">The authors declare no conflict of interest. </w:t>
      </w:r>
      <w:r w:rsidRPr="00E915DB">
        <w:rPr>
          <w:lang w:val="en-GB"/>
        </w:rPr>
        <w:t xml:space="preserve">Valerio Gaetano </w:t>
      </w:r>
      <w:proofErr w:type="spellStart"/>
      <w:r w:rsidRPr="00E915DB">
        <w:rPr>
          <w:lang w:val="en-GB"/>
        </w:rPr>
        <w:t>Vellone</w:t>
      </w:r>
      <w:proofErr w:type="spellEnd"/>
      <w:r w:rsidRPr="00E915DB">
        <w:rPr>
          <w:sz w:val="21"/>
          <w:szCs w:val="22"/>
          <w:lang w:val="en-GB" w:eastAsia="de-DE"/>
        </w:rPr>
        <w:t xml:space="preserve"> </w:t>
      </w:r>
      <w:r w:rsidR="00E915DB" w:rsidRPr="00E915DB">
        <w:rPr>
          <w:sz w:val="21"/>
          <w:szCs w:val="22"/>
          <w:lang w:val="en-GB" w:eastAsia="de-DE"/>
        </w:rPr>
        <w:t>is</w:t>
      </w:r>
      <w:r w:rsidRPr="00E915DB">
        <w:rPr>
          <w:sz w:val="21"/>
          <w:szCs w:val="22"/>
          <w:lang w:val="en-GB" w:eastAsia="de-DE"/>
        </w:rPr>
        <w:t xml:space="preserve"> serving as </w:t>
      </w:r>
      <w:r w:rsidR="00E915DB" w:rsidRPr="00E915DB">
        <w:rPr>
          <w:sz w:val="21"/>
          <w:szCs w:val="22"/>
          <w:lang w:val="en-GB" w:eastAsia="de-DE"/>
        </w:rPr>
        <w:t>an</w:t>
      </w:r>
      <w:r w:rsidRPr="00E915DB">
        <w:rPr>
          <w:sz w:val="21"/>
          <w:szCs w:val="22"/>
          <w:lang w:val="en-GB" w:eastAsia="de-DE"/>
        </w:rPr>
        <w:t xml:space="preserve"> Editorial Board </w:t>
      </w:r>
      <w:r w:rsidR="00E915DB" w:rsidRPr="00E915DB">
        <w:rPr>
          <w:sz w:val="21"/>
          <w:szCs w:val="22"/>
          <w:lang w:val="en-GB" w:eastAsia="de-DE"/>
        </w:rPr>
        <w:t>member</w:t>
      </w:r>
      <w:r w:rsidRPr="00E915DB">
        <w:rPr>
          <w:sz w:val="21"/>
          <w:szCs w:val="22"/>
          <w:lang w:val="en-GB" w:eastAsia="de-DE"/>
        </w:rPr>
        <w:t xml:space="preserve"> of this journal. </w:t>
      </w:r>
      <w:r w:rsidR="00E915DB" w:rsidRPr="00E915DB">
        <w:rPr>
          <w:lang w:val="en-GB"/>
        </w:rPr>
        <w:t>Simone Ferrero</w:t>
      </w:r>
      <w:r w:rsidR="00E915DB" w:rsidRPr="00E915DB">
        <w:rPr>
          <w:sz w:val="21"/>
          <w:szCs w:val="22"/>
          <w:lang w:val="en-GB" w:eastAsia="de-DE"/>
        </w:rPr>
        <w:t xml:space="preserve"> is serving as the Guest Editor and Editorial Board member of this journal. </w:t>
      </w:r>
      <w:r w:rsidRPr="00E915DB">
        <w:rPr>
          <w:sz w:val="21"/>
          <w:szCs w:val="22"/>
          <w:lang w:val="en-GB" w:eastAsia="de-DE"/>
        </w:rPr>
        <w:t xml:space="preserve">We declare that </w:t>
      </w:r>
      <w:r w:rsidRPr="00E915DB">
        <w:rPr>
          <w:lang w:val="en-GB"/>
        </w:rPr>
        <w:t xml:space="preserve">Valerio Gaetano </w:t>
      </w:r>
      <w:proofErr w:type="spellStart"/>
      <w:r w:rsidRPr="00E915DB">
        <w:rPr>
          <w:lang w:val="en-GB"/>
        </w:rPr>
        <w:t>Vellone</w:t>
      </w:r>
      <w:proofErr w:type="spellEnd"/>
      <w:r w:rsidRPr="00E915DB">
        <w:rPr>
          <w:sz w:val="21"/>
          <w:szCs w:val="22"/>
          <w:lang w:val="en-GB" w:eastAsia="de-DE"/>
        </w:rPr>
        <w:t xml:space="preserve"> and </w:t>
      </w:r>
      <w:r w:rsidRPr="00E915DB">
        <w:rPr>
          <w:lang w:val="en-GB"/>
        </w:rPr>
        <w:t>Simone Ferrero</w:t>
      </w:r>
      <w:r w:rsidRPr="00E915DB">
        <w:rPr>
          <w:sz w:val="21"/>
          <w:szCs w:val="22"/>
          <w:lang w:val="en-GB" w:eastAsia="de-DE"/>
        </w:rPr>
        <w:t xml:space="preserve"> </w:t>
      </w:r>
      <w:proofErr w:type="gramStart"/>
      <w:r w:rsidRPr="00E915DB">
        <w:rPr>
          <w:sz w:val="21"/>
          <w:szCs w:val="22"/>
          <w:lang w:val="en-GB" w:eastAsia="de-DE"/>
        </w:rPr>
        <w:t>had no involvement</w:t>
      </w:r>
      <w:proofErr w:type="gramEnd"/>
      <w:r w:rsidRPr="00E915DB">
        <w:rPr>
          <w:sz w:val="21"/>
          <w:szCs w:val="22"/>
          <w:lang w:val="en-GB" w:eastAsia="de-DE"/>
        </w:rPr>
        <w:t xml:space="preserve"> in the peer review of this article and have no access to information regarding its peer review. Full responsibility for the editorial process for this article was delegated to </w:t>
      </w:r>
      <w:r w:rsidRPr="00E915DB">
        <w:rPr>
          <w:lang w:val="en-GB"/>
        </w:rPr>
        <w:t xml:space="preserve">Christos </w:t>
      </w:r>
      <w:proofErr w:type="spellStart"/>
      <w:r w:rsidRPr="00E915DB">
        <w:rPr>
          <w:lang w:val="en-GB"/>
        </w:rPr>
        <w:t>Iavazzo</w:t>
      </w:r>
      <w:proofErr w:type="spellEnd"/>
      <w:r w:rsidRPr="00E915DB">
        <w:rPr>
          <w:lang w:val="en-GB"/>
        </w:rPr>
        <w:t xml:space="preserve"> and Michael H. </w:t>
      </w:r>
      <w:proofErr w:type="spellStart"/>
      <w:r w:rsidRPr="00E915DB">
        <w:rPr>
          <w:lang w:val="en-GB"/>
        </w:rPr>
        <w:t>Dahan</w:t>
      </w:r>
      <w:proofErr w:type="spellEnd"/>
      <w:r w:rsidRPr="00E915DB">
        <w:rPr>
          <w:lang w:val="en-GB"/>
        </w:rPr>
        <w:t>.</w:t>
      </w:r>
    </w:p>
    <w:p w14:paraId="49DF6521" w14:textId="77777777" w:rsidR="00963941" w:rsidRPr="00E915DB" w:rsidRDefault="00963941" w:rsidP="00963941">
      <w:pPr>
        <w:pStyle w:val="Backmatter"/>
        <w:spacing w:before="180" w:after="180"/>
      </w:pPr>
      <w:r w:rsidRPr="00E915DB">
        <w:t>Declaration of AI and AI-Assisted Technologies in the Writing Process</w:t>
      </w:r>
    </w:p>
    <w:p w14:paraId="1A3783B9" w14:textId="38497186" w:rsidR="00963941" w:rsidRPr="00E915DB" w:rsidRDefault="00D97F64" w:rsidP="00963941">
      <w:pPr>
        <w:pStyle w:val="Backmattertext"/>
        <w:ind w:firstLine="420"/>
      </w:pPr>
      <w:r w:rsidRPr="00E915DB">
        <w:rPr>
          <w:lang w:val="en-GB"/>
        </w:rPr>
        <w:t>Artificial intelligence tools were used exclusively for syntactic and grammatical revision of the manuscript and for the generation of some graphical elements included in the figures</w:t>
      </w:r>
      <w:r w:rsidR="00261747" w:rsidRPr="00E915DB">
        <w:rPr>
          <w:lang w:val="en-GB"/>
        </w:rPr>
        <w:t xml:space="preserve">. </w:t>
      </w:r>
      <w:r w:rsidR="00963941" w:rsidRPr="00E915DB">
        <w:t>The authors take full responsibility for the content of the manuscript.</w:t>
      </w:r>
    </w:p>
    <w:p w14:paraId="18587AC0" w14:textId="77777777" w:rsidR="001C78AD" w:rsidRPr="00E915DB" w:rsidRDefault="001C78AD" w:rsidP="0093544B">
      <w:pPr>
        <w:pStyle w:val="Text"/>
        <w:ind w:firstLine="420"/>
      </w:pPr>
    </w:p>
    <w:p w14:paraId="330A8549" w14:textId="39D2DAC4" w:rsidR="007111C5" w:rsidRPr="00E915DB" w:rsidRDefault="006254CA" w:rsidP="006254CA">
      <w:pPr>
        <w:pStyle w:val="Backmatter"/>
        <w:spacing w:before="180" w:after="180"/>
      </w:pPr>
      <w:r w:rsidRPr="00E915DB">
        <w:t>References</w:t>
      </w:r>
    </w:p>
    <w:p w14:paraId="5264E4DA"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[1] Cancer Genome Atlas Research Network, </w:t>
      </w:r>
      <w:proofErr w:type="spellStart"/>
      <w:r w:rsidRPr="00E915DB">
        <w:rPr>
          <w:rFonts w:eastAsia="宋体"/>
          <w:color w:val="000000" w:themeColor="text1"/>
          <w:szCs w:val="18"/>
        </w:rPr>
        <w:t>Kandoth</w:t>
      </w:r>
      <w:proofErr w:type="spellEnd"/>
      <w:r w:rsidRPr="00E915DB">
        <w:rPr>
          <w:rFonts w:eastAsia="宋体"/>
          <w:color w:val="000000" w:themeColor="text1"/>
          <w:szCs w:val="18"/>
        </w:rPr>
        <w:t xml:space="preserve"> C, Schultz N, </w:t>
      </w:r>
      <w:proofErr w:type="spellStart"/>
      <w:r w:rsidRPr="00E915DB">
        <w:rPr>
          <w:rFonts w:eastAsia="宋体"/>
          <w:color w:val="000000" w:themeColor="text1"/>
          <w:szCs w:val="18"/>
        </w:rPr>
        <w:t>Cherniack</w:t>
      </w:r>
      <w:proofErr w:type="spellEnd"/>
      <w:r w:rsidRPr="00E915DB">
        <w:rPr>
          <w:rFonts w:eastAsia="宋体"/>
          <w:color w:val="000000" w:themeColor="text1"/>
          <w:szCs w:val="18"/>
        </w:rPr>
        <w:t xml:space="preserve"> AD, </w:t>
      </w:r>
      <w:proofErr w:type="spellStart"/>
      <w:r w:rsidRPr="00E915DB">
        <w:rPr>
          <w:rFonts w:eastAsia="宋体"/>
          <w:color w:val="000000" w:themeColor="text1"/>
          <w:szCs w:val="18"/>
        </w:rPr>
        <w:t>Akbani</w:t>
      </w:r>
      <w:proofErr w:type="spellEnd"/>
      <w:r w:rsidRPr="00E915DB">
        <w:rPr>
          <w:rFonts w:eastAsia="宋体"/>
          <w:color w:val="000000" w:themeColor="text1"/>
          <w:szCs w:val="18"/>
        </w:rPr>
        <w:t xml:space="preserve"> R, Liu Y, </w:t>
      </w:r>
      <w:r w:rsidRPr="00E915DB">
        <w:rPr>
          <w:rFonts w:eastAsia="宋体"/>
          <w:i/>
          <w:iCs/>
          <w:color w:val="000000" w:themeColor="text1"/>
          <w:szCs w:val="18"/>
        </w:rPr>
        <w:t>et al</w:t>
      </w:r>
      <w:r w:rsidRPr="00E915DB">
        <w:rPr>
          <w:rFonts w:eastAsia="宋体"/>
          <w:color w:val="000000" w:themeColor="text1"/>
          <w:szCs w:val="18"/>
        </w:rPr>
        <w:t>. Integrated genomic characterization of endometrial carcinoma. Nature. 2013; 497: 67–73. https://doi.org/10.1038/nature12113.</w:t>
      </w:r>
    </w:p>
    <w:p w14:paraId="03AC72AA"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[2] Cancer Genome Atlas Research Network. Integrated genomic analyses of ovarian carcinoma. Nature. 2011; 474: 609–615. https://doi.org/10.1038/nature10166.</w:t>
      </w:r>
    </w:p>
    <w:p w14:paraId="09B793B7"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[3] </w:t>
      </w:r>
      <w:proofErr w:type="spellStart"/>
      <w:r w:rsidRPr="00E915DB">
        <w:rPr>
          <w:rFonts w:eastAsia="宋体"/>
          <w:color w:val="000000" w:themeColor="text1"/>
          <w:szCs w:val="18"/>
        </w:rPr>
        <w:t>Baethge</w:t>
      </w:r>
      <w:proofErr w:type="spellEnd"/>
      <w:r w:rsidRPr="00E915DB">
        <w:rPr>
          <w:rFonts w:eastAsia="宋体"/>
          <w:color w:val="000000" w:themeColor="text1"/>
          <w:szCs w:val="18"/>
        </w:rPr>
        <w:t xml:space="preserve"> C, </w:t>
      </w:r>
      <w:proofErr w:type="spellStart"/>
      <w:r w:rsidRPr="00E915DB">
        <w:rPr>
          <w:rFonts w:eastAsia="宋体"/>
          <w:color w:val="000000" w:themeColor="text1"/>
          <w:szCs w:val="18"/>
        </w:rPr>
        <w:t>Goldbeck</w:t>
      </w:r>
      <w:proofErr w:type="spellEnd"/>
      <w:r w:rsidRPr="00E915DB">
        <w:rPr>
          <w:rFonts w:eastAsia="宋体"/>
          <w:color w:val="000000" w:themeColor="text1"/>
          <w:szCs w:val="18"/>
        </w:rPr>
        <w:t>-Wood S, Mertens S. SANRA-a scale for the quality assessment of narrative review articles. Research Integrity and Peer Review. 2019; 4: 5. https://doi.org/10.1186/s41073-019-0064-8.</w:t>
      </w:r>
    </w:p>
    <w:p w14:paraId="62AA908C"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[4] He J, Abdel-Wahab O, </w:t>
      </w:r>
      <w:proofErr w:type="spellStart"/>
      <w:r w:rsidRPr="00E915DB">
        <w:rPr>
          <w:rFonts w:eastAsia="宋体"/>
          <w:color w:val="000000" w:themeColor="text1"/>
          <w:szCs w:val="18"/>
        </w:rPr>
        <w:t>Nahas</w:t>
      </w:r>
      <w:proofErr w:type="spellEnd"/>
      <w:r w:rsidRPr="00E915DB">
        <w:rPr>
          <w:rFonts w:eastAsia="宋体"/>
          <w:color w:val="000000" w:themeColor="text1"/>
          <w:szCs w:val="18"/>
        </w:rPr>
        <w:t xml:space="preserve"> MK, Wang K, </w:t>
      </w:r>
      <w:proofErr w:type="spellStart"/>
      <w:r w:rsidRPr="00E915DB">
        <w:rPr>
          <w:rFonts w:eastAsia="宋体"/>
          <w:color w:val="000000" w:themeColor="text1"/>
          <w:szCs w:val="18"/>
        </w:rPr>
        <w:t>Rampal</w:t>
      </w:r>
      <w:proofErr w:type="spellEnd"/>
      <w:r w:rsidRPr="00E915DB">
        <w:rPr>
          <w:rFonts w:eastAsia="宋体"/>
          <w:color w:val="000000" w:themeColor="text1"/>
          <w:szCs w:val="18"/>
        </w:rPr>
        <w:t xml:space="preserve"> RK, </w:t>
      </w:r>
      <w:proofErr w:type="spellStart"/>
      <w:r w:rsidRPr="00E915DB">
        <w:rPr>
          <w:rFonts w:eastAsia="宋体"/>
          <w:color w:val="000000" w:themeColor="text1"/>
          <w:szCs w:val="18"/>
        </w:rPr>
        <w:t>Intlekofer</w:t>
      </w:r>
      <w:proofErr w:type="spellEnd"/>
      <w:r w:rsidRPr="00E915DB">
        <w:rPr>
          <w:rFonts w:eastAsia="宋体"/>
          <w:color w:val="000000" w:themeColor="text1"/>
          <w:szCs w:val="18"/>
        </w:rPr>
        <w:t xml:space="preserve"> AM, </w:t>
      </w:r>
      <w:r w:rsidRPr="00E915DB">
        <w:rPr>
          <w:rFonts w:eastAsia="宋体"/>
          <w:i/>
          <w:iCs/>
          <w:color w:val="000000" w:themeColor="text1"/>
          <w:szCs w:val="18"/>
        </w:rPr>
        <w:t>et al</w:t>
      </w:r>
      <w:r w:rsidRPr="00E915DB">
        <w:rPr>
          <w:rFonts w:eastAsia="宋体"/>
          <w:color w:val="000000" w:themeColor="text1"/>
          <w:szCs w:val="18"/>
        </w:rPr>
        <w:t>. Integrated genomic DNA/RNA profiling of hematologic malignancies in the clinical setting. Blood. 2016; 127: 3004–3014. https://doi.org/10.1182/blood-2015-08-664649.</w:t>
      </w:r>
    </w:p>
    <w:p w14:paraId="4478261F" w14:textId="2D759F64"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[5] </w:t>
      </w:r>
      <w:proofErr w:type="spellStart"/>
      <w:r w:rsidRPr="00E915DB">
        <w:rPr>
          <w:rFonts w:eastAsia="宋体"/>
          <w:color w:val="000000" w:themeColor="text1"/>
          <w:szCs w:val="18"/>
        </w:rPr>
        <w:t>Vellone</w:t>
      </w:r>
      <w:proofErr w:type="spellEnd"/>
      <w:r w:rsidRPr="00E915DB">
        <w:rPr>
          <w:rFonts w:eastAsia="宋体"/>
          <w:color w:val="000000" w:themeColor="text1"/>
          <w:szCs w:val="18"/>
        </w:rPr>
        <w:t xml:space="preserve"> VG. Advancements in gynecologic pathology: a molecular, digital, and biobanking perspective. Clinical and Experimental Obstetrics &amp; Gynecology. 2024; 51: 131. https://doi.org/10.31083/j.ceog5106131.</w:t>
      </w:r>
    </w:p>
    <w:p w14:paraId="505B563E"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[6] Cancer Genome Atlas Research Network, Albert Einstein College of Medicine, Analytical Biological Services, </w:t>
      </w:r>
      <w:proofErr w:type="spellStart"/>
      <w:r w:rsidRPr="00E915DB">
        <w:rPr>
          <w:rFonts w:eastAsia="宋体"/>
          <w:color w:val="000000" w:themeColor="text1"/>
          <w:szCs w:val="18"/>
        </w:rPr>
        <w:t>Barretos</w:t>
      </w:r>
      <w:proofErr w:type="spellEnd"/>
      <w:r w:rsidRPr="00E915DB">
        <w:rPr>
          <w:rFonts w:eastAsia="宋体"/>
          <w:color w:val="000000" w:themeColor="text1"/>
          <w:szCs w:val="18"/>
        </w:rPr>
        <w:t xml:space="preserve"> Cancer Hospital, Baylor College of Medicine, Beckman Research Institute of City of Hope, </w:t>
      </w:r>
      <w:r w:rsidRPr="00E915DB">
        <w:rPr>
          <w:rFonts w:eastAsia="宋体"/>
          <w:i/>
          <w:iCs/>
          <w:color w:val="000000" w:themeColor="text1"/>
          <w:szCs w:val="18"/>
        </w:rPr>
        <w:t>et al</w:t>
      </w:r>
      <w:r w:rsidRPr="00E915DB">
        <w:rPr>
          <w:rFonts w:eastAsia="宋体"/>
          <w:color w:val="000000" w:themeColor="text1"/>
          <w:szCs w:val="18"/>
        </w:rPr>
        <w:t>. Integrated genomic and molecular characterization of cervical cancer. Nature. 2017; 543: 378–384. https://doi.org/10.1038/nature21386.</w:t>
      </w:r>
    </w:p>
    <w:p w14:paraId="5B086057" w14:textId="14707C2C"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lang w:val="pt-PT"/>
        </w:rPr>
        <w:t>[7] Zannoni GF, Vellone VG, Arena V, Prisco MG, Scambia G, Carbone A, </w:t>
      </w:r>
      <w:r w:rsidRPr="00E915DB">
        <w:rPr>
          <w:rFonts w:eastAsia="宋体"/>
          <w:i/>
          <w:iCs/>
          <w:color w:val="000000" w:themeColor="text1"/>
          <w:szCs w:val="18"/>
          <w:lang w:val="pt-PT"/>
        </w:rPr>
        <w:t>et al</w:t>
      </w:r>
      <w:r w:rsidRPr="00E915DB">
        <w:rPr>
          <w:rFonts w:eastAsia="宋体"/>
          <w:color w:val="000000" w:themeColor="text1"/>
          <w:szCs w:val="18"/>
          <w:lang w:val="pt-PT"/>
        </w:rPr>
        <w:t xml:space="preserve">. </w:t>
      </w:r>
      <w:r w:rsidRPr="00E915DB">
        <w:rPr>
          <w:rFonts w:eastAsia="宋体"/>
          <w:color w:val="000000" w:themeColor="text1"/>
          <w:szCs w:val="18"/>
        </w:rPr>
        <w:t xml:space="preserve">Does high-grade endometrioid carcinoma (grade 3 FIGO) belong to type I or type II endometrial cancer? A clinical-pathological and immunohistochemical study. </w:t>
      </w:r>
      <w:proofErr w:type="spellStart"/>
      <w:r w:rsidRPr="00E915DB">
        <w:rPr>
          <w:rFonts w:eastAsia="宋体"/>
          <w:color w:val="000000" w:themeColor="text1"/>
          <w:szCs w:val="18"/>
        </w:rPr>
        <w:t>Virchows</w:t>
      </w:r>
      <w:proofErr w:type="spellEnd"/>
      <w:r w:rsidRPr="00E915DB">
        <w:rPr>
          <w:rFonts w:eastAsia="宋体"/>
          <w:color w:val="000000" w:themeColor="text1"/>
          <w:szCs w:val="18"/>
        </w:rPr>
        <w:t xml:space="preserve"> </w:t>
      </w:r>
      <w:proofErr w:type="spellStart"/>
      <w:r w:rsidRPr="00E915DB">
        <w:rPr>
          <w:rFonts w:eastAsia="宋体"/>
          <w:color w:val="000000" w:themeColor="text1"/>
          <w:szCs w:val="18"/>
        </w:rPr>
        <w:t>Archiv</w:t>
      </w:r>
      <w:proofErr w:type="spellEnd"/>
      <w:r w:rsidRPr="00E915DB">
        <w:rPr>
          <w:rFonts w:eastAsia="宋体"/>
          <w:color w:val="000000" w:themeColor="text1"/>
          <w:szCs w:val="18"/>
        </w:rPr>
        <w:t>. 2010; 457: 27–34. https://doi.org/10.1007/s00428-010-0939-z.</w:t>
      </w:r>
    </w:p>
    <w:p w14:paraId="6B64BEF2"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lang w:val="pt-PT"/>
        </w:rPr>
        <w:t>[8] Paleari L, Pesce S, Rutigliani M, Greppi M, Obino V, Gorlero F, </w:t>
      </w:r>
      <w:r w:rsidRPr="00E915DB">
        <w:rPr>
          <w:rFonts w:eastAsia="宋体"/>
          <w:i/>
          <w:iCs/>
          <w:color w:val="000000" w:themeColor="text1"/>
          <w:szCs w:val="18"/>
          <w:lang w:val="pt-PT"/>
        </w:rPr>
        <w:t>et al</w:t>
      </w:r>
      <w:r w:rsidRPr="00E915DB">
        <w:rPr>
          <w:rFonts w:eastAsia="宋体"/>
          <w:color w:val="000000" w:themeColor="text1"/>
          <w:szCs w:val="18"/>
          <w:lang w:val="pt-PT"/>
        </w:rPr>
        <w:t xml:space="preserve">. </w:t>
      </w:r>
      <w:r w:rsidRPr="00E915DB">
        <w:rPr>
          <w:rFonts w:eastAsia="宋体"/>
          <w:color w:val="000000" w:themeColor="text1"/>
          <w:szCs w:val="18"/>
        </w:rPr>
        <w:t>New Insights into Endometrial Cancer. Cancers. 2021; 13: 1496. https://doi.org/10.3390/cancers13071496.</w:t>
      </w:r>
    </w:p>
    <w:p w14:paraId="12FE45D9" w14:textId="77777777" w:rsidR="006254CA" w:rsidRPr="00E915DB" w:rsidRDefault="006254CA" w:rsidP="001E386E">
      <w:pPr>
        <w:pStyle w:val="Reference"/>
        <w:ind w:left="360" w:hanging="360"/>
        <w:rPr>
          <w:rFonts w:eastAsia="宋体"/>
          <w:color w:val="000000" w:themeColor="text1"/>
          <w:szCs w:val="18"/>
          <w:lang w:val="it-IT"/>
        </w:rPr>
      </w:pPr>
      <w:r w:rsidRPr="00E915DB">
        <w:rPr>
          <w:rFonts w:eastAsia="宋体"/>
          <w:color w:val="000000" w:themeColor="text1"/>
          <w:szCs w:val="18"/>
        </w:rPr>
        <w:t xml:space="preserve">[9] Goodwin S, McPherson JD, McCombie WR. Coming of age: ten years of next-generation sequencing technologies. </w:t>
      </w:r>
      <w:r w:rsidRPr="00E915DB">
        <w:rPr>
          <w:rFonts w:eastAsia="宋体"/>
          <w:color w:val="000000" w:themeColor="text1"/>
          <w:szCs w:val="18"/>
          <w:lang w:val="it-IT"/>
        </w:rPr>
        <w:t>Nature Reviews. Genetics. 2016; 17: 333–351. https://doi.org/10.1038/nrg.2016.49.</w:t>
      </w:r>
    </w:p>
    <w:p w14:paraId="3FCA5A18" w14:textId="3A586A58" w:rsidR="006254CA" w:rsidRPr="00E915DB" w:rsidRDefault="006254CA" w:rsidP="001E386E">
      <w:pPr>
        <w:pStyle w:val="Reference"/>
        <w:ind w:left="360" w:hanging="360"/>
        <w:rPr>
          <w:rFonts w:eastAsia="宋体"/>
          <w:color w:val="000000" w:themeColor="text1"/>
          <w:szCs w:val="18"/>
          <w:lang w:val="it-IT"/>
        </w:rPr>
      </w:pPr>
      <w:r w:rsidRPr="00E915DB">
        <w:rPr>
          <w:rFonts w:eastAsia="宋体"/>
          <w:color w:val="000000" w:themeColor="text1"/>
          <w:szCs w:val="18"/>
          <w:lang w:val="it-IT"/>
        </w:rPr>
        <w:t>[10] Paudice M, Biatta CM, Scaglione G, Parodi A, Mammoliti S, Moioli M, </w:t>
      </w:r>
      <w:r w:rsidRPr="00E915DB">
        <w:rPr>
          <w:rFonts w:eastAsia="宋体"/>
          <w:i/>
          <w:iCs/>
          <w:color w:val="000000" w:themeColor="text1"/>
          <w:szCs w:val="18"/>
          <w:lang w:val="it-IT"/>
        </w:rPr>
        <w:t>et al</w:t>
      </w:r>
      <w:r w:rsidRPr="00E915DB">
        <w:rPr>
          <w:rFonts w:eastAsia="宋体"/>
          <w:color w:val="000000" w:themeColor="text1"/>
          <w:szCs w:val="18"/>
          <w:lang w:val="it-IT"/>
        </w:rPr>
        <w:t xml:space="preserve">. </w:t>
      </w:r>
      <w:r w:rsidRPr="00E915DB">
        <w:rPr>
          <w:rFonts w:eastAsia="宋体"/>
          <w:color w:val="000000" w:themeColor="text1"/>
          <w:szCs w:val="18"/>
        </w:rPr>
        <w:t xml:space="preserve">Histopathological and Immunohistochemical Prognostic Factors in High-Grade Non-Endometrioid Carcinomas of the Endometrium (HG-NECs): Is It Possible to Identify Subgroups at Increased Risk? </w:t>
      </w:r>
      <w:r w:rsidRPr="00E915DB">
        <w:rPr>
          <w:rFonts w:eastAsia="宋体"/>
          <w:color w:val="000000" w:themeColor="text1"/>
          <w:szCs w:val="18"/>
          <w:lang w:val="it-IT"/>
        </w:rPr>
        <w:t>Diagnostics. 2023; 13: 2171. https://doi.org/10.3390/diagnostics13132171.</w:t>
      </w:r>
    </w:p>
    <w:p w14:paraId="50EF1067"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lang w:val="it-IT"/>
        </w:rPr>
        <w:t>[11] Paudice M, Greppi M, Valle L, Piol N, Barra F, Mammoliti S, </w:t>
      </w:r>
      <w:r w:rsidRPr="00E915DB">
        <w:rPr>
          <w:rFonts w:eastAsia="宋体"/>
          <w:i/>
          <w:iCs/>
          <w:color w:val="000000" w:themeColor="text1"/>
          <w:szCs w:val="18"/>
          <w:lang w:val="it-IT"/>
        </w:rPr>
        <w:t>et al</w:t>
      </w:r>
      <w:r w:rsidRPr="00E915DB">
        <w:rPr>
          <w:rFonts w:eastAsia="宋体"/>
          <w:color w:val="000000" w:themeColor="text1"/>
          <w:szCs w:val="18"/>
          <w:lang w:val="it-IT"/>
        </w:rPr>
        <w:t xml:space="preserve">. </w:t>
      </w:r>
      <w:r w:rsidRPr="00E915DB">
        <w:rPr>
          <w:rFonts w:eastAsia="宋体"/>
          <w:color w:val="000000" w:themeColor="text1"/>
          <w:szCs w:val="18"/>
        </w:rPr>
        <w:t>The role of the Androgen Receptor (AR) in endometrial cancer aggressiveness: Correlation with other prognostic markers and therapeutic implications. A retrospective observational study. Pathology, Research and Practice. 2025; 269: 155922. https://doi.org/10.1016/j.prp.2025.155922.</w:t>
      </w:r>
    </w:p>
    <w:p w14:paraId="7E551668" w14:textId="6CF47AF2" w:rsidR="006254CA" w:rsidRPr="00E915DB" w:rsidRDefault="006254CA" w:rsidP="001E386E">
      <w:pPr>
        <w:pStyle w:val="Reference"/>
        <w:ind w:left="360" w:hanging="360"/>
        <w:rPr>
          <w:rFonts w:eastAsia="宋体"/>
          <w:color w:val="000000" w:themeColor="text1"/>
          <w:szCs w:val="18"/>
          <w:lang w:val="it-IT"/>
        </w:rPr>
      </w:pPr>
      <w:r w:rsidRPr="00E915DB">
        <w:rPr>
          <w:rFonts w:eastAsia="宋体"/>
          <w:color w:val="000000" w:themeColor="text1"/>
          <w:szCs w:val="18"/>
          <w:lang w:val="pt-PT"/>
        </w:rPr>
        <w:t>[12] Concin N, Matias-Guiu X, Vergote I, Cibula D, Mirza MR, Marnitz S, </w:t>
      </w:r>
      <w:r w:rsidRPr="00E915DB">
        <w:rPr>
          <w:rFonts w:eastAsia="宋体"/>
          <w:i/>
          <w:iCs/>
          <w:color w:val="000000" w:themeColor="text1"/>
          <w:szCs w:val="18"/>
          <w:lang w:val="pt-PT"/>
        </w:rPr>
        <w:t>et al</w:t>
      </w:r>
      <w:r w:rsidRPr="00E915DB">
        <w:rPr>
          <w:rFonts w:eastAsia="宋体"/>
          <w:color w:val="000000" w:themeColor="text1"/>
          <w:szCs w:val="18"/>
          <w:lang w:val="pt-PT"/>
        </w:rPr>
        <w:t xml:space="preserve">. </w:t>
      </w:r>
      <w:r w:rsidRPr="00E915DB">
        <w:rPr>
          <w:rFonts w:eastAsia="宋体"/>
          <w:color w:val="000000" w:themeColor="text1"/>
          <w:szCs w:val="18"/>
        </w:rPr>
        <w:t xml:space="preserve">ESGO/ESTRO/ESP guidelines for the management of patients with endometrial carcinoma. </w:t>
      </w:r>
      <w:r w:rsidRPr="00E915DB">
        <w:rPr>
          <w:rFonts w:eastAsia="宋体"/>
          <w:color w:val="000000" w:themeColor="text1"/>
          <w:szCs w:val="18"/>
          <w:lang w:val="it-IT"/>
        </w:rPr>
        <w:t>International Journal of Gynecological Cancer. 2021; 31: 12–39. https://doi.org/10.1136/ijgc-2020-002230.</w:t>
      </w:r>
    </w:p>
    <w:p w14:paraId="21498F91"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lang w:val="it-IT"/>
        </w:rPr>
        <w:t>[13] Rivera D, Paudice M, Accorsi G, Valentino F, Ingaliso M, Pianezzi A, </w:t>
      </w:r>
      <w:r w:rsidRPr="00E915DB">
        <w:rPr>
          <w:rFonts w:eastAsia="宋体"/>
          <w:i/>
          <w:iCs/>
          <w:color w:val="000000" w:themeColor="text1"/>
          <w:szCs w:val="18"/>
          <w:lang w:val="it-IT"/>
        </w:rPr>
        <w:t>et al</w:t>
      </w:r>
      <w:r w:rsidRPr="00E915DB">
        <w:rPr>
          <w:rFonts w:eastAsia="宋体"/>
          <w:color w:val="000000" w:themeColor="text1"/>
          <w:szCs w:val="18"/>
          <w:lang w:val="it-IT"/>
        </w:rPr>
        <w:t xml:space="preserve">. </w:t>
      </w:r>
      <w:r w:rsidRPr="00E915DB">
        <w:rPr>
          <w:rFonts w:eastAsia="宋体"/>
          <w:color w:val="000000" w:themeColor="text1"/>
          <w:szCs w:val="18"/>
        </w:rPr>
        <w:t>The Advantages of Next-Generation Sequencing Molecular Classification in Endometrial Cancer Diagnosis. Journal of Clinical Medicine. 2023; 12: 7236. https://doi.org/10.3390/jcm12237236.</w:t>
      </w:r>
    </w:p>
    <w:p w14:paraId="1E1563DA" w14:textId="66D43ACD" w:rsidR="006254CA" w:rsidRPr="00E915DB" w:rsidRDefault="006254CA" w:rsidP="001E386E">
      <w:pPr>
        <w:pStyle w:val="Reference"/>
        <w:ind w:left="360" w:hanging="360"/>
        <w:rPr>
          <w:rFonts w:eastAsia="宋体"/>
          <w:color w:val="000000" w:themeColor="text1"/>
          <w:szCs w:val="18"/>
          <w:lang w:val="pt-PT"/>
        </w:rPr>
      </w:pPr>
      <w:r w:rsidRPr="00E915DB">
        <w:rPr>
          <w:rFonts w:eastAsia="宋体"/>
          <w:color w:val="000000" w:themeColor="text1"/>
          <w:szCs w:val="18"/>
        </w:rPr>
        <w:t xml:space="preserve">[14] </w:t>
      </w:r>
      <w:proofErr w:type="spellStart"/>
      <w:r w:rsidRPr="00E915DB">
        <w:rPr>
          <w:rFonts w:eastAsia="宋体"/>
          <w:color w:val="000000" w:themeColor="text1"/>
          <w:szCs w:val="18"/>
        </w:rPr>
        <w:t>Berek</w:t>
      </w:r>
      <w:proofErr w:type="spellEnd"/>
      <w:r w:rsidRPr="00E915DB">
        <w:rPr>
          <w:rFonts w:eastAsia="宋体"/>
          <w:color w:val="000000" w:themeColor="text1"/>
          <w:szCs w:val="18"/>
        </w:rPr>
        <w:t xml:space="preserve"> JS, Matias-</w:t>
      </w:r>
      <w:proofErr w:type="spellStart"/>
      <w:r w:rsidRPr="00E915DB">
        <w:rPr>
          <w:rFonts w:eastAsia="宋体"/>
          <w:color w:val="000000" w:themeColor="text1"/>
          <w:szCs w:val="18"/>
        </w:rPr>
        <w:t>Guiu</w:t>
      </w:r>
      <w:proofErr w:type="spellEnd"/>
      <w:r w:rsidRPr="00E915DB">
        <w:rPr>
          <w:rFonts w:eastAsia="宋体"/>
          <w:color w:val="000000" w:themeColor="text1"/>
          <w:szCs w:val="18"/>
        </w:rPr>
        <w:t xml:space="preserve"> X, </w:t>
      </w:r>
      <w:proofErr w:type="spellStart"/>
      <w:r w:rsidRPr="00E915DB">
        <w:rPr>
          <w:rFonts w:eastAsia="宋体"/>
          <w:color w:val="000000" w:themeColor="text1"/>
          <w:szCs w:val="18"/>
        </w:rPr>
        <w:t>Creutzberg</w:t>
      </w:r>
      <w:proofErr w:type="spellEnd"/>
      <w:r w:rsidRPr="00E915DB">
        <w:rPr>
          <w:rFonts w:eastAsia="宋体"/>
          <w:color w:val="000000" w:themeColor="text1"/>
          <w:szCs w:val="18"/>
        </w:rPr>
        <w:t xml:space="preserve"> C, </w:t>
      </w:r>
      <w:proofErr w:type="spellStart"/>
      <w:r w:rsidRPr="00E915DB">
        <w:rPr>
          <w:rFonts w:eastAsia="宋体"/>
          <w:color w:val="000000" w:themeColor="text1"/>
          <w:szCs w:val="18"/>
        </w:rPr>
        <w:t>Fotopoulou</w:t>
      </w:r>
      <w:proofErr w:type="spellEnd"/>
      <w:r w:rsidRPr="00E915DB">
        <w:rPr>
          <w:rFonts w:eastAsia="宋体"/>
          <w:color w:val="000000" w:themeColor="text1"/>
          <w:szCs w:val="18"/>
        </w:rPr>
        <w:t xml:space="preserve"> C, Gaffney D, Kehoe S, </w:t>
      </w:r>
      <w:r w:rsidRPr="00E915DB">
        <w:rPr>
          <w:rFonts w:eastAsia="宋体"/>
          <w:i/>
          <w:iCs/>
          <w:color w:val="000000" w:themeColor="text1"/>
          <w:szCs w:val="18"/>
        </w:rPr>
        <w:t>et al</w:t>
      </w:r>
      <w:r w:rsidRPr="00E915DB">
        <w:rPr>
          <w:rFonts w:eastAsia="宋体"/>
          <w:color w:val="000000" w:themeColor="text1"/>
          <w:szCs w:val="18"/>
        </w:rPr>
        <w:t xml:space="preserve">. FIGO staging of endometrial cancer: 2023. International Journal of </w:t>
      </w:r>
      <w:proofErr w:type="spellStart"/>
      <w:r w:rsidRPr="00E915DB">
        <w:rPr>
          <w:rFonts w:eastAsia="宋体"/>
          <w:color w:val="000000" w:themeColor="text1"/>
          <w:szCs w:val="18"/>
        </w:rPr>
        <w:t>Gynaecology</w:t>
      </w:r>
      <w:proofErr w:type="spellEnd"/>
      <w:r w:rsidRPr="00E915DB">
        <w:rPr>
          <w:rFonts w:eastAsia="宋体"/>
          <w:color w:val="000000" w:themeColor="text1"/>
          <w:szCs w:val="18"/>
        </w:rPr>
        <w:t xml:space="preserve"> and Obstetrics. </w:t>
      </w:r>
      <w:r w:rsidRPr="00E915DB">
        <w:rPr>
          <w:rFonts w:eastAsia="宋体"/>
          <w:color w:val="000000" w:themeColor="text1"/>
          <w:szCs w:val="18"/>
          <w:lang w:val="pt-PT"/>
        </w:rPr>
        <w:t>2023; 162: 383–394. https://doi.org/10.1002/ijgo.14923.</w:t>
      </w:r>
    </w:p>
    <w:p w14:paraId="35A4622F" w14:textId="3807342B" w:rsidR="006254CA" w:rsidRPr="008A4FDE" w:rsidRDefault="006254CA" w:rsidP="008A4FDE">
      <w:pPr>
        <w:pStyle w:val="Reference"/>
        <w:ind w:left="360" w:hanging="360"/>
        <w:rPr>
          <w:rFonts w:eastAsia="宋体"/>
          <w:color w:val="000000" w:themeColor="text1"/>
          <w:szCs w:val="18"/>
          <w:lang w:val="pt-PT"/>
        </w:rPr>
      </w:pPr>
      <w:r w:rsidRPr="00E915DB">
        <w:rPr>
          <w:rFonts w:eastAsia="宋体"/>
          <w:color w:val="000000" w:themeColor="text1"/>
          <w:szCs w:val="18"/>
          <w:lang w:val="pt-PT"/>
        </w:rPr>
        <w:t xml:space="preserve">[15] </w:t>
      </w:r>
      <w:r w:rsidR="008A4FDE" w:rsidRPr="008A4FDE">
        <w:rPr>
          <w:rFonts w:eastAsia="宋体"/>
          <w:color w:val="000000" w:themeColor="text1"/>
          <w:szCs w:val="18"/>
          <w:lang w:val="pt-PT"/>
        </w:rPr>
        <w:t>Concin N, Matias-Guiu X, Vergote I, Cibula D, Mirza MR, Marnitz S</w:t>
      </w:r>
      <w:r w:rsidR="008A4FDE" w:rsidRPr="00E915DB">
        <w:rPr>
          <w:rFonts w:eastAsia="宋体"/>
          <w:color w:val="000000" w:themeColor="text1"/>
          <w:szCs w:val="18"/>
        </w:rPr>
        <w:t>, </w:t>
      </w:r>
      <w:r w:rsidR="008A4FDE" w:rsidRPr="00E915DB">
        <w:rPr>
          <w:rFonts w:eastAsia="宋体"/>
          <w:i/>
          <w:iCs/>
          <w:color w:val="000000" w:themeColor="text1"/>
          <w:szCs w:val="18"/>
        </w:rPr>
        <w:t>et al</w:t>
      </w:r>
      <w:r w:rsidRPr="00E915DB">
        <w:rPr>
          <w:rFonts w:eastAsia="宋体"/>
          <w:color w:val="000000" w:themeColor="text1"/>
          <w:szCs w:val="18"/>
          <w:lang w:val="pt-PT"/>
        </w:rPr>
        <w:t xml:space="preserve">. </w:t>
      </w:r>
      <w:r w:rsidR="008A4FDE" w:rsidRPr="008A4FDE">
        <w:rPr>
          <w:rFonts w:eastAsia="宋体"/>
          <w:color w:val="000000" w:themeColor="text1"/>
          <w:szCs w:val="18"/>
        </w:rPr>
        <w:t>ESGO/ESTRO/ESP guidelines for the management of patients with endometrial carcinoma</w:t>
      </w:r>
      <w:r w:rsidRPr="00E915DB">
        <w:rPr>
          <w:rFonts w:eastAsia="宋体"/>
          <w:color w:val="000000" w:themeColor="text1"/>
          <w:szCs w:val="18"/>
        </w:rPr>
        <w:t xml:space="preserve">. </w:t>
      </w:r>
      <w:r w:rsidR="008A4FDE" w:rsidRPr="001D7A22">
        <w:rPr>
          <w:rFonts w:eastAsia="宋体"/>
          <w:color w:val="000000" w:themeColor="text1"/>
          <w:szCs w:val="18"/>
          <w:lang w:val="it-IT"/>
        </w:rPr>
        <w:t>International Journal of Gynecological Cancer</w:t>
      </w:r>
      <w:r w:rsidRPr="001D7A22">
        <w:rPr>
          <w:rFonts w:eastAsia="宋体"/>
          <w:color w:val="000000" w:themeColor="text1"/>
          <w:szCs w:val="18"/>
          <w:lang w:val="it-IT"/>
        </w:rPr>
        <w:t>.</w:t>
      </w:r>
      <w:r w:rsidR="008A4FDE" w:rsidRPr="001D7A22">
        <w:rPr>
          <w:rFonts w:eastAsia="宋体"/>
          <w:color w:val="000000" w:themeColor="text1"/>
          <w:szCs w:val="18"/>
          <w:lang w:val="it-IT"/>
        </w:rPr>
        <w:t xml:space="preserve"> </w:t>
      </w:r>
      <w:r w:rsidR="008A4FDE" w:rsidRPr="008A4FDE">
        <w:rPr>
          <w:rFonts w:eastAsia="宋体"/>
          <w:color w:val="000000" w:themeColor="text1"/>
          <w:szCs w:val="18"/>
          <w:lang w:val="pt-PT"/>
        </w:rPr>
        <w:t>2021</w:t>
      </w:r>
      <w:r w:rsidR="008A4FDE" w:rsidRPr="00E915DB">
        <w:rPr>
          <w:rFonts w:eastAsia="宋体"/>
          <w:color w:val="000000" w:themeColor="text1"/>
          <w:szCs w:val="18"/>
          <w:lang w:val="pt-PT"/>
        </w:rPr>
        <w:t xml:space="preserve">; </w:t>
      </w:r>
      <w:r w:rsidR="008A4FDE" w:rsidRPr="008A4FDE">
        <w:rPr>
          <w:rFonts w:eastAsia="宋体"/>
          <w:color w:val="000000" w:themeColor="text1"/>
          <w:szCs w:val="18"/>
          <w:lang w:val="pt-PT"/>
        </w:rPr>
        <w:t>31</w:t>
      </w:r>
      <w:r w:rsidR="008A4FDE" w:rsidRPr="00E915DB">
        <w:rPr>
          <w:rFonts w:eastAsia="宋体"/>
          <w:color w:val="000000" w:themeColor="text1"/>
          <w:szCs w:val="18"/>
          <w:lang w:val="pt-PT"/>
        </w:rPr>
        <w:t xml:space="preserve">: </w:t>
      </w:r>
      <w:r w:rsidR="008A4FDE" w:rsidRPr="008A4FDE">
        <w:rPr>
          <w:rFonts w:eastAsia="宋体"/>
          <w:color w:val="000000" w:themeColor="text1"/>
          <w:szCs w:val="18"/>
          <w:lang w:val="pt-PT"/>
        </w:rPr>
        <w:t>12</w:t>
      </w:r>
      <w:r w:rsidR="008A4FDE" w:rsidRPr="00E915DB">
        <w:rPr>
          <w:rFonts w:eastAsia="宋体"/>
          <w:color w:val="000000" w:themeColor="text1"/>
          <w:szCs w:val="18"/>
          <w:lang w:val="pt-PT"/>
        </w:rPr>
        <w:t>–</w:t>
      </w:r>
      <w:r w:rsidR="008A4FDE" w:rsidRPr="008A4FDE">
        <w:rPr>
          <w:rFonts w:eastAsia="宋体"/>
          <w:color w:val="000000" w:themeColor="text1"/>
          <w:szCs w:val="18"/>
          <w:lang w:val="pt-PT"/>
        </w:rPr>
        <w:t>39</w:t>
      </w:r>
      <w:r w:rsidR="008A4FDE" w:rsidRPr="00E915DB">
        <w:rPr>
          <w:rFonts w:eastAsia="宋体"/>
          <w:color w:val="000000" w:themeColor="text1"/>
          <w:szCs w:val="18"/>
          <w:lang w:val="pt-PT"/>
        </w:rPr>
        <w:t>. https://doi.org/</w:t>
      </w:r>
      <w:r w:rsidR="008A4FDE" w:rsidRPr="008A4FDE">
        <w:rPr>
          <w:rFonts w:eastAsia="宋体"/>
          <w:color w:val="000000" w:themeColor="text1"/>
          <w:szCs w:val="18"/>
          <w:lang w:val="pt-PT"/>
        </w:rPr>
        <w:t>10.1136/ijgc-2020-002230</w:t>
      </w:r>
      <w:r w:rsidR="008A4FDE" w:rsidRPr="00E915DB">
        <w:rPr>
          <w:rFonts w:eastAsia="宋体"/>
          <w:color w:val="000000" w:themeColor="text1"/>
          <w:szCs w:val="18"/>
          <w:lang w:val="pt-PT"/>
        </w:rPr>
        <w:t>.</w:t>
      </w:r>
    </w:p>
    <w:p w14:paraId="7E5EE0A8"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lang w:val="pt-PT"/>
        </w:rPr>
        <w:lastRenderedPageBreak/>
        <w:t>[17] Zannoni GF, Santoro A, Arciuolo D, Travaglino A, Angelico G, Bragantini E, </w:t>
      </w:r>
      <w:r w:rsidRPr="00E915DB">
        <w:rPr>
          <w:rFonts w:eastAsia="宋体"/>
          <w:i/>
          <w:iCs/>
          <w:color w:val="000000" w:themeColor="text1"/>
          <w:szCs w:val="18"/>
          <w:lang w:val="pt-PT"/>
        </w:rPr>
        <w:t>et al</w:t>
      </w:r>
      <w:r w:rsidRPr="00E915DB">
        <w:rPr>
          <w:rFonts w:eastAsia="宋体"/>
          <w:color w:val="000000" w:themeColor="text1"/>
          <w:szCs w:val="18"/>
          <w:lang w:val="pt-PT"/>
        </w:rPr>
        <w:t xml:space="preserve">. </w:t>
      </w:r>
      <w:r w:rsidRPr="00E915DB">
        <w:rPr>
          <w:rFonts w:eastAsia="宋体"/>
          <w:color w:val="000000" w:themeColor="text1"/>
          <w:szCs w:val="18"/>
        </w:rPr>
        <w:t>Endometrial cancer and 2023 FIGO staging system: Not too soon, but maybe too much? Gynecologic Oncology. 2024; 189: 98–100. https://doi.org/10.1016/j.ygyno.2024.07.678.</w:t>
      </w:r>
    </w:p>
    <w:p w14:paraId="18DD99D3"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[18] Gurung A, Hung T, Morin J, </w:t>
      </w:r>
      <w:proofErr w:type="spellStart"/>
      <w:r w:rsidRPr="00E915DB">
        <w:rPr>
          <w:rFonts w:eastAsia="宋体"/>
          <w:color w:val="000000" w:themeColor="text1"/>
          <w:szCs w:val="18"/>
        </w:rPr>
        <w:t>Gilks</w:t>
      </w:r>
      <w:proofErr w:type="spellEnd"/>
      <w:r w:rsidRPr="00E915DB">
        <w:rPr>
          <w:rFonts w:eastAsia="宋体"/>
          <w:color w:val="000000" w:themeColor="text1"/>
          <w:szCs w:val="18"/>
        </w:rPr>
        <w:t xml:space="preserve"> CB. Molecular abnormalities in ovarian carcinoma: clinical, morphological and therapeutic correlates. Histopathology. 2013; 62: 59–70. https://doi.org/10.1111/his.12033.</w:t>
      </w:r>
    </w:p>
    <w:p w14:paraId="0862F2D2"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[19] </w:t>
      </w:r>
      <w:proofErr w:type="spellStart"/>
      <w:r w:rsidRPr="00E915DB">
        <w:rPr>
          <w:rFonts w:eastAsia="宋体"/>
          <w:color w:val="000000" w:themeColor="text1"/>
          <w:szCs w:val="18"/>
        </w:rPr>
        <w:t>Engqvist</w:t>
      </w:r>
      <w:proofErr w:type="spellEnd"/>
      <w:r w:rsidRPr="00E915DB">
        <w:rPr>
          <w:rFonts w:eastAsia="宋体"/>
          <w:color w:val="000000" w:themeColor="text1"/>
          <w:szCs w:val="18"/>
        </w:rPr>
        <w:t xml:space="preserve"> H, Parris TZ, Biermann J, </w:t>
      </w:r>
      <w:proofErr w:type="spellStart"/>
      <w:r w:rsidRPr="00E915DB">
        <w:rPr>
          <w:rFonts w:eastAsia="宋体"/>
          <w:color w:val="000000" w:themeColor="text1"/>
          <w:szCs w:val="18"/>
        </w:rPr>
        <w:t>Rönnerman</w:t>
      </w:r>
      <w:proofErr w:type="spellEnd"/>
      <w:r w:rsidRPr="00E915DB">
        <w:rPr>
          <w:rFonts w:eastAsia="宋体"/>
          <w:color w:val="000000" w:themeColor="text1"/>
          <w:szCs w:val="18"/>
        </w:rPr>
        <w:t xml:space="preserve"> EW, Larsson P, </w:t>
      </w:r>
      <w:proofErr w:type="spellStart"/>
      <w:r w:rsidRPr="00E915DB">
        <w:rPr>
          <w:rFonts w:eastAsia="宋体"/>
          <w:color w:val="000000" w:themeColor="text1"/>
          <w:szCs w:val="18"/>
        </w:rPr>
        <w:t>Sundfeldt</w:t>
      </w:r>
      <w:proofErr w:type="spellEnd"/>
      <w:r w:rsidRPr="00E915DB">
        <w:rPr>
          <w:rFonts w:eastAsia="宋体"/>
          <w:color w:val="000000" w:themeColor="text1"/>
          <w:szCs w:val="18"/>
        </w:rPr>
        <w:t xml:space="preserve"> K, </w:t>
      </w:r>
      <w:r w:rsidRPr="00E915DB">
        <w:rPr>
          <w:rFonts w:eastAsia="宋体"/>
          <w:i/>
          <w:iCs/>
          <w:color w:val="000000" w:themeColor="text1"/>
          <w:szCs w:val="18"/>
        </w:rPr>
        <w:t>et al</w:t>
      </w:r>
      <w:r w:rsidRPr="00E915DB">
        <w:rPr>
          <w:rFonts w:eastAsia="宋体"/>
          <w:color w:val="000000" w:themeColor="text1"/>
          <w:szCs w:val="18"/>
        </w:rPr>
        <w:t xml:space="preserve">. Integrative genomics approach identifies molecular features associated with early-stage ovarian carcinoma </w:t>
      </w:r>
      <w:proofErr w:type="spellStart"/>
      <w:r w:rsidRPr="00E915DB">
        <w:rPr>
          <w:rFonts w:eastAsia="宋体"/>
          <w:color w:val="000000" w:themeColor="text1"/>
          <w:szCs w:val="18"/>
        </w:rPr>
        <w:t>histotypes</w:t>
      </w:r>
      <w:proofErr w:type="spellEnd"/>
      <w:r w:rsidRPr="00E915DB">
        <w:rPr>
          <w:rFonts w:eastAsia="宋体"/>
          <w:color w:val="000000" w:themeColor="text1"/>
          <w:szCs w:val="18"/>
        </w:rPr>
        <w:t>. Scientific Reports. 2020; 10: 7946. https://doi.org/10.1038/s41598-020-64794-8.</w:t>
      </w:r>
    </w:p>
    <w:p w14:paraId="570A1A7C" w14:textId="77777777" w:rsidR="006254CA" w:rsidRPr="00E915DB" w:rsidRDefault="006254CA" w:rsidP="001E386E">
      <w:pPr>
        <w:pStyle w:val="Reference"/>
        <w:ind w:left="360" w:hanging="360"/>
        <w:rPr>
          <w:rFonts w:eastAsia="宋体"/>
          <w:color w:val="000000" w:themeColor="text1"/>
          <w:szCs w:val="18"/>
          <w:lang w:val="it-IT"/>
        </w:rPr>
      </w:pPr>
      <w:r w:rsidRPr="00E915DB">
        <w:rPr>
          <w:rFonts w:eastAsia="宋体"/>
          <w:color w:val="000000" w:themeColor="text1"/>
          <w:szCs w:val="18"/>
        </w:rPr>
        <w:t xml:space="preserve">[20] </w:t>
      </w:r>
      <w:proofErr w:type="spellStart"/>
      <w:r w:rsidRPr="00E915DB">
        <w:rPr>
          <w:rFonts w:eastAsia="宋体"/>
          <w:color w:val="000000" w:themeColor="text1"/>
          <w:szCs w:val="18"/>
        </w:rPr>
        <w:t>Winterhoff</w:t>
      </w:r>
      <w:proofErr w:type="spellEnd"/>
      <w:r w:rsidRPr="00E915DB">
        <w:rPr>
          <w:rFonts w:eastAsia="宋体"/>
          <w:color w:val="000000" w:themeColor="text1"/>
          <w:szCs w:val="18"/>
        </w:rPr>
        <w:t xml:space="preserve"> B, Hamidi H, Wang C, </w:t>
      </w:r>
      <w:proofErr w:type="spellStart"/>
      <w:r w:rsidRPr="00E915DB">
        <w:rPr>
          <w:rFonts w:eastAsia="宋体"/>
          <w:color w:val="000000" w:themeColor="text1"/>
          <w:szCs w:val="18"/>
        </w:rPr>
        <w:t>Kalli</w:t>
      </w:r>
      <w:proofErr w:type="spellEnd"/>
      <w:r w:rsidRPr="00E915DB">
        <w:rPr>
          <w:rFonts w:eastAsia="宋体"/>
          <w:color w:val="000000" w:themeColor="text1"/>
          <w:szCs w:val="18"/>
        </w:rPr>
        <w:t xml:space="preserve"> KR, Fridley BL, Dering J, </w:t>
      </w:r>
      <w:r w:rsidRPr="00E915DB">
        <w:rPr>
          <w:rFonts w:eastAsia="宋体"/>
          <w:i/>
          <w:iCs/>
          <w:color w:val="000000" w:themeColor="text1"/>
          <w:szCs w:val="18"/>
        </w:rPr>
        <w:t>et al</w:t>
      </w:r>
      <w:r w:rsidRPr="00E915DB">
        <w:rPr>
          <w:rFonts w:eastAsia="宋体"/>
          <w:color w:val="000000" w:themeColor="text1"/>
          <w:szCs w:val="18"/>
        </w:rPr>
        <w:t xml:space="preserve">. Molecular classification of high grade endometrioid and clear cell ovarian cancer using TCGA gene expression signatures. </w:t>
      </w:r>
      <w:r w:rsidRPr="00E915DB">
        <w:rPr>
          <w:rFonts w:eastAsia="宋体"/>
          <w:color w:val="000000" w:themeColor="text1"/>
          <w:szCs w:val="18"/>
          <w:lang w:val="it-IT"/>
        </w:rPr>
        <w:t>Gynecologic Oncology. 2016; 141: 95–100. https://doi.org/10.1016/j.ygyno.2016.02.023.</w:t>
      </w:r>
    </w:p>
    <w:p w14:paraId="39A6E9BA" w14:textId="7C99ADCC"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lang w:val="it-IT"/>
        </w:rPr>
        <w:t>[21] Zannoni GF, Morassi F, Prisco MG, De Stefano I, Vellone VG, Arena V, </w:t>
      </w:r>
      <w:r w:rsidRPr="00E915DB">
        <w:rPr>
          <w:rFonts w:eastAsia="宋体"/>
          <w:i/>
          <w:iCs/>
          <w:color w:val="000000" w:themeColor="text1"/>
          <w:szCs w:val="18"/>
          <w:lang w:val="it-IT"/>
        </w:rPr>
        <w:t>et al</w:t>
      </w:r>
      <w:r w:rsidRPr="00E915DB">
        <w:rPr>
          <w:rFonts w:eastAsia="宋体"/>
          <w:color w:val="000000" w:themeColor="text1"/>
          <w:szCs w:val="18"/>
          <w:lang w:val="it-IT"/>
        </w:rPr>
        <w:t xml:space="preserve">. </w:t>
      </w:r>
      <w:r w:rsidRPr="00E915DB">
        <w:rPr>
          <w:rFonts w:eastAsia="宋体"/>
          <w:color w:val="000000" w:themeColor="text1"/>
          <w:szCs w:val="18"/>
        </w:rPr>
        <w:t>Clinicopathologic and immunohistochemical features of ovarian clear cell carcinomas in comparison with type I and type II tumors. International Journal of Gynecological Pathology. 2012; 31: 507–516. https://doi.org/10.1097/PGP.0b013e3182518557.</w:t>
      </w:r>
    </w:p>
    <w:p w14:paraId="536166E0" w14:textId="2EAD5BBA"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lang w:val="pt-PT"/>
        </w:rPr>
        <w:t>[22] Ledermann JA, Matias-Guiu X, Amant F, Concin N, Davidson B, Fotopoulou C, </w:t>
      </w:r>
      <w:r w:rsidRPr="00E915DB">
        <w:rPr>
          <w:rFonts w:eastAsia="宋体"/>
          <w:i/>
          <w:iCs/>
          <w:color w:val="000000" w:themeColor="text1"/>
          <w:szCs w:val="18"/>
          <w:lang w:val="pt-PT"/>
        </w:rPr>
        <w:t>et al</w:t>
      </w:r>
      <w:r w:rsidRPr="00E915DB">
        <w:rPr>
          <w:rFonts w:eastAsia="宋体"/>
          <w:color w:val="000000" w:themeColor="text1"/>
          <w:szCs w:val="18"/>
          <w:lang w:val="pt-PT"/>
        </w:rPr>
        <w:t xml:space="preserve">. </w:t>
      </w:r>
      <w:r w:rsidRPr="00E915DB">
        <w:rPr>
          <w:rFonts w:eastAsia="宋体"/>
          <w:color w:val="000000" w:themeColor="text1"/>
          <w:szCs w:val="18"/>
        </w:rPr>
        <w:t>ESGO-ESMO-ESP consensus conference recommendations on ovarian cancer: pathology and molecular biology and early, advanced and recurrent disease. Annals of Oncology. 2024; 35: 248–266. https://doi.org/10.1016/j.annonc.2023.11.015.</w:t>
      </w:r>
    </w:p>
    <w:p w14:paraId="5AB48534" w14:textId="4BA4C8B5"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[23] González-Martín A, Harter P, Leary A, </w:t>
      </w:r>
      <w:proofErr w:type="spellStart"/>
      <w:r w:rsidRPr="00E915DB">
        <w:rPr>
          <w:rFonts w:eastAsia="宋体"/>
          <w:color w:val="000000" w:themeColor="text1"/>
          <w:szCs w:val="18"/>
        </w:rPr>
        <w:t>Lorusso</w:t>
      </w:r>
      <w:proofErr w:type="spellEnd"/>
      <w:r w:rsidRPr="00E915DB">
        <w:rPr>
          <w:rFonts w:eastAsia="宋体"/>
          <w:color w:val="000000" w:themeColor="text1"/>
          <w:szCs w:val="18"/>
        </w:rPr>
        <w:t xml:space="preserve"> D, Miller RE, </w:t>
      </w:r>
      <w:proofErr w:type="spellStart"/>
      <w:r w:rsidRPr="00E915DB">
        <w:rPr>
          <w:rFonts w:eastAsia="宋体"/>
          <w:color w:val="000000" w:themeColor="text1"/>
          <w:szCs w:val="18"/>
        </w:rPr>
        <w:t>Pothuri</w:t>
      </w:r>
      <w:proofErr w:type="spellEnd"/>
      <w:r w:rsidRPr="00E915DB">
        <w:rPr>
          <w:rFonts w:eastAsia="宋体"/>
          <w:color w:val="000000" w:themeColor="text1"/>
          <w:szCs w:val="18"/>
        </w:rPr>
        <w:t xml:space="preserve"> B, </w:t>
      </w:r>
      <w:r w:rsidRPr="00E915DB">
        <w:rPr>
          <w:rFonts w:eastAsia="宋体"/>
          <w:i/>
          <w:iCs/>
          <w:color w:val="000000" w:themeColor="text1"/>
          <w:szCs w:val="18"/>
        </w:rPr>
        <w:t>et al</w:t>
      </w:r>
      <w:r w:rsidRPr="00E915DB">
        <w:rPr>
          <w:rFonts w:eastAsia="宋体"/>
          <w:color w:val="000000" w:themeColor="text1"/>
          <w:szCs w:val="18"/>
        </w:rPr>
        <w:t>. Newly diagnosed and relapsed epithelial ovarian cancer: ESMO Clinical Practice Guideline for diagnosis, treatment and follow-up. Annals of Oncology. 2023; 34: 833–848. https://doi.org/10.1016/j.annonc.2023.07.011.</w:t>
      </w:r>
    </w:p>
    <w:p w14:paraId="5A66EFF5" w14:textId="0BB4B54D" w:rsidR="006254CA" w:rsidRPr="00E915DB" w:rsidRDefault="006254CA" w:rsidP="001E386E">
      <w:pPr>
        <w:pStyle w:val="Reference"/>
        <w:ind w:left="360" w:hanging="360"/>
        <w:rPr>
          <w:rFonts w:eastAsia="宋体"/>
          <w:color w:val="000000" w:themeColor="text1"/>
          <w:szCs w:val="18"/>
          <w:lang w:val="it-IT"/>
        </w:rPr>
      </w:pPr>
      <w:r w:rsidRPr="00E915DB">
        <w:rPr>
          <w:rFonts w:eastAsia="宋体"/>
          <w:color w:val="000000" w:themeColor="text1"/>
          <w:szCs w:val="18"/>
        </w:rPr>
        <w:t xml:space="preserve">[24] Lord CJ, Ashworth A. PARP inhibitors: Synthetic lethality in the clinic. </w:t>
      </w:r>
      <w:r w:rsidRPr="00E915DB">
        <w:rPr>
          <w:rFonts w:eastAsia="宋体"/>
          <w:color w:val="000000" w:themeColor="text1"/>
          <w:szCs w:val="18"/>
          <w:lang w:val="it-IT"/>
        </w:rPr>
        <w:t>Science. 2017; 355: 1152–1158. https://doi.org/10.1126/science.aam7344.</w:t>
      </w:r>
    </w:p>
    <w:p w14:paraId="3A108290"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lang w:val="it-IT"/>
        </w:rPr>
        <w:t>[25] Sahnane N, Rivera D, Libera L, Carnevali I, Banelli B, Facchi S, </w:t>
      </w:r>
      <w:r w:rsidRPr="00E915DB">
        <w:rPr>
          <w:rFonts w:eastAsia="宋体"/>
          <w:i/>
          <w:iCs/>
          <w:color w:val="000000" w:themeColor="text1"/>
          <w:szCs w:val="18"/>
          <w:lang w:val="it-IT"/>
        </w:rPr>
        <w:t>et al</w:t>
      </w:r>
      <w:r w:rsidRPr="00E915DB">
        <w:rPr>
          <w:rFonts w:eastAsia="宋体"/>
          <w:color w:val="000000" w:themeColor="text1"/>
          <w:szCs w:val="18"/>
          <w:lang w:val="it-IT"/>
        </w:rPr>
        <w:t xml:space="preserve">. </w:t>
      </w:r>
      <w:r w:rsidRPr="00E915DB">
        <w:rPr>
          <w:rFonts w:eastAsia="宋体"/>
          <w:color w:val="000000" w:themeColor="text1"/>
          <w:szCs w:val="18"/>
        </w:rPr>
        <w:t>Pyrosequencing Assay for BRCA1 Methylation Analysis: Results from a Cross-Validation Study. The Journal of Molecular Diagnostics: JMD. 2023; 25: 217–226. https://doi.org/10.1016/j.jmoldx.2023.01.003.</w:t>
      </w:r>
    </w:p>
    <w:p w14:paraId="266DB21E" w14:textId="6104605B"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[26] </w:t>
      </w:r>
      <w:proofErr w:type="spellStart"/>
      <w:r w:rsidRPr="00E915DB">
        <w:rPr>
          <w:rFonts w:eastAsia="宋体"/>
          <w:color w:val="000000" w:themeColor="text1"/>
          <w:szCs w:val="18"/>
        </w:rPr>
        <w:t>Telli</w:t>
      </w:r>
      <w:proofErr w:type="spellEnd"/>
      <w:r w:rsidRPr="00E915DB">
        <w:rPr>
          <w:rFonts w:eastAsia="宋体"/>
          <w:color w:val="000000" w:themeColor="text1"/>
          <w:szCs w:val="18"/>
        </w:rPr>
        <w:t xml:space="preserve"> ML, Timms KM, Reid J, Hennessy B, Mills GB, Jensen KC, </w:t>
      </w:r>
      <w:r w:rsidRPr="00E915DB">
        <w:rPr>
          <w:rFonts w:eastAsia="宋体"/>
          <w:i/>
          <w:iCs/>
          <w:color w:val="000000" w:themeColor="text1"/>
          <w:szCs w:val="18"/>
        </w:rPr>
        <w:t>et al</w:t>
      </w:r>
      <w:r w:rsidRPr="00E915DB">
        <w:rPr>
          <w:rFonts w:eastAsia="宋体"/>
          <w:color w:val="000000" w:themeColor="text1"/>
          <w:szCs w:val="18"/>
        </w:rPr>
        <w:t>. Homologous Recombination Deficiency (HRD) Score Predicts Response to Platinum-Containing Neoadjuvant Chemotherapy in Patients with Triple-Negative Breast Cancer. Clinical Cancer Research. 2016; 22: 3764–3773. https://doi.org/10.1158/1078-0432.CCR-15-2477.</w:t>
      </w:r>
    </w:p>
    <w:p w14:paraId="595700A3"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[27] Vogel A, </w:t>
      </w:r>
      <w:proofErr w:type="spellStart"/>
      <w:r w:rsidRPr="00E915DB">
        <w:rPr>
          <w:rFonts w:eastAsia="宋体"/>
          <w:color w:val="000000" w:themeColor="text1"/>
          <w:szCs w:val="18"/>
        </w:rPr>
        <w:t>Haupts</w:t>
      </w:r>
      <w:proofErr w:type="spellEnd"/>
      <w:r w:rsidRPr="00E915DB">
        <w:rPr>
          <w:rFonts w:eastAsia="宋体"/>
          <w:color w:val="000000" w:themeColor="text1"/>
          <w:szCs w:val="18"/>
        </w:rPr>
        <w:t xml:space="preserve"> A, </w:t>
      </w:r>
      <w:proofErr w:type="spellStart"/>
      <w:r w:rsidRPr="00E915DB">
        <w:rPr>
          <w:rFonts w:eastAsia="宋体"/>
          <w:color w:val="000000" w:themeColor="text1"/>
          <w:szCs w:val="18"/>
        </w:rPr>
        <w:t>Kloth</w:t>
      </w:r>
      <w:proofErr w:type="spellEnd"/>
      <w:r w:rsidRPr="00E915DB">
        <w:rPr>
          <w:rFonts w:eastAsia="宋体"/>
          <w:color w:val="000000" w:themeColor="text1"/>
          <w:szCs w:val="18"/>
        </w:rPr>
        <w:t xml:space="preserve"> M, Roth W, Hartmann N. A novel targeted NGS panel identifies numerous homologous recombination deficiency (HRD)-associated gene mutations in addition to known BRCA mutations. Diagnostic Pathology. 2024; 19: 9. https://doi.org/10.1186/s13000-023-01431-8.</w:t>
      </w:r>
    </w:p>
    <w:p w14:paraId="79C061F3" w14:textId="1A66631B"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[28] </w:t>
      </w:r>
      <w:proofErr w:type="spellStart"/>
      <w:r w:rsidRPr="00E915DB">
        <w:rPr>
          <w:rFonts w:eastAsia="宋体"/>
          <w:color w:val="000000" w:themeColor="text1"/>
          <w:szCs w:val="18"/>
        </w:rPr>
        <w:t>Milbury</w:t>
      </w:r>
      <w:proofErr w:type="spellEnd"/>
      <w:r w:rsidRPr="00E915DB">
        <w:rPr>
          <w:rFonts w:eastAsia="宋体"/>
          <w:color w:val="000000" w:themeColor="text1"/>
          <w:szCs w:val="18"/>
        </w:rPr>
        <w:t xml:space="preserve"> CA, </w:t>
      </w:r>
      <w:proofErr w:type="spellStart"/>
      <w:r w:rsidRPr="00E915DB">
        <w:rPr>
          <w:rFonts w:eastAsia="宋体"/>
          <w:color w:val="000000" w:themeColor="text1"/>
          <w:szCs w:val="18"/>
        </w:rPr>
        <w:t>Creeden</w:t>
      </w:r>
      <w:proofErr w:type="spellEnd"/>
      <w:r w:rsidRPr="00E915DB">
        <w:rPr>
          <w:rFonts w:eastAsia="宋体"/>
          <w:color w:val="000000" w:themeColor="text1"/>
          <w:szCs w:val="18"/>
        </w:rPr>
        <w:t xml:space="preserve"> J, Yip WK, Smith DL, Pattani V, Maxwell K, </w:t>
      </w:r>
      <w:r w:rsidRPr="00E915DB">
        <w:rPr>
          <w:rFonts w:eastAsia="宋体"/>
          <w:i/>
          <w:iCs/>
          <w:color w:val="000000" w:themeColor="text1"/>
          <w:szCs w:val="18"/>
        </w:rPr>
        <w:t>et al</w:t>
      </w:r>
      <w:r w:rsidRPr="00E915DB">
        <w:rPr>
          <w:rFonts w:eastAsia="宋体"/>
          <w:color w:val="000000" w:themeColor="text1"/>
          <w:szCs w:val="18"/>
        </w:rPr>
        <w:t xml:space="preserve">. Clinical and analytical validation of </w:t>
      </w:r>
      <w:proofErr w:type="spellStart"/>
      <w:r w:rsidRPr="00E915DB">
        <w:rPr>
          <w:rFonts w:eastAsia="宋体"/>
          <w:color w:val="000000" w:themeColor="text1"/>
          <w:szCs w:val="18"/>
        </w:rPr>
        <w:t>FoundationOne®CDx</w:t>
      </w:r>
      <w:proofErr w:type="spellEnd"/>
      <w:r w:rsidRPr="00E915DB">
        <w:rPr>
          <w:rFonts w:eastAsia="宋体"/>
          <w:color w:val="000000" w:themeColor="text1"/>
          <w:szCs w:val="18"/>
        </w:rPr>
        <w:t xml:space="preserve">, a comprehensive genomic profiling assay for solid tumors. </w:t>
      </w:r>
      <w:proofErr w:type="spellStart"/>
      <w:r w:rsidRPr="00E915DB">
        <w:rPr>
          <w:rFonts w:eastAsia="宋体"/>
          <w:color w:val="000000" w:themeColor="text1"/>
          <w:szCs w:val="18"/>
        </w:rPr>
        <w:t>P</w:t>
      </w:r>
      <w:r w:rsidR="004B6001" w:rsidRPr="00E915DB">
        <w:rPr>
          <w:rFonts w:eastAsia="宋体"/>
          <w:color w:val="000000" w:themeColor="text1"/>
          <w:szCs w:val="18"/>
        </w:rPr>
        <w:t>L</w:t>
      </w:r>
      <w:r w:rsidRPr="00E915DB">
        <w:rPr>
          <w:rFonts w:eastAsia="宋体"/>
          <w:color w:val="000000" w:themeColor="text1"/>
          <w:szCs w:val="18"/>
        </w:rPr>
        <w:t>oS</w:t>
      </w:r>
      <w:proofErr w:type="spellEnd"/>
      <w:r w:rsidRPr="00E915DB">
        <w:rPr>
          <w:rFonts w:eastAsia="宋体"/>
          <w:color w:val="000000" w:themeColor="text1"/>
          <w:szCs w:val="18"/>
        </w:rPr>
        <w:t xml:space="preserve"> O</w:t>
      </w:r>
      <w:r w:rsidR="004B6001" w:rsidRPr="00E915DB">
        <w:rPr>
          <w:rFonts w:eastAsia="宋体"/>
          <w:color w:val="000000" w:themeColor="text1"/>
          <w:szCs w:val="18"/>
        </w:rPr>
        <w:t>NE</w:t>
      </w:r>
      <w:r w:rsidRPr="00E915DB">
        <w:rPr>
          <w:rFonts w:eastAsia="宋体"/>
          <w:color w:val="000000" w:themeColor="text1"/>
          <w:szCs w:val="18"/>
        </w:rPr>
        <w:t>. 2022; 17: e0264138. https://doi.org/10.1371/journal.pone.0264138.</w:t>
      </w:r>
    </w:p>
    <w:p w14:paraId="647AA754"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[29] Lord CJ, Ashworth A. Mechanisms of resistance to therapies targeting BRCA-mutant cancers. Nature Medicine. 2013; 19: 1381–1388. https://doi.org/10.1038/nm.3369.</w:t>
      </w:r>
    </w:p>
    <w:p w14:paraId="50722BB0"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[30] </w:t>
      </w:r>
      <w:proofErr w:type="spellStart"/>
      <w:r w:rsidRPr="00E915DB">
        <w:rPr>
          <w:rFonts w:eastAsia="宋体"/>
          <w:color w:val="000000" w:themeColor="text1"/>
          <w:szCs w:val="18"/>
        </w:rPr>
        <w:t>O'Mahony</w:t>
      </w:r>
      <w:proofErr w:type="spellEnd"/>
      <w:r w:rsidRPr="00E915DB">
        <w:rPr>
          <w:rFonts w:eastAsia="宋体"/>
          <w:color w:val="000000" w:themeColor="text1"/>
          <w:szCs w:val="18"/>
        </w:rPr>
        <w:t xml:space="preserve"> DG, Ramus SJ, Southey MC, Meagher NS, </w:t>
      </w:r>
      <w:proofErr w:type="spellStart"/>
      <w:r w:rsidRPr="00E915DB">
        <w:rPr>
          <w:rFonts w:eastAsia="宋体"/>
          <w:color w:val="000000" w:themeColor="text1"/>
          <w:szCs w:val="18"/>
        </w:rPr>
        <w:t>Hadjisavvas</w:t>
      </w:r>
      <w:proofErr w:type="spellEnd"/>
      <w:r w:rsidRPr="00E915DB">
        <w:rPr>
          <w:rFonts w:eastAsia="宋体"/>
          <w:color w:val="000000" w:themeColor="text1"/>
          <w:szCs w:val="18"/>
        </w:rPr>
        <w:t xml:space="preserve"> A, John EM, </w:t>
      </w:r>
      <w:r w:rsidRPr="00E915DB">
        <w:rPr>
          <w:rFonts w:eastAsia="宋体"/>
          <w:i/>
          <w:iCs/>
          <w:color w:val="000000" w:themeColor="text1"/>
          <w:szCs w:val="18"/>
        </w:rPr>
        <w:t>et al</w:t>
      </w:r>
      <w:r w:rsidRPr="00E915DB">
        <w:rPr>
          <w:rFonts w:eastAsia="宋体"/>
          <w:color w:val="000000" w:themeColor="text1"/>
          <w:szCs w:val="18"/>
        </w:rPr>
        <w:t>. Ovarian cancer pathology characteristics as predictors of variant pathogenicity in BRCA1 and BRCA2. British Journal of Cancer. 2023; 128: 2283–2294. https://doi.org/10.1038/s41416-023-02263-5.</w:t>
      </w:r>
    </w:p>
    <w:p w14:paraId="2CC42895"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[33] Edwards SL, Brough R, Lord CJ, </w:t>
      </w:r>
      <w:proofErr w:type="spellStart"/>
      <w:r w:rsidRPr="00E915DB">
        <w:rPr>
          <w:rFonts w:eastAsia="宋体"/>
          <w:color w:val="000000" w:themeColor="text1"/>
          <w:szCs w:val="18"/>
        </w:rPr>
        <w:t>Natrajan</w:t>
      </w:r>
      <w:proofErr w:type="spellEnd"/>
      <w:r w:rsidRPr="00E915DB">
        <w:rPr>
          <w:rFonts w:eastAsia="宋体"/>
          <w:color w:val="000000" w:themeColor="text1"/>
          <w:szCs w:val="18"/>
        </w:rPr>
        <w:t xml:space="preserve"> R, </w:t>
      </w:r>
      <w:proofErr w:type="spellStart"/>
      <w:r w:rsidRPr="00E915DB">
        <w:rPr>
          <w:rFonts w:eastAsia="宋体"/>
          <w:color w:val="000000" w:themeColor="text1"/>
          <w:szCs w:val="18"/>
        </w:rPr>
        <w:t>Vatcheva</w:t>
      </w:r>
      <w:proofErr w:type="spellEnd"/>
      <w:r w:rsidRPr="00E915DB">
        <w:rPr>
          <w:rFonts w:eastAsia="宋体"/>
          <w:color w:val="000000" w:themeColor="text1"/>
          <w:szCs w:val="18"/>
        </w:rPr>
        <w:t xml:space="preserve"> R, Levine DA, </w:t>
      </w:r>
      <w:r w:rsidRPr="00E915DB">
        <w:rPr>
          <w:rFonts w:eastAsia="宋体"/>
          <w:i/>
          <w:iCs/>
          <w:color w:val="000000" w:themeColor="text1"/>
          <w:szCs w:val="18"/>
        </w:rPr>
        <w:t>et al</w:t>
      </w:r>
      <w:r w:rsidRPr="00E915DB">
        <w:rPr>
          <w:rFonts w:eastAsia="宋体"/>
          <w:color w:val="000000" w:themeColor="text1"/>
          <w:szCs w:val="18"/>
        </w:rPr>
        <w:t>. Resistance to therapy caused by intragenic deletion in BRCA2. Nature. 2008; 451: 1111–1115. https://doi.org/10.1038/nature06548.</w:t>
      </w:r>
    </w:p>
    <w:p w14:paraId="7C55A76E" w14:textId="1A363D29"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lastRenderedPageBreak/>
        <w:t xml:space="preserve">[34] Pennington KP, Walsh T, Harrell MI, Lee MK, </w:t>
      </w:r>
      <w:proofErr w:type="spellStart"/>
      <w:r w:rsidRPr="00E915DB">
        <w:rPr>
          <w:rFonts w:eastAsia="宋体"/>
          <w:color w:val="000000" w:themeColor="text1"/>
          <w:szCs w:val="18"/>
        </w:rPr>
        <w:t>Pennil</w:t>
      </w:r>
      <w:proofErr w:type="spellEnd"/>
      <w:r w:rsidRPr="00E915DB">
        <w:rPr>
          <w:rFonts w:eastAsia="宋体"/>
          <w:color w:val="000000" w:themeColor="text1"/>
          <w:szCs w:val="18"/>
        </w:rPr>
        <w:t xml:space="preserve"> CC, </w:t>
      </w:r>
      <w:proofErr w:type="spellStart"/>
      <w:r w:rsidRPr="00E915DB">
        <w:rPr>
          <w:rFonts w:eastAsia="宋体"/>
          <w:color w:val="000000" w:themeColor="text1"/>
          <w:szCs w:val="18"/>
        </w:rPr>
        <w:t>Rendi</w:t>
      </w:r>
      <w:proofErr w:type="spellEnd"/>
      <w:r w:rsidRPr="00E915DB">
        <w:rPr>
          <w:rFonts w:eastAsia="宋体"/>
          <w:color w:val="000000" w:themeColor="text1"/>
          <w:szCs w:val="18"/>
        </w:rPr>
        <w:t xml:space="preserve"> MH, </w:t>
      </w:r>
      <w:r w:rsidRPr="00E915DB">
        <w:rPr>
          <w:rFonts w:eastAsia="宋体"/>
          <w:i/>
          <w:iCs/>
          <w:color w:val="000000" w:themeColor="text1"/>
          <w:szCs w:val="18"/>
        </w:rPr>
        <w:t>et al</w:t>
      </w:r>
      <w:r w:rsidRPr="00E915DB">
        <w:rPr>
          <w:rFonts w:eastAsia="宋体"/>
          <w:color w:val="000000" w:themeColor="text1"/>
          <w:szCs w:val="18"/>
        </w:rPr>
        <w:t>. Germline and somatic mutations in homologous recombination genes predict platinum response and survival in ovarian, fallopian tube, and peritoneal carcinomas. Clinical Cancer Research. 2014; 20: 764–775. https://doi.org/10.1158/1078-0432.CCR-13-2287.</w:t>
      </w:r>
    </w:p>
    <w:p w14:paraId="7D0515DA"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[35] Wright AA, Howitt BE, Myers AP, Dahlberg SE, </w:t>
      </w:r>
      <w:proofErr w:type="spellStart"/>
      <w:r w:rsidRPr="00E915DB">
        <w:rPr>
          <w:rFonts w:eastAsia="宋体"/>
          <w:color w:val="000000" w:themeColor="text1"/>
          <w:szCs w:val="18"/>
        </w:rPr>
        <w:t>Palescandolo</w:t>
      </w:r>
      <w:proofErr w:type="spellEnd"/>
      <w:r w:rsidRPr="00E915DB">
        <w:rPr>
          <w:rFonts w:eastAsia="宋体"/>
          <w:color w:val="000000" w:themeColor="text1"/>
          <w:szCs w:val="18"/>
        </w:rPr>
        <w:t xml:space="preserve"> E, Van </w:t>
      </w:r>
      <w:proofErr w:type="spellStart"/>
      <w:r w:rsidRPr="00E915DB">
        <w:rPr>
          <w:rFonts w:eastAsia="宋体"/>
          <w:color w:val="000000" w:themeColor="text1"/>
          <w:szCs w:val="18"/>
        </w:rPr>
        <w:t>Hummelen</w:t>
      </w:r>
      <w:proofErr w:type="spellEnd"/>
      <w:r w:rsidRPr="00E915DB">
        <w:rPr>
          <w:rFonts w:eastAsia="宋体"/>
          <w:color w:val="000000" w:themeColor="text1"/>
          <w:szCs w:val="18"/>
        </w:rPr>
        <w:t xml:space="preserve"> P, </w:t>
      </w:r>
      <w:r w:rsidRPr="00E915DB">
        <w:rPr>
          <w:rFonts w:eastAsia="宋体"/>
          <w:i/>
          <w:iCs/>
          <w:color w:val="000000" w:themeColor="text1"/>
          <w:szCs w:val="18"/>
        </w:rPr>
        <w:t>et al</w:t>
      </w:r>
      <w:r w:rsidRPr="00E915DB">
        <w:rPr>
          <w:rFonts w:eastAsia="宋体"/>
          <w:color w:val="000000" w:themeColor="text1"/>
          <w:szCs w:val="18"/>
        </w:rPr>
        <w:t>. Oncogenic mutations in cervical cancer: genomic differences between adenocarcinomas and squamous cell carcinomas of the cervix. Cancer. 2013; 119: 3776–3783. https://doi.org/10.1002/cncr.28288.</w:t>
      </w:r>
    </w:p>
    <w:p w14:paraId="472445CE"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[36] </w:t>
      </w:r>
      <w:proofErr w:type="spellStart"/>
      <w:r w:rsidRPr="00E915DB">
        <w:rPr>
          <w:rFonts w:eastAsia="宋体"/>
          <w:color w:val="000000" w:themeColor="text1"/>
          <w:szCs w:val="18"/>
        </w:rPr>
        <w:t>Voutsadakis</w:t>
      </w:r>
      <w:proofErr w:type="spellEnd"/>
      <w:r w:rsidRPr="00E915DB">
        <w:rPr>
          <w:rFonts w:eastAsia="宋体"/>
          <w:color w:val="000000" w:themeColor="text1"/>
          <w:szCs w:val="18"/>
        </w:rPr>
        <w:t xml:space="preserve"> IA. </w:t>
      </w:r>
      <w:r w:rsidRPr="00E915DB">
        <w:rPr>
          <w:rFonts w:eastAsia="宋体"/>
          <w:i/>
          <w:iCs/>
          <w:color w:val="000000" w:themeColor="text1"/>
          <w:szCs w:val="18"/>
        </w:rPr>
        <w:t>PI3KCA</w:t>
      </w:r>
      <w:r w:rsidRPr="00E915DB">
        <w:rPr>
          <w:rFonts w:eastAsia="宋体"/>
          <w:color w:val="000000" w:themeColor="text1"/>
          <w:szCs w:val="18"/>
        </w:rPr>
        <w:t> Mutations in Uterine Cervix Carcinoma. Journal of Clinical Medicine. 2021; 10: 220. https://doi.org/10.3390/jcm10020220.</w:t>
      </w:r>
    </w:p>
    <w:p w14:paraId="5596C22E" w14:textId="2DD50199"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[37] </w:t>
      </w:r>
      <w:proofErr w:type="spellStart"/>
      <w:r w:rsidRPr="00E915DB">
        <w:rPr>
          <w:rFonts w:eastAsia="宋体"/>
          <w:color w:val="000000" w:themeColor="text1"/>
          <w:szCs w:val="18"/>
        </w:rPr>
        <w:t>Nilforoushan</w:t>
      </w:r>
      <w:proofErr w:type="spellEnd"/>
      <w:r w:rsidRPr="00E915DB">
        <w:rPr>
          <w:rFonts w:eastAsia="宋体"/>
          <w:color w:val="000000" w:themeColor="text1"/>
          <w:szCs w:val="18"/>
        </w:rPr>
        <w:t xml:space="preserve"> N, Wethington SL, </w:t>
      </w:r>
      <w:proofErr w:type="spellStart"/>
      <w:r w:rsidRPr="00E915DB">
        <w:rPr>
          <w:rFonts w:eastAsia="宋体"/>
          <w:color w:val="000000" w:themeColor="text1"/>
          <w:szCs w:val="18"/>
        </w:rPr>
        <w:t>Nonogaki</w:t>
      </w:r>
      <w:proofErr w:type="spellEnd"/>
      <w:r w:rsidRPr="00E915DB">
        <w:rPr>
          <w:rFonts w:eastAsia="宋体"/>
          <w:color w:val="000000" w:themeColor="text1"/>
          <w:szCs w:val="18"/>
        </w:rPr>
        <w:t xml:space="preserve"> H, Gross J, </w:t>
      </w:r>
      <w:proofErr w:type="spellStart"/>
      <w:r w:rsidRPr="00E915DB">
        <w:rPr>
          <w:rFonts w:eastAsia="宋体"/>
          <w:color w:val="000000" w:themeColor="text1"/>
          <w:szCs w:val="18"/>
        </w:rPr>
        <w:t>Vang</w:t>
      </w:r>
      <w:proofErr w:type="spellEnd"/>
      <w:r w:rsidRPr="00E915DB">
        <w:rPr>
          <w:rFonts w:eastAsia="宋体"/>
          <w:color w:val="000000" w:themeColor="text1"/>
          <w:szCs w:val="18"/>
        </w:rPr>
        <w:t xml:space="preserve"> R, Xing D. NTRK-Fusion Sarcoma of the Uterine Cervix: Report of 2 Cases </w:t>
      </w:r>
      <w:proofErr w:type="gramStart"/>
      <w:r w:rsidRPr="00E915DB">
        <w:rPr>
          <w:rFonts w:eastAsia="宋体"/>
          <w:color w:val="000000" w:themeColor="text1"/>
          <w:szCs w:val="18"/>
        </w:rPr>
        <w:t>With</w:t>
      </w:r>
      <w:proofErr w:type="gramEnd"/>
      <w:r w:rsidRPr="00E915DB">
        <w:rPr>
          <w:rFonts w:eastAsia="宋体"/>
          <w:color w:val="000000" w:themeColor="text1"/>
          <w:szCs w:val="18"/>
        </w:rPr>
        <w:t xml:space="preserve"> Comparative Clinicopathologic Features. International Journal of Gynecological Pathology. 2022; 41: 642–648. https://doi.org/10.1097/PGP.0000000000000834.</w:t>
      </w:r>
    </w:p>
    <w:p w14:paraId="13A45075" w14:textId="5FAB0ACB"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[38] Flaherty KT, Gray RJ, Chen AP, Li S, McShane LM, Patton D, </w:t>
      </w:r>
      <w:r w:rsidRPr="00E915DB">
        <w:rPr>
          <w:rFonts w:eastAsia="宋体"/>
          <w:i/>
          <w:iCs/>
          <w:color w:val="000000" w:themeColor="text1"/>
          <w:szCs w:val="18"/>
        </w:rPr>
        <w:t>et al</w:t>
      </w:r>
      <w:r w:rsidRPr="00E915DB">
        <w:rPr>
          <w:rFonts w:eastAsia="宋体"/>
          <w:color w:val="000000" w:themeColor="text1"/>
          <w:szCs w:val="18"/>
        </w:rPr>
        <w:t xml:space="preserve">. Molecular Landscape and Actionable Alterations in a </w:t>
      </w:r>
      <w:proofErr w:type="spellStart"/>
      <w:r w:rsidRPr="00E915DB">
        <w:rPr>
          <w:rFonts w:eastAsia="宋体"/>
          <w:color w:val="000000" w:themeColor="text1"/>
          <w:szCs w:val="18"/>
        </w:rPr>
        <w:t>Genomically</w:t>
      </w:r>
      <w:proofErr w:type="spellEnd"/>
      <w:r w:rsidRPr="00E915DB">
        <w:rPr>
          <w:rFonts w:eastAsia="宋体"/>
          <w:color w:val="000000" w:themeColor="text1"/>
          <w:szCs w:val="18"/>
        </w:rPr>
        <w:t xml:space="preserve"> Guided Cancer Clinical Trial: National Cancer Institute Molecular Analysis for Therapy Choice (NCI-MATCH). Journal of Clinical Oncology. 2020; 38: 3883–3894. https://doi.org/10.1200/JCO.19.03010.</w:t>
      </w:r>
    </w:p>
    <w:p w14:paraId="21AF41A4" w14:textId="77777777" w:rsidR="006254CA" w:rsidRPr="00E915DB" w:rsidRDefault="006254CA" w:rsidP="001E386E">
      <w:pPr>
        <w:pStyle w:val="Reference"/>
        <w:ind w:left="360" w:hanging="360"/>
        <w:rPr>
          <w:rFonts w:eastAsia="宋体"/>
          <w:color w:val="000000" w:themeColor="text1"/>
          <w:szCs w:val="18"/>
          <w:lang w:val="it-IT"/>
        </w:rPr>
      </w:pPr>
      <w:r w:rsidRPr="00E915DB">
        <w:rPr>
          <w:rFonts w:eastAsia="宋体"/>
          <w:color w:val="000000" w:themeColor="text1"/>
          <w:szCs w:val="18"/>
        </w:rPr>
        <w:t xml:space="preserve">[39] Hyman DM, </w:t>
      </w:r>
      <w:proofErr w:type="spellStart"/>
      <w:r w:rsidRPr="00E915DB">
        <w:rPr>
          <w:rFonts w:eastAsia="宋体"/>
          <w:color w:val="000000" w:themeColor="text1"/>
          <w:szCs w:val="18"/>
        </w:rPr>
        <w:t>Piha</w:t>
      </w:r>
      <w:proofErr w:type="spellEnd"/>
      <w:r w:rsidRPr="00E915DB">
        <w:rPr>
          <w:rFonts w:eastAsia="宋体"/>
          <w:color w:val="000000" w:themeColor="text1"/>
          <w:szCs w:val="18"/>
        </w:rPr>
        <w:t xml:space="preserve">-Paul SA, Won H, Rodon J, </w:t>
      </w:r>
      <w:proofErr w:type="spellStart"/>
      <w:r w:rsidRPr="00E915DB">
        <w:rPr>
          <w:rFonts w:eastAsia="宋体"/>
          <w:color w:val="000000" w:themeColor="text1"/>
          <w:szCs w:val="18"/>
        </w:rPr>
        <w:t>Saura</w:t>
      </w:r>
      <w:proofErr w:type="spellEnd"/>
      <w:r w:rsidRPr="00E915DB">
        <w:rPr>
          <w:rFonts w:eastAsia="宋体"/>
          <w:color w:val="000000" w:themeColor="text1"/>
          <w:szCs w:val="18"/>
        </w:rPr>
        <w:t xml:space="preserve"> C, Shapiro GI, </w:t>
      </w:r>
      <w:r w:rsidRPr="00E915DB">
        <w:rPr>
          <w:rFonts w:eastAsia="宋体"/>
          <w:i/>
          <w:iCs/>
          <w:color w:val="000000" w:themeColor="text1"/>
          <w:szCs w:val="18"/>
        </w:rPr>
        <w:t>et al</w:t>
      </w:r>
      <w:r w:rsidRPr="00E915DB">
        <w:rPr>
          <w:rFonts w:eastAsia="宋体"/>
          <w:color w:val="000000" w:themeColor="text1"/>
          <w:szCs w:val="18"/>
        </w:rPr>
        <w:t xml:space="preserve">. HER kinase inhibition in patients with HER2- and HER3-mutant cancers. </w:t>
      </w:r>
      <w:r w:rsidRPr="00E915DB">
        <w:rPr>
          <w:rFonts w:eastAsia="宋体"/>
          <w:color w:val="000000" w:themeColor="text1"/>
          <w:szCs w:val="18"/>
          <w:lang w:val="it-IT"/>
        </w:rPr>
        <w:t>Nature. 2018; 554: 189–194. https://doi.org/10.1038/nature25475.</w:t>
      </w:r>
    </w:p>
    <w:p w14:paraId="5B75FFB3" w14:textId="3FCA0123"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lang w:val="it-IT"/>
        </w:rPr>
        <w:t>[40] Cibula D, Raspollini MR, Planchamp F, Centeno C, Chargari C, Felix A, </w:t>
      </w:r>
      <w:r w:rsidRPr="00E915DB">
        <w:rPr>
          <w:rFonts w:eastAsia="宋体"/>
          <w:i/>
          <w:iCs/>
          <w:color w:val="000000" w:themeColor="text1"/>
          <w:szCs w:val="18"/>
          <w:lang w:val="it-IT"/>
        </w:rPr>
        <w:t>et al</w:t>
      </w:r>
      <w:r w:rsidRPr="00E915DB">
        <w:rPr>
          <w:rFonts w:eastAsia="宋体"/>
          <w:color w:val="000000" w:themeColor="text1"/>
          <w:szCs w:val="18"/>
          <w:lang w:val="it-IT"/>
        </w:rPr>
        <w:t xml:space="preserve">. </w:t>
      </w:r>
      <w:r w:rsidRPr="00E915DB">
        <w:rPr>
          <w:rFonts w:eastAsia="宋体"/>
          <w:color w:val="000000" w:themeColor="text1"/>
          <w:szCs w:val="18"/>
        </w:rPr>
        <w:t>ESGO/ESTRO/ESP Guidelines for the management of patients with cervical cancer - Update 2023. International Journal of Gynecological Cancer. 2023; 33: 649–666. https://doi.org/10.1136/ijgc-2023-004429.</w:t>
      </w:r>
    </w:p>
    <w:p w14:paraId="58DF6F09"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[41] </w:t>
      </w:r>
      <w:proofErr w:type="spellStart"/>
      <w:r w:rsidRPr="00E915DB">
        <w:rPr>
          <w:rFonts w:eastAsia="宋体"/>
          <w:color w:val="000000" w:themeColor="text1"/>
          <w:szCs w:val="18"/>
        </w:rPr>
        <w:t>Vellone</w:t>
      </w:r>
      <w:proofErr w:type="spellEnd"/>
      <w:r w:rsidRPr="00E915DB">
        <w:rPr>
          <w:rFonts w:eastAsia="宋体"/>
          <w:color w:val="000000" w:themeColor="text1"/>
          <w:szCs w:val="18"/>
        </w:rPr>
        <w:t xml:space="preserve"> VG, </w:t>
      </w:r>
      <w:proofErr w:type="spellStart"/>
      <w:r w:rsidRPr="00E915DB">
        <w:rPr>
          <w:rFonts w:eastAsia="宋体"/>
          <w:color w:val="000000" w:themeColor="text1"/>
          <w:szCs w:val="18"/>
        </w:rPr>
        <w:t>Paudice</w:t>
      </w:r>
      <w:proofErr w:type="spellEnd"/>
      <w:r w:rsidRPr="00E915DB">
        <w:rPr>
          <w:rFonts w:eastAsia="宋体"/>
          <w:color w:val="000000" w:themeColor="text1"/>
          <w:szCs w:val="18"/>
        </w:rPr>
        <w:t xml:space="preserve"> M, </w:t>
      </w:r>
      <w:proofErr w:type="spellStart"/>
      <w:r w:rsidRPr="00E915DB">
        <w:rPr>
          <w:rFonts w:eastAsia="宋体"/>
          <w:color w:val="000000" w:themeColor="text1"/>
          <w:szCs w:val="18"/>
        </w:rPr>
        <w:t>Varesco</w:t>
      </w:r>
      <w:proofErr w:type="spellEnd"/>
      <w:r w:rsidRPr="00E915DB">
        <w:rPr>
          <w:rFonts w:eastAsia="宋体"/>
          <w:color w:val="000000" w:themeColor="text1"/>
          <w:szCs w:val="18"/>
        </w:rPr>
        <w:t xml:space="preserve"> L. Hereditary non-BRCA gynecological tumors. Minerva </w:t>
      </w:r>
      <w:proofErr w:type="spellStart"/>
      <w:r w:rsidRPr="00E915DB">
        <w:rPr>
          <w:rFonts w:eastAsia="宋体"/>
          <w:color w:val="000000" w:themeColor="text1"/>
          <w:szCs w:val="18"/>
        </w:rPr>
        <w:t>Ginecologica</w:t>
      </w:r>
      <w:proofErr w:type="spellEnd"/>
      <w:r w:rsidRPr="00E915DB">
        <w:rPr>
          <w:rFonts w:eastAsia="宋体"/>
          <w:color w:val="000000" w:themeColor="text1"/>
          <w:szCs w:val="18"/>
        </w:rPr>
        <w:t>. 2016; 68: 579–586.</w:t>
      </w:r>
    </w:p>
    <w:p w14:paraId="0EB39386" w14:textId="439A6B10"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[42] </w:t>
      </w:r>
      <w:proofErr w:type="spellStart"/>
      <w:r w:rsidRPr="00E915DB">
        <w:rPr>
          <w:rFonts w:eastAsia="宋体"/>
          <w:color w:val="000000" w:themeColor="text1"/>
          <w:szCs w:val="18"/>
        </w:rPr>
        <w:t>LaDuca</w:t>
      </w:r>
      <w:proofErr w:type="spellEnd"/>
      <w:r w:rsidRPr="00E915DB">
        <w:rPr>
          <w:rFonts w:eastAsia="宋体"/>
          <w:color w:val="000000" w:themeColor="text1"/>
          <w:szCs w:val="18"/>
        </w:rPr>
        <w:t xml:space="preserve"> H, </w:t>
      </w:r>
      <w:proofErr w:type="spellStart"/>
      <w:r w:rsidRPr="00E915DB">
        <w:rPr>
          <w:rFonts w:eastAsia="宋体"/>
          <w:color w:val="000000" w:themeColor="text1"/>
          <w:szCs w:val="18"/>
        </w:rPr>
        <w:t>Polley</w:t>
      </w:r>
      <w:proofErr w:type="spellEnd"/>
      <w:r w:rsidRPr="00E915DB">
        <w:rPr>
          <w:rFonts w:eastAsia="宋体"/>
          <w:color w:val="000000" w:themeColor="text1"/>
          <w:szCs w:val="18"/>
        </w:rPr>
        <w:t xml:space="preserve"> EC, </w:t>
      </w:r>
      <w:proofErr w:type="spellStart"/>
      <w:r w:rsidRPr="00E915DB">
        <w:rPr>
          <w:rFonts w:eastAsia="宋体"/>
          <w:color w:val="000000" w:themeColor="text1"/>
          <w:szCs w:val="18"/>
        </w:rPr>
        <w:t>Yussuf</w:t>
      </w:r>
      <w:proofErr w:type="spellEnd"/>
      <w:r w:rsidRPr="00E915DB">
        <w:rPr>
          <w:rFonts w:eastAsia="宋体"/>
          <w:color w:val="000000" w:themeColor="text1"/>
          <w:szCs w:val="18"/>
        </w:rPr>
        <w:t xml:space="preserve"> A, Hoang L, Gutierrez S, Hart SN, </w:t>
      </w:r>
      <w:r w:rsidRPr="00E915DB">
        <w:rPr>
          <w:rFonts w:eastAsia="宋体"/>
          <w:i/>
          <w:iCs/>
          <w:color w:val="000000" w:themeColor="text1"/>
          <w:szCs w:val="18"/>
        </w:rPr>
        <w:t>et al</w:t>
      </w:r>
      <w:r w:rsidRPr="00E915DB">
        <w:rPr>
          <w:rFonts w:eastAsia="宋体"/>
          <w:color w:val="000000" w:themeColor="text1"/>
          <w:szCs w:val="18"/>
        </w:rPr>
        <w:t>. A clinical guide to hereditary cancer panel testing: evaluation of gene-specific cancer associations and sensitivity of genetic testing criteria in a cohort of 165,000 high-risk patients. Genetics in Medicine. 2020; 22: 407–415. https://doi.org/10.1038/s41436-019-0633-8.</w:t>
      </w:r>
    </w:p>
    <w:p w14:paraId="1A2F3AB2"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[43] </w:t>
      </w:r>
      <w:proofErr w:type="spellStart"/>
      <w:r w:rsidRPr="00E915DB">
        <w:rPr>
          <w:rFonts w:eastAsia="宋体"/>
          <w:color w:val="000000" w:themeColor="text1"/>
          <w:szCs w:val="18"/>
        </w:rPr>
        <w:t>Banno</w:t>
      </w:r>
      <w:proofErr w:type="spellEnd"/>
      <w:r w:rsidRPr="00E915DB">
        <w:rPr>
          <w:rFonts w:eastAsia="宋体"/>
          <w:color w:val="000000" w:themeColor="text1"/>
          <w:szCs w:val="18"/>
        </w:rPr>
        <w:t xml:space="preserve"> K, </w:t>
      </w:r>
      <w:proofErr w:type="spellStart"/>
      <w:r w:rsidRPr="00E915DB">
        <w:rPr>
          <w:rFonts w:eastAsia="宋体"/>
          <w:color w:val="000000" w:themeColor="text1"/>
          <w:szCs w:val="18"/>
        </w:rPr>
        <w:t>Kisu</w:t>
      </w:r>
      <w:proofErr w:type="spellEnd"/>
      <w:r w:rsidRPr="00E915DB">
        <w:rPr>
          <w:rFonts w:eastAsia="宋体"/>
          <w:color w:val="000000" w:themeColor="text1"/>
          <w:szCs w:val="18"/>
        </w:rPr>
        <w:t xml:space="preserve"> I, </w:t>
      </w:r>
      <w:proofErr w:type="spellStart"/>
      <w:r w:rsidRPr="00E915DB">
        <w:rPr>
          <w:rFonts w:eastAsia="宋体"/>
          <w:color w:val="000000" w:themeColor="text1"/>
          <w:szCs w:val="18"/>
        </w:rPr>
        <w:t>Yanokura</w:t>
      </w:r>
      <w:proofErr w:type="spellEnd"/>
      <w:r w:rsidRPr="00E915DB">
        <w:rPr>
          <w:rFonts w:eastAsia="宋体"/>
          <w:color w:val="000000" w:themeColor="text1"/>
          <w:szCs w:val="18"/>
        </w:rPr>
        <w:t xml:space="preserve"> M, Masuda K, Ueki A, Kobayashi Y, </w:t>
      </w:r>
      <w:r w:rsidRPr="00E915DB">
        <w:rPr>
          <w:rFonts w:eastAsia="宋体"/>
          <w:i/>
          <w:iCs/>
          <w:color w:val="000000" w:themeColor="text1"/>
          <w:szCs w:val="18"/>
        </w:rPr>
        <w:t>et al</w:t>
      </w:r>
      <w:r w:rsidRPr="00E915DB">
        <w:rPr>
          <w:rFonts w:eastAsia="宋体"/>
          <w:color w:val="000000" w:themeColor="text1"/>
          <w:szCs w:val="18"/>
        </w:rPr>
        <w:t xml:space="preserve">. Hereditary gynecological tumors associated with </w:t>
      </w:r>
      <w:proofErr w:type="spellStart"/>
      <w:r w:rsidRPr="00E915DB">
        <w:rPr>
          <w:rFonts w:eastAsia="宋体"/>
          <w:color w:val="000000" w:themeColor="text1"/>
          <w:szCs w:val="18"/>
        </w:rPr>
        <w:t>Peutz-Jeghers</w:t>
      </w:r>
      <w:proofErr w:type="spellEnd"/>
      <w:r w:rsidRPr="00E915DB">
        <w:rPr>
          <w:rFonts w:eastAsia="宋体"/>
          <w:color w:val="000000" w:themeColor="text1"/>
          <w:szCs w:val="18"/>
        </w:rPr>
        <w:t xml:space="preserve"> syndrome (Review). Oncology Letters. 2013; 6: 1184–1188. https://doi.org/10.3892/ol.2013.1527.</w:t>
      </w:r>
    </w:p>
    <w:p w14:paraId="20EB8F4A"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[44] Parkinson CA, Gale D, </w:t>
      </w:r>
      <w:proofErr w:type="spellStart"/>
      <w:r w:rsidRPr="00E915DB">
        <w:rPr>
          <w:rFonts w:eastAsia="宋体"/>
          <w:color w:val="000000" w:themeColor="text1"/>
          <w:szCs w:val="18"/>
        </w:rPr>
        <w:t>Piskorz</w:t>
      </w:r>
      <w:proofErr w:type="spellEnd"/>
      <w:r w:rsidRPr="00E915DB">
        <w:rPr>
          <w:rFonts w:eastAsia="宋体"/>
          <w:color w:val="000000" w:themeColor="text1"/>
          <w:szCs w:val="18"/>
        </w:rPr>
        <w:t xml:space="preserve"> AM, Biggs H, Hodgkin C, </w:t>
      </w:r>
      <w:proofErr w:type="spellStart"/>
      <w:r w:rsidRPr="00E915DB">
        <w:rPr>
          <w:rFonts w:eastAsia="宋体"/>
          <w:color w:val="000000" w:themeColor="text1"/>
          <w:szCs w:val="18"/>
        </w:rPr>
        <w:t>Addley</w:t>
      </w:r>
      <w:proofErr w:type="spellEnd"/>
      <w:r w:rsidRPr="00E915DB">
        <w:rPr>
          <w:rFonts w:eastAsia="宋体"/>
          <w:color w:val="000000" w:themeColor="text1"/>
          <w:szCs w:val="18"/>
        </w:rPr>
        <w:t xml:space="preserve"> H, </w:t>
      </w:r>
      <w:r w:rsidRPr="00E915DB">
        <w:rPr>
          <w:rFonts w:eastAsia="宋体"/>
          <w:i/>
          <w:iCs/>
          <w:color w:val="000000" w:themeColor="text1"/>
          <w:szCs w:val="18"/>
        </w:rPr>
        <w:t>et al</w:t>
      </w:r>
      <w:r w:rsidRPr="00E915DB">
        <w:rPr>
          <w:rFonts w:eastAsia="宋体"/>
          <w:color w:val="000000" w:themeColor="text1"/>
          <w:szCs w:val="18"/>
        </w:rPr>
        <w:t xml:space="preserve">. Exploratory Analysis of TP53 Mutations in Circulating </w:t>
      </w:r>
      <w:proofErr w:type="spellStart"/>
      <w:r w:rsidRPr="00E915DB">
        <w:rPr>
          <w:rFonts w:eastAsia="宋体"/>
          <w:color w:val="000000" w:themeColor="text1"/>
          <w:szCs w:val="18"/>
        </w:rPr>
        <w:t>Tumour</w:t>
      </w:r>
      <w:proofErr w:type="spellEnd"/>
      <w:r w:rsidRPr="00E915DB">
        <w:rPr>
          <w:rFonts w:eastAsia="宋体"/>
          <w:color w:val="000000" w:themeColor="text1"/>
          <w:szCs w:val="18"/>
        </w:rPr>
        <w:t xml:space="preserve"> DNA as Biomarkers of Treatment Response for Patients with Relapsed High-Grade Serous Ovarian Carcinoma: A Retrospective Study. </w:t>
      </w:r>
      <w:proofErr w:type="spellStart"/>
      <w:r w:rsidRPr="00E915DB">
        <w:rPr>
          <w:rFonts w:eastAsia="宋体"/>
          <w:color w:val="000000" w:themeColor="text1"/>
          <w:szCs w:val="18"/>
        </w:rPr>
        <w:t>PLoS</w:t>
      </w:r>
      <w:proofErr w:type="spellEnd"/>
      <w:r w:rsidRPr="00E915DB">
        <w:rPr>
          <w:rFonts w:eastAsia="宋体"/>
          <w:color w:val="000000" w:themeColor="text1"/>
          <w:szCs w:val="18"/>
        </w:rPr>
        <w:t xml:space="preserve"> Medicine. 2016; 13: e1002198. https://doi.org/10.1371/journal.pmed.1002198.</w:t>
      </w:r>
    </w:p>
    <w:p w14:paraId="07E4CE72"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[45] Ju HY, Ho JY, Kang J, </w:t>
      </w:r>
      <w:proofErr w:type="spellStart"/>
      <w:r w:rsidRPr="00E915DB">
        <w:rPr>
          <w:rFonts w:eastAsia="宋体"/>
          <w:color w:val="000000" w:themeColor="text1"/>
          <w:szCs w:val="18"/>
        </w:rPr>
        <w:t>Hur</w:t>
      </w:r>
      <w:proofErr w:type="spellEnd"/>
      <w:r w:rsidRPr="00E915DB">
        <w:rPr>
          <w:rFonts w:eastAsia="宋体"/>
          <w:color w:val="000000" w:themeColor="text1"/>
          <w:szCs w:val="18"/>
        </w:rPr>
        <w:t xml:space="preserve"> SY, Kim S, Choi YJ, </w:t>
      </w:r>
      <w:r w:rsidRPr="00E915DB">
        <w:rPr>
          <w:rFonts w:eastAsia="宋体"/>
          <w:i/>
          <w:iCs/>
          <w:color w:val="000000" w:themeColor="text1"/>
          <w:szCs w:val="18"/>
        </w:rPr>
        <w:t>et al</w:t>
      </w:r>
      <w:r w:rsidRPr="00E915DB">
        <w:rPr>
          <w:rFonts w:eastAsia="宋体"/>
          <w:color w:val="000000" w:themeColor="text1"/>
          <w:szCs w:val="18"/>
        </w:rPr>
        <w:t>. Whole-Exome Sequencing Reveals Clinical Potential of Circulating Tumor DNA from Peritoneal Fluid and Plasma in Endometrial Cancer. Cancers. 2022; 14: 2506. https://doi.org/10.3390/cancers14102506.</w:t>
      </w:r>
    </w:p>
    <w:p w14:paraId="6FD0A69B" w14:textId="160A2C5E"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[46] Farahani H, </w:t>
      </w:r>
      <w:proofErr w:type="spellStart"/>
      <w:r w:rsidRPr="00E915DB">
        <w:rPr>
          <w:rFonts w:eastAsia="宋体"/>
          <w:color w:val="000000" w:themeColor="text1"/>
          <w:szCs w:val="18"/>
        </w:rPr>
        <w:t>Boschman</w:t>
      </w:r>
      <w:proofErr w:type="spellEnd"/>
      <w:r w:rsidRPr="00E915DB">
        <w:rPr>
          <w:rFonts w:eastAsia="宋体"/>
          <w:color w:val="000000" w:themeColor="text1"/>
          <w:szCs w:val="18"/>
        </w:rPr>
        <w:t xml:space="preserve"> J, Farnell D, </w:t>
      </w:r>
      <w:proofErr w:type="spellStart"/>
      <w:r w:rsidRPr="00E915DB">
        <w:rPr>
          <w:rFonts w:eastAsia="宋体"/>
          <w:color w:val="000000" w:themeColor="text1"/>
          <w:szCs w:val="18"/>
        </w:rPr>
        <w:t>Darbandsari</w:t>
      </w:r>
      <w:proofErr w:type="spellEnd"/>
      <w:r w:rsidRPr="00E915DB">
        <w:rPr>
          <w:rFonts w:eastAsia="宋体"/>
          <w:color w:val="000000" w:themeColor="text1"/>
          <w:szCs w:val="18"/>
        </w:rPr>
        <w:t xml:space="preserve"> A, Zhang A, </w:t>
      </w:r>
      <w:proofErr w:type="spellStart"/>
      <w:r w:rsidRPr="00E915DB">
        <w:rPr>
          <w:rFonts w:eastAsia="宋体"/>
          <w:color w:val="000000" w:themeColor="text1"/>
          <w:szCs w:val="18"/>
        </w:rPr>
        <w:t>Ahmadvand</w:t>
      </w:r>
      <w:proofErr w:type="spellEnd"/>
      <w:r w:rsidRPr="00E915DB">
        <w:rPr>
          <w:rFonts w:eastAsia="宋体"/>
          <w:color w:val="000000" w:themeColor="text1"/>
          <w:szCs w:val="18"/>
        </w:rPr>
        <w:t xml:space="preserve"> P, </w:t>
      </w:r>
      <w:r w:rsidRPr="00E915DB">
        <w:rPr>
          <w:rFonts w:eastAsia="宋体"/>
          <w:i/>
          <w:iCs/>
          <w:color w:val="000000" w:themeColor="text1"/>
          <w:szCs w:val="18"/>
        </w:rPr>
        <w:t>et al</w:t>
      </w:r>
      <w:r w:rsidRPr="00E915DB">
        <w:rPr>
          <w:rFonts w:eastAsia="宋体"/>
          <w:color w:val="000000" w:themeColor="text1"/>
          <w:szCs w:val="18"/>
        </w:rPr>
        <w:t>. Deep learning-based histotype diagnosis of ovarian carcinoma whole-slide pathology images. Modern Pathology. 2022; 35: 1983–1990. https://doi.org/10.1038/s41379-022-01146-z.</w:t>
      </w:r>
    </w:p>
    <w:p w14:paraId="3294752E" w14:textId="61AA2466"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[47] </w:t>
      </w:r>
      <w:r w:rsidR="00120C95" w:rsidRPr="00E915DB">
        <w:rPr>
          <w:rFonts w:eastAsia="宋体"/>
          <w:color w:val="000000" w:themeColor="text1"/>
          <w:szCs w:val="18"/>
        </w:rPr>
        <w:t xml:space="preserve"> </w:t>
      </w:r>
      <w:r w:rsidR="00120C95" w:rsidRPr="00E915DB">
        <w:rPr>
          <w:rFonts w:eastAsia="宋体"/>
          <w:color w:val="000000" w:themeColor="text1"/>
          <w:szCs w:val="18"/>
          <w:lang w:val="en-GB"/>
        </w:rPr>
        <w:t xml:space="preserve">Zhang Y, Yuan J, Chen L. Transforming cervical cancer pathological diagnosis through artificial intelligence: progress, performance, and barriers to clinical implementation. </w:t>
      </w:r>
      <w:r w:rsidR="00120C95" w:rsidRPr="001D7A22">
        <w:rPr>
          <w:rFonts w:eastAsia="宋体"/>
          <w:color w:val="000000" w:themeColor="text1"/>
          <w:szCs w:val="18"/>
          <w:lang w:val="en-GB"/>
        </w:rPr>
        <w:t xml:space="preserve">Front Oncol. </w:t>
      </w:r>
      <w:proofErr w:type="gramStart"/>
      <w:r w:rsidR="00120C95" w:rsidRPr="001D7A22">
        <w:rPr>
          <w:rFonts w:eastAsia="宋体"/>
          <w:color w:val="000000" w:themeColor="text1"/>
          <w:szCs w:val="18"/>
          <w:lang w:val="en-GB"/>
        </w:rPr>
        <w:t>2026;15:1716018</w:t>
      </w:r>
      <w:proofErr w:type="gramEnd"/>
      <w:r w:rsidR="00120C95" w:rsidRPr="001D7A22">
        <w:rPr>
          <w:rFonts w:eastAsia="宋体"/>
          <w:color w:val="000000" w:themeColor="text1"/>
          <w:szCs w:val="18"/>
          <w:lang w:val="en-GB"/>
        </w:rPr>
        <w:t>. doi:10.3389/fonc.2025.1716018</w:t>
      </w:r>
    </w:p>
    <w:p w14:paraId="04603CB5"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[48] Campanella G, Hanna MG, </w:t>
      </w:r>
      <w:proofErr w:type="spellStart"/>
      <w:r w:rsidRPr="00E915DB">
        <w:rPr>
          <w:rFonts w:eastAsia="宋体"/>
          <w:color w:val="000000" w:themeColor="text1"/>
          <w:szCs w:val="18"/>
        </w:rPr>
        <w:t>Geneslaw</w:t>
      </w:r>
      <w:proofErr w:type="spellEnd"/>
      <w:r w:rsidRPr="00E915DB">
        <w:rPr>
          <w:rFonts w:eastAsia="宋体"/>
          <w:color w:val="000000" w:themeColor="text1"/>
          <w:szCs w:val="18"/>
        </w:rPr>
        <w:t xml:space="preserve"> L, </w:t>
      </w:r>
      <w:proofErr w:type="spellStart"/>
      <w:r w:rsidRPr="00E915DB">
        <w:rPr>
          <w:rFonts w:eastAsia="宋体"/>
          <w:color w:val="000000" w:themeColor="text1"/>
          <w:szCs w:val="18"/>
        </w:rPr>
        <w:t>Miraflor</w:t>
      </w:r>
      <w:proofErr w:type="spellEnd"/>
      <w:r w:rsidRPr="00E915DB">
        <w:rPr>
          <w:rFonts w:eastAsia="宋体"/>
          <w:color w:val="000000" w:themeColor="text1"/>
          <w:szCs w:val="18"/>
        </w:rPr>
        <w:t xml:space="preserve"> A, Werneck Krauss Silva V, </w:t>
      </w:r>
      <w:proofErr w:type="spellStart"/>
      <w:r w:rsidRPr="00E915DB">
        <w:rPr>
          <w:rFonts w:eastAsia="宋体"/>
          <w:color w:val="000000" w:themeColor="text1"/>
          <w:szCs w:val="18"/>
        </w:rPr>
        <w:t>Busam</w:t>
      </w:r>
      <w:proofErr w:type="spellEnd"/>
      <w:r w:rsidRPr="00E915DB">
        <w:rPr>
          <w:rFonts w:eastAsia="宋体"/>
          <w:color w:val="000000" w:themeColor="text1"/>
          <w:szCs w:val="18"/>
        </w:rPr>
        <w:t xml:space="preserve"> KJ, </w:t>
      </w:r>
      <w:r w:rsidRPr="00E915DB">
        <w:rPr>
          <w:rFonts w:eastAsia="宋体"/>
          <w:i/>
          <w:iCs/>
          <w:color w:val="000000" w:themeColor="text1"/>
          <w:szCs w:val="18"/>
        </w:rPr>
        <w:t>et al</w:t>
      </w:r>
      <w:r w:rsidRPr="00E915DB">
        <w:rPr>
          <w:rFonts w:eastAsia="宋体"/>
          <w:color w:val="000000" w:themeColor="text1"/>
          <w:szCs w:val="18"/>
        </w:rPr>
        <w:t>. Clinical-grade computational pathology using weakly supervised deep learning on whole slide images. Nature Medicine. 2019; 25: 1301–1309. https://doi.org/10.1038/s41591-019-0508-1.</w:t>
      </w:r>
    </w:p>
    <w:p w14:paraId="7B059ACE"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[49] </w:t>
      </w:r>
      <w:proofErr w:type="spellStart"/>
      <w:r w:rsidRPr="00E915DB">
        <w:rPr>
          <w:rFonts w:eastAsia="宋体"/>
          <w:color w:val="000000" w:themeColor="text1"/>
          <w:szCs w:val="18"/>
        </w:rPr>
        <w:t>Madabhushi</w:t>
      </w:r>
      <w:proofErr w:type="spellEnd"/>
      <w:r w:rsidRPr="00E915DB">
        <w:rPr>
          <w:rFonts w:eastAsia="宋体"/>
          <w:color w:val="000000" w:themeColor="text1"/>
          <w:szCs w:val="18"/>
        </w:rPr>
        <w:t xml:space="preserve"> A, Lee G. Image analysis and machine learning in digital pathology: Challenges and opportunities. Medical Image Analysis. 2016; 33: 170–175. https://doi.org/10.1016/j.media.2016.06.037.</w:t>
      </w:r>
    </w:p>
    <w:p w14:paraId="2110D3BD"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lastRenderedPageBreak/>
        <w:t xml:space="preserve">[50] </w:t>
      </w:r>
      <w:proofErr w:type="spellStart"/>
      <w:r w:rsidRPr="00E915DB">
        <w:rPr>
          <w:rFonts w:eastAsia="宋体"/>
          <w:color w:val="000000" w:themeColor="text1"/>
          <w:szCs w:val="18"/>
        </w:rPr>
        <w:t>Bera</w:t>
      </w:r>
      <w:proofErr w:type="spellEnd"/>
      <w:r w:rsidRPr="00E915DB">
        <w:rPr>
          <w:rFonts w:eastAsia="宋体"/>
          <w:color w:val="000000" w:themeColor="text1"/>
          <w:szCs w:val="18"/>
        </w:rPr>
        <w:t xml:space="preserve"> K, </w:t>
      </w:r>
      <w:proofErr w:type="spellStart"/>
      <w:r w:rsidRPr="00E915DB">
        <w:rPr>
          <w:rFonts w:eastAsia="宋体"/>
          <w:color w:val="000000" w:themeColor="text1"/>
          <w:szCs w:val="18"/>
        </w:rPr>
        <w:t>Schalper</w:t>
      </w:r>
      <w:proofErr w:type="spellEnd"/>
      <w:r w:rsidRPr="00E915DB">
        <w:rPr>
          <w:rFonts w:eastAsia="宋体"/>
          <w:color w:val="000000" w:themeColor="text1"/>
          <w:szCs w:val="18"/>
        </w:rPr>
        <w:t xml:space="preserve"> KA, </w:t>
      </w:r>
      <w:proofErr w:type="spellStart"/>
      <w:r w:rsidRPr="00E915DB">
        <w:rPr>
          <w:rFonts w:eastAsia="宋体"/>
          <w:color w:val="000000" w:themeColor="text1"/>
          <w:szCs w:val="18"/>
        </w:rPr>
        <w:t>Rimm</w:t>
      </w:r>
      <w:proofErr w:type="spellEnd"/>
      <w:r w:rsidRPr="00E915DB">
        <w:rPr>
          <w:rFonts w:eastAsia="宋体"/>
          <w:color w:val="000000" w:themeColor="text1"/>
          <w:szCs w:val="18"/>
        </w:rPr>
        <w:t xml:space="preserve"> DL, </w:t>
      </w:r>
      <w:proofErr w:type="spellStart"/>
      <w:r w:rsidRPr="00E915DB">
        <w:rPr>
          <w:rFonts w:eastAsia="宋体"/>
          <w:color w:val="000000" w:themeColor="text1"/>
          <w:szCs w:val="18"/>
        </w:rPr>
        <w:t>Velcheti</w:t>
      </w:r>
      <w:proofErr w:type="spellEnd"/>
      <w:r w:rsidRPr="00E915DB">
        <w:rPr>
          <w:rFonts w:eastAsia="宋体"/>
          <w:color w:val="000000" w:themeColor="text1"/>
          <w:szCs w:val="18"/>
        </w:rPr>
        <w:t xml:space="preserve"> V, </w:t>
      </w:r>
      <w:proofErr w:type="spellStart"/>
      <w:r w:rsidRPr="00E915DB">
        <w:rPr>
          <w:rFonts w:eastAsia="宋体"/>
          <w:color w:val="000000" w:themeColor="text1"/>
          <w:szCs w:val="18"/>
        </w:rPr>
        <w:t>Madabhushi</w:t>
      </w:r>
      <w:proofErr w:type="spellEnd"/>
      <w:r w:rsidRPr="00E915DB">
        <w:rPr>
          <w:rFonts w:eastAsia="宋体"/>
          <w:color w:val="000000" w:themeColor="text1"/>
          <w:szCs w:val="18"/>
        </w:rPr>
        <w:t xml:space="preserve"> A. Artificial intelligence in digital pathology - new tools for diagnosis and precision oncology. Nature Reviews. Clinical Oncology. 2019; 16: 703–715. https://doi.org/10.1038/s41571-019-0252-y.</w:t>
      </w:r>
    </w:p>
    <w:p w14:paraId="1D97B9BA" w14:textId="77777777"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[51] </w:t>
      </w:r>
      <w:proofErr w:type="spellStart"/>
      <w:r w:rsidRPr="00E915DB">
        <w:rPr>
          <w:rFonts w:eastAsia="宋体"/>
          <w:color w:val="000000" w:themeColor="text1"/>
          <w:szCs w:val="18"/>
        </w:rPr>
        <w:t>Esteva</w:t>
      </w:r>
      <w:proofErr w:type="spellEnd"/>
      <w:r w:rsidRPr="00E915DB">
        <w:rPr>
          <w:rFonts w:eastAsia="宋体"/>
          <w:color w:val="000000" w:themeColor="text1"/>
          <w:szCs w:val="18"/>
        </w:rPr>
        <w:t xml:space="preserve"> A, </w:t>
      </w:r>
      <w:proofErr w:type="spellStart"/>
      <w:r w:rsidRPr="00E915DB">
        <w:rPr>
          <w:rFonts w:eastAsia="宋体"/>
          <w:color w:val="000000" w:themeColor="text1"/>
          <w:szCs w:val="18"/>
        </w:rPr>
        <w:t>Robicquet</w:t>
      </w:r>
      <w:proofErr w:type="spellEnd"/>
      <w:r w:rsidRPr="00E915DB">
        <w:rPr>
          <w:rFonts w:eastAsia="宋体"/>
          <w:color w:val="000000" w:themeColor="text1"/>
          <w:szCs w:val="18"/>
        </w:rPr>
        <w:t xml:space="preserve"> A, </w:t>
      </w:r>
      <w:proofErr w:type="spellStart"/>
      <w:r w:rsidRPr="00E915DB">
        <w:rPr>
          <w:rFonts w:eastAsia="宋体"/>
          <w:color w:val="000000" w:themeColor="text1"/>
          <w:szCs w:val="18"/>
        </w:rPr>
        <w:t>Ramsundar</w:t>
      </w:r>
      <w:proofErr w:type="spellEnd"/>
      <w:r w:rsidRPr="00E915DB">
        <w:rPr>
          <w:rFonts w:eastAsia="宋体"/>
          <w:color w:val="000000" w:themeColor="text1"/>
          <w:szCs w:val="18"/>
        </w:rPr>
        <w:t xml:space="preserve"> B, Kuleshov V, </w:t>
      </w:r>
      <w:proofErr w:type="spellStart"/>
      <w:r w:rsidRPr="00E915DB">
        <w:rPr>
          <w:rFonts w:eastAsia="宋体"/>
          <w:color w:val="000000" w:themeColor="text1"/>
          <w:szCs w:val="18"/>
        </w:rPr>
        <w:t>DePristo</w:t>
      </w:r>
      <w:proofErr w:type="spellEnd"/>
      <w:r w:rsidRPr="00E915DB">
        <w:rPr>
          <w:rFonts w:eastAsia="宋体"/>
          <w:color w:val="000000" w:themeColor="text1"/>
          <w:szCs w:val="18"/>
        </w:rPr>
        <w:t xml:space="preserve"> M, Chou K, </w:t>
      </w:r>
      <w:r w:rsidRPr="00E915DB">
        <w:rPr>
          <w:rFonts w:eastAsia="宋体"/>
          <w:i/>
          <w:iCs/>
          <w:color w:val="000000" w:themeColor="text1"/>
          <w:szCs w:val="18"/>
        </w:rPr>
        <w:t>et al</w:t>
      </w:r>
      <w:r w:rsidRPr="00E915DB">
        <w:rPr>
          <w:rFonts w:eastAsia="宋体"/>
          <w:color w:val="000000" w:themeColor="text1"/>
          <w:szCs w:val="18"/>
        </w:rPr>
        <w:t>. A guide to deep learning in healthcare. Nature Medicine. 2019; 25: 24–29. https://doi.org/10.1038/s41591-018-0316-z.</w:t>
      </w:r>
    </w:p>
    <w:p w14:paraId="60BCD3A9" w14:textId="7B1A87E4" w:rsidR="006254CA" w:rsidRPr="00E915DB" w:rsidRDefault="006254CA" w:rsidP="001E386E">
      <w:pPr>
        <w:pStyle w:val="Reference"/>
        <w:ind w:left="360" w:hanging="360"/>
        <w:rPr>
          <w:rFonts w:eastAsia="宋体"/>
          <w:color w:val="000000" w:themeColor="text1"/>
          <w:szCs w:val="18"/>
        </w:rPr>
      </w:pPr>
      <w:r w:rsidRPr="00E915DB">
        <w:rPr>
          <w:rFonts w:eastAsia="宋体"/>
          <w:color w:val="000000" w:themeColor="text1"/>
          <w:szCs w:val="18"/>
        </w:rPr>
        <w:t xml:space="preserve">[52] </w:t>
      </w:r>
      <w:proofErr w:type="spellStart"/>
      <w:r w:rsidRPr="00E915DB">
        <w:rPr>
          <w:rFonts w:eastAsia="宋体"/>
          <w:color w:val="000000" w:themeColor="text1"/>
          <w:szCs w:val="18"/>
        </w:rPr>
        <w:t>D’Oria</w:t>
      </w:r>
      <w:proofErr w:type="spellEnd"/>
      <w:r w:rsidRPr="00E915DB">
        <w:rPr>
          <w:rFonts w:eastAsia="宋体"/>
          <w:color w:val="000000" w:themeColor="text1"/>
          <w:szCs w:val="18"/>
        </w:rPr>
        <w:t xml:space="preserve"> O, Giannini A, </w:t>
      </w:r>
      <w:proofErr w:type="spellStart"/>
      <w:r w:rsidRPr="00E915DB">
        <w:rPr>
          <w:rFonts w:eastAsia="宋体"/>
          <w:color w:val="000000" w:themeColor="text1"/>
          <w:szCs w:val="18"/>
        </w:rPr>
        <w:t>Besharat</w:t>
      </w:r>
      <w:proofErr w:type="spellEnd"/>
      <w:r w:rsidRPr="00E915DB">
        <w:rPr>
          <w:rFonts w:eastAsia="宋体"/>
          <w:color w:val="000000" w:themeColor="text1"/>
          <w:szCs w:val="18"/>
        </w:rPr>
        <w:t xml:space="preserve"> AR, Caserta D. Management of endometrial cancer: molecular identikit and tailored therapeutic approach. </w:t>
      </w:r>
      <w:r w:rsidR="00FE4C7A" w:rsidRPr="00E915DB">
        <w:rPr>
          <w:rFonts w:eastAsia="宋体"/>
          <w:color w:val="000000" w:themeColor="text1"/>
          <w:szCs w:val="18"/>
        </w:rPr>
        <w:t>Clinical and Experimental Obstetrics &amp; Gynecology</w:t>
      </w:r>
      <w:r w:rsidRPr="00E915DB">
        <w:rPr>
          <w:rFonts w:eastAsia="宋体"/>
          <w:color w:val="000000" w:themeColor="text1"/>
          <w:szCs w:val="18"/>
        </w:rPr>
        <w:t>. 2023;</w:t>
      </w:r>
      <w:r w:rsidR="00FE4C7A" w:rsidRPr="00E915DB">
        <w:rPr>
          <w:rFonts w:eastAsia="宋体"/>
          <w:color w:val="000000" w:themeColor="text1"/>
          <w:szCs w:val="18"/>
        </w:rPr>
        <w:t xml:space="preserve"> </w:t>
      </w:r>
      <w:r w:rsidRPr="00E915DB">
        <w:rPr>
          <w:rFonts w:eastAsia="宋体"/>
          <w:color w:val="000000" w:themeColor="text1"/>
          <w:szCs w:val="18"/>
        </w:rPr>
        <w:t>50:</w:t>
      </w:r>
      <w:r w:rsidR="00FE4C7A" w:rsidRPr="00E915DB">
        <w:rPr>
          <w:rFonts w:eastAsia="宋体"/>
          <w:color w:val="000000" w:themeColor="text1"/>
          <w:szCs w:val="18"/>
        </w:rPr>
        <w:t xml:space="preserve"> </w:t>
      </w:r>
      <w:r w:rsidRPr="00E915DB">
        <w:rPr>
          <w:rFonts w:eastAsia="宋体"/>
          <w:color w:val="000000" w:themeColor="text1"/>
          <w:szCs w:val="18"/>
        </w:rPr>
        <w:t xml:space="preserve">210. </w:t>
      </w:r>
      <w:r w:rsidR="00FE4C7A" w:rsidRPr="00E915DB">
        <w:rPr>
          <w:rFonts w:eastAsia="宋体"/>
          <w:color w:val="000000" w:themeColor="text1"/>
          <w:szCs w:val="18"/>
        </w:rPr>
        <w:t>https://doi.org/</w:t>
      </w:r>
      <w:r w:rsidRPr="00E915DB">
        <w:rPr>
          <w:rFonts w:eastAsia="宋体"/>
          <w:color w:val="000000" w:themeColor="text1"/>
          <w:szCs w:val="18"/>
        </w:rPr>
        <w:t>10.31083/j.ceog5010210</w:t>
      </w:r>
      <w:r w:rsidR="00FE4C7A" w:rsidRPr="00E915DB">
        <w:rPr>
          <w:rFonts w:eastAsia="宋体"/>
          <w:color w:val="000000" w:themeColor="text1"/>
          <w:szCs w:val="18"/>
        </w:rPr>
        <w:t>.</w:t>
      </w:r>
    </w:p>
    <w:p w14:paraId="4710D1FC" w14:textId="615AEF22" w:rsidR="006254CA" w:rsidRPr="00DB5BD1" w:rsidRDefault="006254CA" w:rsidP="001E386E">
      <w:pPr>
        <w:pStyle w:val="Reference"/>
        <w:ind w:left="360" w:hanging="360"/>
        <w:rPr>
          <w:rFonts w:eastAsia="宋体"/>
          <w:color w:val="000000" w:themeColor="text1"/>
          <w:szCs w:val="18"/>
        </w:rPr>
      </w:pPr>
      <w:r w:rsidRPr="00E915DB">
        <w:rPr>
          <w:rFonts w:eastAsia="宋体"/>
          <w:color w:val="000000" w:themeColor="text1"/>
          <w:szCs w:val="18"/>
          <w:lang w:val="it-IT"/>
        </w:rPr>
        <w:t xml:space="preserve">[53] D’Augè TG, Giannini A, Bogani G, </w:t>
      </w:r>
      <w:r w:rsidR="00B81067" w:rsidRPr="00E915DB">
        <w:rPr>
          <w:rFonts w:eastAsia="宋体"/>
          <w:color w:val="000000" w:themeColor="text1"/>
          <w:szCs w:val="18"/>
          <w:lang w:val="it-IT"/>
        </w:rPr>
        <w:t xml:space="preserve">Di Dio C, Di Donato V, Caserta D, </w:t>
      </w:r>
      <w:r w:rsidRPr="00E915DB">
        <w:rPr>
          <w:rFonts w:eastAsia="宋体"/>
          <w:i/>
          <w:color w:val="000000" w:themeColor="text1"/>
          <w:szCs w:val="18"/>
          <w:lang w:val="it-IT"/>
        </w:rPr>
        <w:t>et al</w:t>
      </w:r>
      <w:r w:rsidRPr="00E915DB">
        <w:rPr>
          <w:rFonts w:eastAsia="宋体"/>
          <w:color w:val="000000" w:themeColor="text1"/>
          <w:szCs w:val="18"/>
          <w:lang w:val="it-IT"/>
        </w:rPr>
        <w:t xml:space="preserve">. </w:t>
      </w:r>
      <w:r w:rsidRPr="00E915DB">
        <w:rPr>
          <w:rFonts w:eastAsia="宋体"/>
          <w:color w:val="000000" w:themeColor="text1"/>
          <w:szCs w:val="18"/>
        </w:rPr>
        <w:t xml:space="preserve">Prevention, screening, treatment and follow-up of gynecological cancers: state of art and future perspectives. </w:t>
      </w:r>
      <w:r w:rsidR="00FE4C7A" w:rsidRPr="00E915DB">
        <w:rPr>
          <w:rFonts w:eastAsia="宋体"/>
          <w:color w:val="000000" w:themeColor="text1"/>
          <w:szCs w:val="18"/>
        </w:rPr>
        <w:t>Clinical and Experimental Obstetrics &amp; Gynecology</w:t>
      </w:r>
      <w:r w:rsidRPr="00E915DB">
        <w:rPr>
          <w:rFonts w:eastAsia="宋体"/>
          <w:color w:val="000000" w:themeColor="text1"/>
          <w:szCs w:val="18"/>
        </w:rPr>
        <w:t>. 2023;</w:t>
      </w:r>
      <w:r w:rsidR="00FE4C7A" w:rsidRPr="00E915DB">
        <w:rPr>
          <w:rFonts w:eastAsia="宋体"/>
          <w:color w:val="000000" w:themeColor="text1"/>
          <w:szCs w:val="18"/>
        </w:rPr>
        <w:t xml:space="preserve"> </w:t>
      </w:r>
      <w:r w:rsidRPr="00E915DB">
        <w:rPr>
          <w:rFonts w:eastAsia="宋体"/>
          <w:color w:val="000000" w:themeColor="text1"/>
          <w:szCs w:val="18"/>
        </w:rPr>
        <w:t>50:</w:t>
      </w:r>
      <w:r w:rsidR="00FE4C7A" w:rsidRPr="00E915DB">
        <w:rPr>
          <w:rFonts w:eastAsia="宋体"/>
          <w:color w:val="000000" w:themeColor="text1"/>
          <w:szCs w:val="18"/>
        </w:rPr>
        <w:t xml:space="preserve"> </w:t>
      </w:r>
      <w:r w:rsidRPr="00E915DB">
        <w:rPr>
          <w:rFonts w:eastAsia="宋体"/>
          <w:color w:val="000000" w:themeColor="text1"/>
          <w:szCs w:val="18"/>
        </w:rPr>
        <w:t xml:space="preserve">160. </w:t>
      </w:r>
      <w:r w:rsidR="00FE4C7A" w:rsidRPr="00E915DB">
        <w:rPr>
          <w:rFonts w:eastAsia="宋体"/>
          <w:color w:val="000000" w:themeColor="text1"/>
          <w:szCs w:val="18"/>
        </w:rPr>
        <w:t>https://doi.org/</w:t>
      </w:r>
      <w:r w:rsidRPr="00E915DB">
        <w:rPr>
          <w:rFonts w:eastAsia="宋体"/>
          <w:color w:val="000000" w:themeColor="text1"/>
          <w:szCs w:val="18"/>
        </w:rPr>
        <w:t>10.31083/j.ceog5008160</w:t>
      </w:r>
      <w:r w:rsidR="00FE4C7A" w:rsidRPr="00E915DB">
        <w:rPr>
          <w:rFonts w:eastAsia="宋体"/>
          <w:color w:val="000000" w:themeColor="text1"/>
          <w:szCs w:val="18"/>
        </w:rPr>
        <w:t>.</w:t>
      </w:r>
    </w:p>
    <w:sectPr w:rsidR="006254CA" w:rsidRPr="00DB5BD1" w:rsidSect="00042701">
      <w:pgSz w:w="11906" w:h="16838" w:code="9"/>
      <w:pgMar w:top="1134" w:right="851" w:bottom="1134" w:left="851" w:header="283" w:footer="1134" w:gutter="0"/>
      <w:cols w:space="708"/>
      <w:docGrid w:type="lines"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6F3ED5" w16cex:dateUtc="2026-05-21T05:33:00Z"/>
  <w16cex:commentExtensible w16cex:durableId="14CF93DD" w16cex:dateUtc="2026-05-21T05:34:00Z"/>
  <w16cex:commentExtensible w16cex:durableId="7A91B44E" w16cex:dateUtc="2026-05-21T05:50:00Z"/>
  <w16cex:commentExtensible w16cex:durableId="260F28FC" w16cex:dateUtc="2026-05-21T05:50:00Z"/>
  <w16cex:commentExtensible w16cex:durableId="2BECAAC6" w16cex:dateUtc="2026-05-21T05:51:00Z"/>
  <w16cex:commentExtensible w16cex:durableId="691A004F" w16cex:dateUtc="2026-05-21T05:51:00Z"/>
  <w16cex:commentExtensible w16cex:durableId="193F3586" w16cex:dateUtc="2026-05-21T05:53:00Z"/>
  <w16cex:commentExtensible w16cex:durableId="5B030542" w16cex:dateUtc="2026-05-11T15:29:00Z"/>
  <w16cex:commentExtensible w16cex:durableId="4A74CCA1" w16cex:dateUtc="2026-05-21T05:53:00Z"/>
  <w16cex:commentExtensible w16cex:durableId="548697CE" w16cex:dateUtc="2026-05-21T05:55:00Z"/>
  <w16cex:commentExtensible w16cex:durableId="3B3239AB" w16cex:dateUtc="2026-05-21T05:57:00Z"/>
  <w16cex:commentExtensible w16cex:durableId="73648B06" w16cex:dateUtc="2026-05-21T05:58:00Z"/>
  <w16cex:commentExtensible w16cex:durableId="1044FE7E" w16cex:dateUtc="2026-05-21T06:00:00Z"/>
  <w16cex:commentExtensible w16cex:durableId="5F9EAD4A" w16cex:dateUtc="2026-05-21T06:02:00Z"/>
  <w16cex:commentExtensible w16cex:durableId="6CA26DCF" w16cex:dateUtc="2026-05-21T06:02:00Z"/>
  <w16cex:commentExtensible w16cex:durableId="78167410" w16cex:dateUtc="2026-05-14T15:23:00Z"/>
  <w16cex:commentExtensible w16cex:durableId="26582C1C" w16cex:dateUtc="2026-05-21T06:04:00Z"/>
  <w16cex:commentExtensible w16cex:durableId="4D89CE46" w16cex:dateUtc="2026-05-21T06:06:00Z"/>
  <w16cex:commentExtensible w16cex:durableId="3328B7F8" w16cex:dateUtc="2026-05-21T06:07:00Z"/>
  <w16cex:commentExtensible w16cex:durableId="0089AB4B" w16cex:dateUtc="2026-05-21T06:07:00Z"/>
  <w16cex:commentExtensible w16cex:durableId="16FAD9DE" w16cex:dateUtc="2026-05-12T05:42:00Z"/>
  <w16cex:commentExtensible w16cex:durableId="282CFC5A" w16cex:dateUtc="2026-05-21T06:16:00Z"/>
  <w16cex:commentExtensible w16cex:durableId="31CCE8DF" w16cex:dateUtc="2026-05-21T06:17:00Z"/>
  <w16cex:commentExtensible w16cex:durableId="4A76B5A9" w16cex:dateUtc="2026-05-21T06:19:00Z"/>
  <w16cex:commentExtensible w16cex:durableId="5D740894" w16cex:dateUtc="2026-05-21T06:20:00Z"/>
  <w16cex:commentExtensible w16cex:durableId="02F76BEC" w16cex:dateUtc="2026-05-21T06:20:00Z"/>
  <w16cex:commentExtensible w16cex:durableId="4E5B035B" w16cex:dateUtc="2026-05-21T06:21:00Z"/>
  <w16cex:commentExtensible w16cex:durableId="742D2789" w16cex:dateUtc="2026-05-21T06:21:00Z"/>
  <w16cex:commentExtensible w16cex:durableId="2F7E9463" w16cex:dateUtc="2026-05-21T06:24:00Z"/>
  <w16cex:commentExtensible w16cex:durableId="4C8D519A" w16cex:dateUtc="2026-05-21T06:25:00Z"/>
  <w16cex:commentExtensible w16cex:durableId="7D7B4401" w16cex:dateUtc="2026-05-21T06:25:00Z"/>
  <w16cex:commentExtensible w16cex:durableId="26243DDD" w16cex:dateUtc="2026-05-21T06:26:00Z"/>
  <w16cex:commentExtensible w16cex:durableId="404F5E5D" w16cex:dateUtc="2026-05-21T06:26:00Z"/>
  <w16cex:commentExtensible w16cex:durableId="2E237D76" w16cex:dateUtc="2026-05-13T16:31:00Z"/>
  <w16cex:commentExtensible w16cex:durableId="7D7C3493" w16cex:dateUtc="2026-05-21T06:27:00Z"/>
  <w16cex:commentExtensible w16cex:durableId="2E818C9B" w16cex:dateUtc="2026-05-21T06:27:00Z"/>
  <w16cex:commentExtensible w16cex:durableId="36683833" w16cex:dateUtc="2026-05-21T06:28:00Z"/>
  <w16cex:commentExtensible w16cex:durableId="3E2489A8" w16cex:dateUtc="2026-05-21T06:29:00Z"/>
  <w16cex:commentExtensible w16cex:durableId="2D23D9AA" w16cex:dateUtc="2026-05-21T06:31:00Z"/>
  <w16cex:commentExtensible w16cex:durableId="59CACD50" w16cex:dateUtc="2026-05-21T06:31:00Z"/>
  <w16cex:commentExtensible w16cex:durableId="2C7DE933" w16cex:dateUtc="2026-05-21T06:35:00Z"/>
  <w16cex:commentExtensible w16cex:durableId="7C756DC3" w16cex:dateUtc="2026-05-21T06:36:00Z"/>
  <w16cex:commentExtensible w16cex:durableId="67271F87" w16cex:dateUtc="2026-05-21T06:40:00Z"/>
  <w16cex:commentExtensible w16cex:durableId="0F58E9E9" w16cex:dateUtc="2026-05-21T06:40:00Z"/>
  <w16cex:commentExtensible w16cex:durableId="4552BAE1" w16cex:dateUtc="2026-05-21T06:41:00Z"/>
  <w16cex:commentExtensible w16cex:durableId="361EF583" w16cex:dateUtc="2026-05-21T06:41:00Z"/>
  <w16cex:commentExtensible w16cex:durableId="529C393E" w16cex:dateUtc="2026-05-21T06:44:00Z"/>
  <w16cex:commentExtensible w16cex:durableId="446BAA88" w16cex:dateUtc="2026-05-21T06:49:00Z"/>
  <w16cex:commentExtensible w16cex:durableId="6A6C196B" w16cex:dateUtc="2026-05-21T06:49:00Z"/>
  <w16cex:commentExtensible w16cex:durableId="2E7A5769" w16cex:dateUtc="2026-05-21T06:54:00Z"/>
  <w16cex:commentExtensible w16cex:durableId="203457A3" w16cex:dateUtc="2026-05-21T06:54:00Z"/>
  <w16cex:commentExtensible w16cex:durableId="6A7D7D07" w16cex:dateUtc="2026-05-21T06:55:00Z"/>
  <w16cex:commentExtensible w16cex:durableId="111FC325" w16cex:dateUtc="2026-05-21T07:01: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888D6F" w14:textId="77777777" w:rsidR="00B46F93" w:rsidRDefault="00B46F93" w:rsidP="0076685A">
      <w:pPr>
        <w:spacing w:line="240" w:lineRule="auto"/>
      </w:pPr>
      <w:r>
        <w:separator/>
      </w:r>
    </w:p>
  </w:endnote>
  <w:endnote w:type="continuationSeparator" w:id="0">
    <w:p w14:paraId="267B1E31" w14:textId="77777777" w:rsidR="00B46F93" w:rsidRDefault="00B46F93" w:rsidP="007668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231295" w14:textId="77777777" w:rsidR="00B46F93" w:rsidRDefault="00B46F93" w:rsidP="0076685A">
      <w:pPr>
        <w:spacing w:line="240" w:lineRule="auto"/>
      </w:pPr>
      <w:r>
        <w:separator/>
      </w:r>
    </w:p>
  </w:footnote>
  <w:footnote w:type="continuationSeparator" w:id="0">
    <w:p w14:paraId="5D9DA341" w14:textId="77777777" w:rsidR="00B46F93" w:rsidRDefault="00B46F93" w:rsidP="007668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297061" w14:textId="6945D519" w:rsidR="00EA7BF6" w:rsidRDefault="00EA7BF6" w:rsidP="00DB5BD1">
    <w:pPr>
      <w:pStyle w:val="af4"/>
      <w:pBdr>
        <w:bottom w:val="none" w:sz="0" w:space="0" w:color="auto"/>
      </w:pBdr>
    </w:pPr>
    <w:r>
      <w:rPr>
        <w:noProof/>
        <w14:ligatures w14:val="standardContextual"/>
      </w:rPr>
      <w:drawing>
        <wp:anchor distT="0" distB="0" distL="114300" distR="114300" simplePos="0" relativeHeight="251658240" behindDoc="0" locked="0" layoutInCell="1" allowOverlap="1" wp14:anchorId="370D1AAA" wp14:editId="21ACC6EE">
          <wp:simplePos x="0" y="0"/>
          <wp:positionH relativeFrom="margin">
            <wp:posOffset>-635</wp:posOffset>
          </wp:positionH>
          <wp:positionV relativeFrom="paragraph">
            <wp:posOffset>137795</wp:posOffset>
          </wp:positionV>
          <wp:extent cx="1547495" cy="40259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og.png"/>
                  <pic:cNvPicPr/>
                </pic:nvPicPr>
                <pic:blipFill>
                  <a:blip r:embed="rId1">
                    <a:extLst>
                      <a:ext uri="{28A0092B-C50C-407E-A947-70E740481C1C}">
                        <a14:useLocalDpi xmlns:a14="http://schemas.microsoft.com/office/drawing/2010/main" val="0"/>
                      </a:ext>
                    </a:extLst>
                  </a:blip>
                  <a:stretch>
                    <a:fillRect/>
                  </a:stretch>
                </pic:blipFill>
                <pic:spPr>
                  <a:xfrm>
                    <a:off x="0" y="0"/>
                    <a:ext cx="1547495" cy="40259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EE069B" w14:textId="77777777" w:rsidR="00EA7BF6" w:rsidRDefault="00EA7BF6" w:rsidP="008346F5">
    <w:pPr>
      <w:pStyle w:val="af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A502C"/>
    <w:multiLevelType w:val="hybridMultilevel"/>
    <w:tmpl w:val="94A28720"/>
    <w:lvl w:ilvl="0" w:tplc="26DA05AA">
      <w:start w:val="1"/>
      <w:numFmt w:val="decimal"/>
      <w:lvlText w:val="%1."/>
      <w:lvlJc w:val="left"/>
      <w:pPr>
        <w:ind w:left="1410" w:hanging="705"/>
      </w:pPr>
      <w:rPr>
        <w:rFonts w:hint="default"/>
      </w:rPr>
    </w:lvl>
    <w:lvl w:ilvl="1" w:tplc="04100019" w:tentative="1">
      <w:start w:val="1"/>
      <w:numFmt w:val="lowerLetter"/>
      <w:lvlText w:val="%2."/>
      <w:lvlJc w:val="left"/>
      <w:pPr>
        <w:ind w:left="1785" w:hanging="360"/>
      </w:pPr>
    </w:lvl>
    <w:lvl w:ilvl="2" w:tplc="0410001B" w:tentative="1">
      <w:start w:val="1"/>
      <w:numFmt w:val="lowerRoman"/>
      <w:lvlText w:val="%3."/>
      <w:lvlJc w:val="right"/>
      <w:pPr>
        <w:ind w:left="2505" w:hanging="180"/>
      </w:pPr>
    </w:lvl>
    <w:lvl w:ilvl="3" w:tplc="0410000F" w:tentative="1">
      <w:start w:val="1"/>
      <w:numFmt w:val="decimal"/>
      <w:lvlText w:val="%4."/>
      <w:lvlJc w:val="left"/>
      <w:pPr>
        <w:ind w:left="3225" w:hanging="360"/>
      </w:pPr>
    </w:lvl>
    <w:lvl w:ilvl="4" w:tplc="04100019" w:tentative="1">
      <w:start w:val="1"/>
      <w:numFmt w:val="lowerLetter"/>
      <w:lvlText w:val="%5."/>
      <w:lvlJc w:val="left"/>
      <w:pPr>
        <w:ind w:left="3945" w:hanging="360"/>
      </w:pPr>
    </w:lvl>
    <w:lvl w:ilvl="5" w:tplc="0410001B" w:tentative="1">
      <w:start w:val="1"/>
      <w:numFmt w:val="lowerRoman"/>
      <w:lvlText w:val="%6."/>
      <w:lvlJc w:val="right"/>
      <w:pPr>
        <w:ind w:left="4665" w:hanging="180"/>
      </w:pPr>
    </w:lvl>
    <w:lvl w:ilvl="6" w:tplc="0410000F" w:tentative="1">
      <w:start w:val="1"/>
      <w:numFmt w:val="decimal"/>
      <w:lvlText w:val="%7."/>
      <w:lvlJc w:val="left"/>
      <w:pPr>
        <w:ind w:left="5385" w:hanging="360"/>
      </w:pPr>
    </w:lvl>
    <w:lvl w:ilvl="7" w:tplc="04100019" w:tentative="1">
      <w:start w:val="1"/>
      <w:numFmt w:val="lowerLetter"/>
      <w:lvlText w:val="%8."/>
      <w:lvlJc w:val="left"/>
      <w:pPr>
        <w:ind w:left="6105" w:hanging="360"/>
      </w:pPr>
    </w:lvl>
    <w:lvl w:ilvl="8" w:tplc="0410001B" w:tentative="1">
      <w:start w:val="1"/>
      <w:numFmt w:val="lowerRoman"/>
      <w:lvlText w:val="%9."/>
      <w:lvlJc w:val="right"/>
      <w:pPr>
        <w:ind w:left="6825" w:hanging="180"/>
      </w:pPr>
    </w:lvl>
  </w:abstractNum>
  <w:abstractNum w:abstractNumId="1" w15:restartNumberingAfterBreak="0">
    <w:nsid w:val="08566CD5"/>
    <w:multiLevelType w:val="multilevel"/>
    <w:tmpl w:val="FDD6C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91F58"/>
    <w:multiLevelType w:val="hybridMultilevel"/>
    <w:tmpl w:val="C2C46532"/>
    <w:lvl w:ilvl="0" w:tplc="0410000F">
      <w:start w:val="3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A6204FF"/>
    <w:multiLevelType w:val="multilevel"/>
    <w:tmpl w:val="9796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E7FA7"/>
    <w:multiLevelType w:val="multilevel"/>
    <w:tmpl w:val="DEBC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666E3"/>
    <w:multiLevelType w:val="multilevel"/>
    <w:tmpl w:val="B8BA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03686"/>
    <w:multiLevelType w:val="multilevel"/>
    <w:tmpl w:val="03C4D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10BEF"/>
    <w:multiLevelType w:val="multilevel"/>
    <w:tmpl w:val="F810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17C7A"/>
    <w:multiLevelType w:val="hybridMultilevel"/>
    <w:tmpl w:val="A10E2BD8"/>
    <w:lvl w:ilvl="0" w:tplc="0410000F">
      <w:start w:val="34"/>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5A70C1D"/>
    <w:multiLevelType w:val="hybridMultilevel"/>
    <w:tmpl w:val="B90CB6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3E1C788E"/>
    <w:multiLevelType w:val="multilevel"/>
    <w:tmpl w:val="679EB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41F76"/>
    <w:multiLevelType w:val="multilevel"/>
    <w:tmpl w:val="7348E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6429C"/>
    <w:multiLevelType w:val="multilevel"/>
    <w:tmpl w:val="2B06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8A3E82"/>
    <w:multiLevelType w:val="hybridMultilevel"/>
    <w:tmpl w:val="86224F9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89072C8"/>
    <w:multiLevelType w:val="multilevel"/>
    <w:tmpl w:val="5BAE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722B7"/>
    <w:multiLevelType w:val="hybridMultilevel"/>
    <w:tmpl w:val="9F12EB2E"/>
    <w:lvl w:ilvl="0" w:tplc="0410000F">
      <w:start w:val="1"/>
      <w:numFmt w:val="decimal"/>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529B3841"/>
    <w:multiLevelType w:val="multilevel"/>
    <w:tmpl w:val="C23C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20C12"/>
    <w:multiLevelType w:val="hybridMultilevel"/>
    <w:tmpl w:val="7EBC7AE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669A6AB2"/>
    <w:multiLevelType w:val="multilevel"/>
    <w:tmpl w:val="D49E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A438C6"/>
    <w:multiLevelType w:val="multilevel"/>
    <w:tmpl w:val="800C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6C7437"/>
    <w:multiLevelType w:val="multilevel"/>
    <w:tmpl w:val="5B321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2119E8"/>
    <w:multiLevelType w:val="multilevel"/>
    <w:tmpl w:val="2AB2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F14ABA"/>
    <w:multiLevelType w:val="multilevel"/>
    <w:tmpl w:val="23B8B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84090F"/>
    <w:multiLevelType w:val="multilevel"/>
    <w:tmpl w:val="5730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12"/>
  </w:num>
  <w:num w:numId="4">
    <w:abstractNumId w:val="18"/>
  </w:num>
  <w:num w:numId="5">
    <w:abstractNumId w:val="6"/>
  </w:num>
  <w:num w:numId="6">
    <w:abstractNumId w:val="7"/>
  </w:num>
  <w:num w:numId="7">
    <w:abstractNumId w:val="19"/>
  </w:num>
  <w:num w:numId="8">
    <w:abstractNumId w:val="21"/>
  </w:num>
  <w:num w:numId="9">
    <w:abstractNumId w:val="10"/>
  </w:num>
  <w:num w:numId="10">
    <w:abstractNumId w:val="14"/>
  </w:num>
  <w:num w:numId="11">
    <w:abstractNumId w:val="5"/>
  </w:num>
  <w:num w:numId="12">
    <w:abstractNumId w:val="3"/>
  </w:num>
  <w:num w:numId="13">
    <w:abstractNumId w:val="23"/>
  </w:num>
  <w:num w:numId="14">
    <w:abstractNumId w:val="9"/>
  </w:num>
  <w:num w:numId="15">
    <w:abstractNumId w:val="13"/>
  </w:num>
  <w:num w:numId="16">
    <w:abstractNumId w:val="15"/>
  </w:num>
  <w:num w:numId="17">
    <w:abstractNumId w:val="1"/>
  </w:num>
  <w:num w:numId="18">
    <w:abstractNumId w:val="17"/>
  </w:num>
  <w:num w:numId="19">
    <w:abstractNumId w:val="0"/>
  </w:num>
  <w:num w:numId="20">
    <w:abstractNumId w:val="20"/>
  </w:num>
  <w:num w:numId="21">
    <w:abstractNumId w:val="22"/>
  </w:num>
  <w:num w:numId="22">
    <w:abstractNumId w:val="2"/>
  </w:num>
  <w:num w:numId="23">
    <w:abstractNumId w:val="8"/>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708"/>
  <w:hyphenationZone w:val="283"/>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0778"/>
    <w:rsid w:val="00012BAA"/>
    <w:rsid w:val="00012EBB"/>
    <w:rsid w:val="000145BD"/>
    <w:rsid w:val="000158E7"/>
    <w:rsid w:val="00017F49"/>
    <w:rsid w:val="000230E9"/>
    <w:rsid w:val="0002356C"/>
    <w:rsid w:val="00024ECF"/>
    <w:rsid w:val="000264AB"/>
    <w:rsid w:val="00027391"/>
    <w:rsid w:val="00032E8A"/>
    <w:rsid w:val="0003689D"/>
    <w:rsid w:val="00041627"/>
    <w:rsid w:val="00042701"/>
    <w:rsid w:val="000463E6"/>
    <w:rsid w:val="000465EF"/>
    <w:rsid w:val="00080CBB"/>
    <w:rsid w:val="00084F0A"/>
    <w:rsid w:val="00092B6D"/>
    <w:rsid w:val="000B14BC"/>
    <w:rsid w:val="000B2640"/>
    <w:rsid w:val="000E4701"/>
    <w:rsid w:val="000E663D"/>
    <w:rsid w:val="000F088A"/>
    <w:rsid w:val="000F26D3"/>
    <w:rsid w:val="000F39BA"/>
    <w:rsid w:val="001047E3"/>
    <w:rsid w:val="001113A2"/>
    <w:rsid w:val="00120C95"/>
    <w:rsid w:val="00126D15"/>
    <w:rsid w:val="00131644"/>
    <w:rsid w:val="00132940"/>
    <w:rsid w:val="00133674"/>
    <w:rsid w:val="00151684"/>
    <w:rsid w:val="00154EEE"/>
    <w:rsid w:val="001657F7"/>
    <w:rsid w:val="001816C8"/>
    <w:rsid w:val="001829CF"/>
    <w:rsid w:val="00183987"/>
    <w:rsid w:val="00187DFE"/>
    <w:rsid w:val="00195EC6"/>
    <w:rsid w:val="001A3F7D"/>
    <w:rsid w:val="001A470F"/>
    <w:rsid w:val="001B5775"/>
    <w:rsid w:val="001B6F82"/>
    <w:rsid w:val="001C44EB"/>
    <w:rsid w:val="001C674E"/>
    <w:rsid w:val="001C78AD"/>
    <w:rsid w:val="001D7A22"/>
    <w:rsid w:val="001E0259"/>
    <w:rsid w:val="001E3157"/>
    <w:rsid w:val="001E386E"/>
    <w:rsid w:val="001E5882"/>
    <w:rsid w:val="001E62BC"/>
    <w:rsid w:val="00202A28"/>
    <w:rsid w:val="00202DC6"/>
    <w:rsid w:val="002039ED"/>
    <w:rsid w:val="0020689A"/>
    <w:rsid w:val="002078FC"/>
    <w:rsid w:val="00214823"/>
    <w:rsid w:val="00220D2E"/>
    <w:rsid w:val="0022380A"/>
    <w:rsid w:val="00231676"/>
    <w:rsid w:val="002344AC"/>
    <w:rsid w:val="00240B07"/>
    <w:rsid w:val="002422E5"/>
    <w:rsid w:val="002424D1"/>
    <w:rsid w:val="0024632A"/>
    <w:rsid w:val="00247834"/>
    <w:rsid w:val="0024799D"/>
    <w:rsid w:val="002529F5"/>
    <w:rsid w:val="00252A13"/>
    <w:rsid w:val="002533EB"/>
    <w:rsid w:val="00254410"/>
    <w:rsid w:val="0026035E"/>
    <w:rsid w:val="002611D7"/>
    <w:rsid w:val="00261747"/>
    <w:rsid w:val="00262F5B"/>
    <w:rsid w:val="00264C75"/>
    <w:rsid w:val="002650A0"/>
    <w:rsid w:val="00271665"/>
    <w:rsid w:val="00272914"/>
    <w:rsid w:val="00274A6A"/>
    <w:rsid w:val="00281707"/>
    <w:rsid w:val="00284467"/>
    <w:rsid w:val="002A4510"/>
    <w:rsid w:val="002A6DCB"/>
    <w:rsid w:val="002B3BF8"/>
    <w:rsid w:val="002B728F"/>
    <w:rsid w:val="002D791C"/>
    <w:rsid w:val="002E2508"/>
    <w:rsid w:val="002F3C3D"/>
    <w:rsid w:val="002F6BB1"/>
    <w:rsid w:val="00303331"/>
    <w:rsid w:val="003077BC"/>
    <w:rsid w:val="00314368"/>
    <w:rsid w:val="003147CB"/>
    <w:rsid w:val="00317551"/>
    <w:rsid w:val="0032589A"/>
    <w:rsid w:val="003302E7"/>
    <w:rsid w:val="0033038D"/>
    <w:rsid w:val="00335962"/>
    <w:rsid w:val="00336799"/>
    <w:rsid w:val="003367BA"/>
    <w:rsid w:val="00341B46"/>
    <w:rsid w:val="0034360D"/>
    <w:rsid w:val="00352E60"/>
    <w:rsid w:val="003578F4"/>
    <w:rsid w:val="0036451A"/>
    <w:rsid w:val="00364E34"/>
    <w:rsid w:val="00365286"/>
    <w:rsid w:val="003715C1"/>
    <w:rsid w:val="0037603C"/>
    <w:rsid w:val="00380D9C"/>
    <w:rsid w:val="0038272C"/>
    <w:rsid w:val="003C03CC"/>
    <w:rsid w:val="003C4AE8"/>
    <w:rsid w:val="003D56E3"/>
    <w:rsid w:val="003E28AA"/>
    <w:rsid w:val="003E51D4"/>
    <w:rsid w:val="003F610E"/>
    <w:rsid w:val="0040755C"/>
    <w:rsid w:val="00412DE2"/>
    <w:rsid w:val="004159B5"/>
    <w:rsid w:val="0042142B"/>
    <w:rsid w:val="00426E23"/>
    <w:rsid w:val="00447694"/>
    <w:rsid w:val="004502F3"/>
    <w:rsid w:val="00450F6B"/>
    <w:rsid w:val="00451B2A"/>
    <w:rsid w:val="00457153"/>
    <w:rsid w:val="00457ABE"/>
    <w:rsid w:val="00461607"/>
    <w:rsid w:val="00466DA9"/>
    <w:rsid w:val="0047056B"/>
    <w:rsid w:val="00475D9C"/>
    <w:rsid w:val="00480EC3"/>
    <w:rsid w:val="00482004"/>
    <w:rsid w:val="00482D52"/>
    <w:rsid w:val="00487404"/>
    <w:rsid w:val="00492BA6"/>
    <w:rsid w:val="00495738"/>
    <w:rsid w:val="004A1E36"/>
    <w:rsid w:val="004A3022"/>
    <w:rsid w:val="004A3D98"/>
    <w:rsid w:val="004A637E"/>
    <w:rsid w:val="004B0A5A"/>
    <w:rsid w:val="004B4FF0"/>
    <w:rsid w:val="004B6001"/>
    <w:rsid w:val="004C2C80"/>
    <w:rsid w:val="004D4E76"/>
    <w:rsid w:val="004E37A8"/>
    <w:rsid w:val="004F20B9"/>
    <w:rsid w:val="004F22BC"/>
    <w:rsid w:val="004F2679"/>
    <w:rsid w:val="004F6136"/>
    <w:rsid w:val="004F7971"/>
    <w:rsid w:val="00503511"/>
    <w:rsid w:val="00506B86"/>
    <w:rsid w:val="0051088B"/>
    <w:rsid w:val="0051747B"/>
    <w:rsid w:val="0052154F"/>
    <w:rsid w:val="005243AE"/>
    <w:rsid w:val="00530DE3"/>
    <w:rsid w:val="0053464F"/>
    <w:rsid w:val="005403A6"/>
    <w:rsid w:val="00542326"/>
    <w:rsid w:val="005508EF"/>
    <w:rsid w:val="00555E42"/>
    <w:rsid w:val="00557A8B"/>
    <w:rsid w:val="00561378"/>
    <w:rsid w:val="0057033C"/>
    <w:rsid w:val="005712BA"/>
    <w:rsid w:val="005735E0"/>
    <w:rsid w:val="00580118"/>
    <w:rsid w:val="00590155"/>
    <w:rsid w:val="005917E0"/>
    <w:rsid w:val="00594BF1"/>
    <w:rsid w:val="005963E5"/>
    <w:rsid w:val="005A114C"/>
    <w:rsid w:val="005A1302"/>
    <w:rsid w:val="005A360E"/>
    <w:rsid w:val="005A42B2"/>
    <w:rsid w:val="005A7976"/>
    <w:rsid w:val="005B12F5"/>
    <w:rsid w:val="005B29A8"/>
    <w:rsid w:val="005B31DA"/>
    <w:rsid w:val="005B5EE8"/>
    <w:rsid w:val="005C6E81"/>
    <w:rsid w:val="005D7FD3"/>
    <w:rsid w:val="005E0F92"/>
    <w:rsid w:val="005E31E4"/>
    <w:rsid w:val="005E4B8D"/>
    <w:rsid w:val="005E707F"/>
    <w:rsid w:val="005F0057"/>
    <w:rsid w:val="005F4433"/>
    <w:rsid w:val="00607AB7"/>
    <w:rsid w:val="00607E76"/>
    <w:rsid w:val="0061631A"/>
    <w:rsid w:val="00622B3C"/>
    <w:rsid w:val="006254CA"/>
    <w:rsid w:val="006267A1"/>
    <w:rsid w:val="00627E31"/>
    <w:rsid w:val="006303F2"/>
    <w:rsid w:val="006317B0"/>
    <w:rsid w:val="006336ED"/>
    <w:rsid w:val="006344C9"/>
    <w:rsid w:val="006355D2"/>
    <w:rsid w:val="006425E9"/>
    <w:rsid w:val="00646A1E"/>
    <w:rsid w:val="00650AC4"/>
    <w:rsid w:val="00654F8D"/>
    <w:rsid w:val="00655C7A"/>
    <w:rsid w:val="006659F2"/>
    <w:rsid w:val="00666AF7"/>
    <w:rsid w:val="006768C3"/>
    <w:rsid w:val="006774F8"/>
    <w:rsid w:val="00695F65"/>
    <w:rsid w:val="006A4419"/>
    <w:rsid w:val="006A5ACC"/>
    <w:rsid w:val="006B0F0B"/>
    <w:rsid w:val="006B3436"/>
    <w:rsid w:val="006C202B"/>
    <w:rsid w:val="006C47F8"/>
    <w:rsid w:val="006C5A67"/>
    <w:rsid w:val="006D0677"/>
    <w:rsid w:val="006D335E"/>
    <w:rsid w:val="006E39CA"/>
    <w:rsid w:val="006E5567"/>
    <w:rsid w:val="006E7AB5"/>
    <w:rsid w:val="006F1296"/>
    <w:rsid w:val="006F1B5B"/>
    <w:rsid w:val="006F6265"/>
    <w:rsid w:val="006F6BC5"/>
    <w:rsid w:val="006F72E6"/>
    <w:rsid w:val="007111C5"/>
    <w:rsid w:val="00715F09"/>
    <w:rsid w:val="00722C87"/>
    <w:rsid w:val="007310C7"/>
    <w:rsid w:val="0073253D"/>
    <w:rsid w:val="00732C57"/>
    <w:rsid w:val="00740017"/>
    <w:rsid w:val="007407C6"/>
    <w:rsid w:val="0074296E"/>
    <w:rsid w:val="00742A54"/>
    <w:rsid w:val="00750F94"/>
    <w:rsid w:val="00753FDF"/>
    <w:rsid w:val="00755C82"/>
    <w:rsid w:val="00760030"/>
    <w:rsid w:val="00763A70"/>
    <w:rsid w:val="0076685A"/>
    <w:rsid w:val="00773114"/>
    <w:rsid w:val="00773DC6"/>
    <w:rsid w:val="007817F9"/>
    <w:rsid w:val="007A0E1C"/>
    <w:rsid w:val="007A4374"/>
    <w:rsid w:val="007A5034"/>
    <w:rsid w:val="007A766B"/>
    <w:rsid w:val="007B5AEA"/>
    <w:rsid w:val="007B5D0C"/>
    <w:rsid w:val="007C1DEE"/>
    <w:rsid w:val="007C389E"/>
    <w:rsid w:val="007C5928"/>
    <w:rsid w:val="007D0466"/>
    <w:rsid w:val="007D6182"/>
    <w:rsid w:val="007E174C"/>
    <w:rsid w:val="007E1FC7"/>
    <w:rsid w:val="007E5A59"/>
    <w:rsid w:val="007F0B2D"/>
    <w:rsid w:val="007F7244"/>
    <w:rsid w:val="00800B52"/>
    <w:rsid w:val="00810A41"/>
    <w:rsid w:val="008130A3"/>
    <w:rsid w:val="00815CF5"/>
    <w:rsid w:val="00821219"/>
    <w:rsid w:val="00822284"/>
    <w:rsid w:val="00824BA2"/>
    <w:rsid w:val="008267B0"/>
    <w:rsid w:val="00827559"/>
    <w:rsid w:val="008346F5"/>
    <w:rsid w:val="00841397"/>
    <w:rsid w:val="00843089"/>
    <w:rsid w:val="00845DA9"/>
    <w:rsid w:val="00846BFA"/>
    <w:rsid w:val="00855366"/>
    <w:rsid w:val="00861E53"/>
    <w:rsid w:val="00863C38"/>
    <w:rsid w:val="00874CEA"/>
    <w:rsid w:val="00875AAD"/>
    <w:rsid w:val="0087692E"/>
    <w:rsid w:val="00884C0B"/>
    <w:rsid w:val="00885148"/>
    <w:rsid w:val="00894179"/>
    <w:rsid w:val="0089532C"/>
    <w:rsid w:val="00896ACF"/>
    <w:rsid w:val="008978AB"/>
    <w:rsid w:val="008A0778"/>
    <w:rsid w:val="008A102C"/>
    <w:rsid w:val="008A4F16"/>
    <w:rsid w:val="008A4FDE"/>
    <w:rsid w:val="008A66A1"/>
    <w:rsid w:val="008A67B0"/>
    <w:rsid w:val="008B17EB"/>
    <w:rsid w:val="008B65E9"/>
    <w:rsid w:val="008B7280"/>
    <w:rsid w:val="008B74BD"/>
    <w:rsid w:val="008C042F"/>
    <w:rsid w:val="008C06E3"/>
    <w:rsid w:val="008C0F54"/>
    <w:rsid w:val="008C7DCE"/>
    <w:rsid w:val="008D19A6"/>
    <w:rsid w:val="008D7829"/>
    <w:rsid w:val="008E3677"/>
    <w:rsid w:val="008E7A19"/>
    <w:rsid w:val="008F39C1"/>
    <w:rsid w:val="008F3C15"/>
    <w:rsid w:val="008F3D8D"/>
    <w:rsid w:val="00900807"/>
    <w:rsid w:val="00902930"/>
    <w:rsid w:val="00903EEA"/>
    <w:rsid w:val="00907F82"/>
    <w:rsid w:val="0092160B"/>
    <w:rsid w:val="00933A9A"/>
    <w:rsid w:val="009340D3"/>
    <w:rsid w:val="0093544B"/>
    <w:rsid w:val="009354E0"/>
    <w:rsid w:val="0093648A"/>
    <w:rsid w:val="00941A29"/>
    <w:rsid w:val="00952567"/>
    <w:rsid w:val="00956BD4"/>
    <w:rsid w:val="00961D13"/>
    <w:rsid w:val="00962AA7"/>
    <w:rsid w:val="00962E42"/>
    <w:rsid w:val="00963941"/>
    <w:rsid w:val="00967B42"/>
    <w:rsid w:val="00983AEA"/>
    <w:rsid w:val="009843D2"/>
    <w:rsid w:val="00985307"/>
    <w:rsid w:val="00986072"/>
    <w:rsid w:val="00987AD0"/>
    <w:rsid w:val="00990281"/>
    <w:rsid w:val="00992272"/>
    <w:rsid w:val="00996A09"/>
    <w:rsid w:val="00997A3E"/>
    <w:rsid w:val="009A286F"/>
    <w:rsid w:val="009A74D8"/>
    <w:rsid w:val="009B0DF3"/>
    <w:rsid w:val="009B3D9B"/>
    <w:rsid w:val="009C2170"/>
    <w:rsid w:val="009C4100"/>
    <w:rsid w:val="009D24CC"/>
    <w:rsid w:val="009D26E5"/>
    <w:rsid w:val="009D2789"/>
    <w:rsid w:val="009D31AC"/>
    <w:rsid w:val="009F71C8"/>
    <w:rsid w:val="00A05F39"/>
    <w:rsid w:val="00A2577B"/>
    <w:rsid w:val="00A30445"/>
    <w:rsid w:val="00A35D94"/>
    <w:rsid w:val="00A41EC9"/>
    <w:rsid w:val="00A43683"/>
    <w:rsid w:val="00A46CC5"/>
    <w:rsid w:val="00A4767C"/>
    <w:rsid w:val="00A639D2"/>
    <w:rsid w:val="00A66BE6"/>
    <w:rsid w:val="00A66D35"/>
    <w:rsid w:val="00A70422"/>
    <w:rsid w:val="00A77720"/>
    <w:rsid w:val="00AA6F31"/>
    <w:rsid w:val="00AB09C1"/>
    <w:rsid w:val="00AB0E09"/>
    <w:rsid w:val="00AB2F12"/>
    <w:rsid w:val="00AB6397"/>
    <w:rsid w:val="00AC1256"/>
    <w:rsid w:val="00AC1EC1"/>
    <w:rsid w:val="00AC3CB3"/>
    <w:rsid w:val="00AE0655"/>
    <w:rsid w:val="00AE2EBF"/>
    <w:rsid w:val="00AE434D"/>
    <w:rsid w:val="00AE48C3"/>
    <w:rsid w:val="00AE5664"/>
    <w:rsid w:val="00B04642"/>
    <w:rsid w:val="00B074B1"/>
    <w:rsid w:val="00B11DE5"/>
    <w:rsid w:val="00B231A1"/>
    <w:rsid w:val="00B23F7A"/>
    <w:rsid w:val="00B245BE"/>
    <w:rsid w:val="00B245FF"/>
    <w:rsid w:val="00B264F9"/>
    <w:rsid w:val="00B34B79"/>
    <w:rsid w:val="00B366AF"/>
    <w:rsid w:val="00B400A2"/>
    <w:rsid w:val="00B450BD"/>
    <w:rsid w:val="00B46F93"/>
    <w:rsid w:val="00B54D18"/>
    <w:rsid w:val="00B56330"/>
    <w:rsid w:val="00B604AF"/>
    <w:rsid w:val="00B62C75"/>
    <w:rsid w:val="00B67BB0"/>
    <w:rsid w:val="00B70102"/>
    <w:rsid w:val="00B70F46"/>
    <w:rsid w:val="00B72A68"/>
    <w:rsid w:val="00B73A7B"/>
    <w:rsid w:val="00B81067"/>
    <w:rsid w:val="00B84F03"/>
    <w:rsid w:val="00BB2A7F"/>
    <w:rsid w:val="00BB72F6"/>
    <w:rsid w:val="00BC2CED"/>
    <w:rsid w:val="00BC445C"/>
    <w:rsid w:val="00BC544A"/>
    <w:rsid w:val="00BD01A3"/>
    <w:rsid w:val="00BD33F1"/>
    <w:rsid w:val="00BD4431"/>
    <w:rsid w:val="00BD6370"/>
    <w:rsid w:val="00BE0D40"/>
    <w:rsid w:val="00BE1B23"/>
    <w:rsid w:val="00BE3027"/>
    <w:rsid w:val="00BF1A5B"/>
    <w:rsid w:val="00BF2817"/>
    <w:rsid w:val="00BF28B0"/>
    <w:rsid w:val="00BF3DE5"/>
    <w:rsid w:val="00BF434F"/>
    <w:rsid w:val="00BF4977"/>
    <w:rsid w:val="00BF66B8"/>
    <w:rsid w:val="00C04BEE"/>
    <w:rsid w:val="00C06854"/>
    <w:rsid w:val="00C10B9D"/>
    <w:rsid w:val="00C10F89"/>
    <w:rsid w:val="00C13462"/>
    <w:rsid w:val="00C13BEB"/>
    <w:rsid w:val="00C13FE4"/>
    <w:rsid w:val="00C174DC"/>
    <w:rsid w:val="00C3154B"/>
    <w:rsid w:val="00C34FC1"/>
    <w:rsid w:val="00C35A1B"/>
    <w:rsid w:val="00C4686F"/>
    <w:rsid w:val="00C50F6A"/>
    <w:rsid w:val="00C53519"/>
    <w:rsid w:val="00C5630A"/>
    <w:rsid w:val="00C60192"/>
    <w:rsid w:val="00C74495"/>
    <w:rsid w:val="00C750C6"/>
    <w:rsid w:val="00C75919"/>
    <w:rsid w:val="00C77977"/>
    <w:rsid w:val="00C83803"/>
    <w:rsid w:val="00C92DC3"/>
    <w:rsid w:val="00C932FA"/>
    <w:rsid w:val="00C95E6A"/>
    <w:rsid w:val="00C97EF1"/>
    <w:rsid w:val="00CA334D"/>
    <w:rsid w:val="00CB0CCF"/>
    <w:rsid w:val="00CB65DC"/>
    <w:rsid w:val="00CC3EB3"/>
    <w:rsid w:val="00CD37E9"/>
    <w:rsid w:val="00CD4D35"/>
    <w:rsid w:val="00CE0B74"/>
    <w:rsid w:val="00CF0ABE"/>
    <w:rsid w:val="00CF0B17"/>
    <w:rsid w:val="00CF7026"/>
    <w:rsid w:val="00D13531"/>
    <w:rsid w:val="00D14A27"/>
    <w:rsid w:val="00D1791D"/>
    <w:rsid w:val="00D27631"/>
    <w:rsid w:val="00D3274A"/>
    <w:rsid w:val="00D47B0B"/>
    <w:rsid w:val="00D509B4"/>
    <w:rsid w:val="00D51FC7"/>
    <w:rsid w:val="00D55772"/>
    <w:rsid w:val="00D655BF"/>
    <w:rsid w:val="00D86B89"/>
    <w:rsid w:val="00D904D4"/>
    <w:rsid w:val="00D90B88"/>
    <w:rsid w:val="00D97F64"/>
    <w:rsid w:val="00DA6C2D"/>
    <w:rsid w:val="00DA7EBA"/>
    <w:rsid w:val="00DB34F3"/>
    <w:rsid w:val="00DB5619"/>
    <w:rsid w:val="00DB5BD1"/>
    <w:rsid w:val="00DB6A33"/>
    <w:rsid w:val="00DC6F49"/>
    <w:rsid w:val="00DD071E"/>
    <w:rsid w:val="00DD24BE"/>
    <w:rsid w:val="00DD2980"/>
    <w:rsid w:val="00DD4192"/>
    <w:rsid w:val="00DF4510"/>
    <w:rsid w:val="00DF4C4E"/>
    <w:rsid w:val="00E04050"/>
    <w:rsid w:val="00E13211"/>
    <w:rsid w:val="00E24C0D"/>
    <w:rsid w:val="00E310AE"/>
    <w:rsid w:val="00E32DC3"/>
    <w:rsid w:val="00E4173A"/>
    <w:rsid w:val="00E443E8"/>
    <w:rsid w:val="00E458C8"/>
    <w:rsid w:val="00E4766B"/>
    <w:rsid w:val="00E537B8"/>
    <w:rsid w:val="00E569F6"/>
    <w:rsid w:val="00E6549E"/>
    <w:rsid w:val="00E66128"/>
    <w:rsid w:val="00E7055F"/>
    <w:rsid w:val="00E72456"/>
    <w:rsid w:val="00E82B2A"/>
    <w:rsid w:val="00E834E4"/>
    <w:rsid w:val="00E915DB"/>
    <w:rsid w:val="00EA275C"/>
    <w:rsid w:val="00EA7242"/>
    <w:rsid w:val="00EA7BF6"/>
    <w:rsid w:val="00EB39B4"/>
    <w:rsid w:val="00EC0DC1"/>
    <w:rsid w:val="00ED4E73"/>
    <w:rsid w:val="00EE1FB5"/>
    <w:rsid w:val="00EF3BEB"/>
    <w:rsid w:val="00EF7E97"/>
    <w:rsid w:val="00F07212"/>
    <w:rsid w:val="00F115B2"/>
    <w:rsid w:val="00F23C44"/>
    <w:rsid w:val="00F25F70"/>
    <w:rsid w:val="00F30BC6"/>
    <w:rsid w:val="00F32749"/>
    <w:rsid w:val="00F337BB"/>
    <w:rsid w:val="00F33A3B"/>
    <w:rsid w:val="00F439D3"/>
    <w:rsid w:val="00F44141"/>
    <w:rsid w:val="00F4447E"/>
    <w:rsid w:val="00F45678"/>
    <w:rsid w:val="00F45933"/>
    <w:rsid w:val="00F45F81"/>
    <w:rsid w:val="00F4768E"/>
    <w:rsid w:val="00F54345"/>
    <w:rsid w:val="00F6122E"/>
    <w:rsid w:val="00F61893"/>
    <w:rsid w:val="00F62832"/>
    <w:rsid w:val="00F67F6C"/>
    <w:rsid w:val="00F727A0"/>
    <w:rsid w:val="00F74F2C"/>
    <w:rsid w:val="00F833E3"/>
    <w:rsid w:val="00F87861"/>
    <w:rsid w:val="00F913A6"/>
    <w:rsid w:val="00F94647"/>
    <w:rsid w:val="00F97720"/>
    <w:rsid w:val="00FA27D8"/>
    <w:rsid w:val="00FA2D14"/>
    <w:rsid w:val="00FA48A0"/>
    <w:rsid w:val="00FB15B1"/>
    <w:rsid w:val="00FB47CE"/>
    <w:rsid w:val="00FC4BF6"/>
    <w:rsid w:val="00FD548B"/>
    <w:rsid w:val="00FD55F1"/>
    <w:rsid w:val="00FD67AE"/>
    <w:rsid w:val="00FD7A7F"/>
    <w:rsid w:val="00FE00A5"/>
    <w:rsid w:val="00FE0B7A"/>
    <w:rsid w:val="00FE3FEF"/>
    <w:rsid w:val="00FE4C7A"/>
    <w:rsid w:val="00FE7457"/>
    <w:rsid w:val="00FF25C5"/>
    <w:rsid w:val="00FF269C"/>
    <w:rsid w:val="00FF2EAB"/>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4ED784"/>
  <w15:docId w15:val="{DC908C9C-74C7-418B-9CEF-00594D415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it-IT" w:eastAsia="en-US" w:bidi="ar-SA"/>
        <w14:ligatures w14:val="standardContextual"/>
      </w:rPr>
    </w:rPrDefault>
    <w:pPrDefault>
      <w:pPr>
        <w:spacing w:after="576" w:line="278" w:lineRule="auto"/>
      </w:pPr>
    </w:pPrDefault>
  </w:docDefaults>
  <w:latentStyles w:defLockedState="0" w:defUIPriority="99" w:defSemiHidden="0" w:defUnhideWhenUsed="0" w:defQFormat="0" w:count="375">
    <w:lsdException w:name="Normal" w:uiPriority="0" w:qFormat="1"/>
    <w:lsdException w:name="heading 1" w:uiPriority="11" w:qFormat="1"/>
    <w:lsdException w:name="heading 2" w:semiHidden="1" w:uiPriority="11" w:unhideWhenUsed="1" w:qFormat="1"/>
    <w:lsdException w:name="heading 3" w:semiHidden="1" w:uiPriority="11" w:unhideWhenUsed="1" w:qFormat="1"/>
    <w:lsdException w:name="heading 4" w:semiHidden="1" w:uiPriority="1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2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lsdException w:name="Balloon Text" w:semiHidden="1" w:unhideWhenUsed="1"/>
    <w:lsdException w:name="Table Grid" w:semiHidden="1" w:uiPriority="39"/>
    <w:lsdException w:name="Table Theme" w:semiHidden="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semiHidden/>
    <w:qFormat/>
    <w:rsid w:val="006254CA"/>
    <w:rPr>
      <w:rFonts w:ascii="Times New Roman" w:eastAsia="Times New Roman" w:hAnsi="Times New Roman" w:cs="Times New Roman"/>
      <w:kern w:val="0"/>
      <w:sz w:val="20"/>
      <w:szCs w:val="20"/>
      <w:lang w:eastAsia="it-IT"/>
      <w14:ligatures w14:val="none"/>
    </w:rPr>
  </w:style>
  <w:style w:type="paragraph" w:styleId="1">
    <w:name w:val="heading 1"/>
    <w:aliases w:val="Heading level 1"/>
    <w:basedOn w:val="a"/>
    <w:next w:val="a"/>
    <w:link w:val="10"/>
    <w:uiPriority w:val="11"/>
    <w:qFormat/>
    <w:rsid w:val="006254CA"/>
    <w:pPr>
      <w:keepNext/>
      <w:keepLines/>
      <w:adjustRightInd w:val="0"/>
      <w:snapToGrid w:val="0"/>
      <w:spacing w:before="360" w:after="360" w:line="240" w:lineRule="auto"/>
      <w:jc w:val="both"/>
      <w:outlineLvl w:val="0"/>
    </w:pPr>
    <w:rPr>
      <w:b/>
      <w:bCs/>
      <w:noProof/>
      <w:color w:val="000000"/>
      <w:kern w:val="44"/>
      <w:sz w:val="24"/>
      <w:szCs w:val="24"/>
      <w:lang w:val="en-US" w:eastAsia="zh-CN"/>
    </w:rPr>
  </w:style>
  <w:style w:type="paragraph" w:styleId="2">
    <w:name w:val="heading 2"/>
    <w:aliases w:val="Heading level 2"/>
    <w:basedOn w:val="a"/>
    <w:next w:val="a"/>
    <w:link w:val="20"/>
    <w:uiPriority w:val="11"/>
    <w:qFormat/>
    <w:rsid w:val="006254CA"/>
    <w:pPr>
      <w:keepNext/>
      <w:keepLines/>
      <w:adjustRightInd w:val="0"/>
      <w:snapToGrid w:val="0"/>
      <w:spacing w:before="240" w:after="240" w:line="240" w:lineRule="auto"/>
      <w:jc w:val="both"/>
      <w:outlineLvl w:val="1"/>
    </w:pPr>
    <w:rPr>
      <w:b/>
      <w:bCs/>
      <w:i/>
      <w:noProof/>
      <w:color w:val="000000"/>
      <w:sz w:val="21"/>
      <w:szCs w:val="21"/>
      <w:lang w:val="en-US" w:eastAsia="zh-CN"/>
    </w:rPr>
  </w:style>
  <w:style w:type="paragraph" w:styleId="3">
    <w:name w:val="heading 3"/>
    <w:aliases w:val="Heading level 3"/>
    <w:basedOn w:val="a"/>
    <w:next w:val="a"/>
    <w:link w:val="30"/>
    <w:uiPriority w:val="11"/>
    <w:qFormat/>
    <w:rsid w:val="006254CA"/>
    <w:pPr>
      <w:keepNext/>
      <w:keepLines/>
      <w:adjustRightInd w:val="0"/>
      <w:snapToGrid w:val="0"/>
      <w:spacing w:before="160" w:after="160" w:line="240" w:lineRule="auto"/>
      <w:jc w:val="both"/>
      <w:outlineLvl w:val="2"/>
    </w:pPr>
    <w:rPr>
      <w:bCs/>
      <w:i/>
      <w:noProof/>
      <w:color w:val="000000"/>
      <w:sz w:val="21"/>
      <w:szCs w:val="21"/>
      <w:lang w:val="en-US" w:eastAsia="zh-CN"/>
    </w:rPr>
  </w:style>
  <w:style w:type="paragraph" w:styleId="4">
    <w:name w:val="heading 4"/>
    <w:aliases w:val="Heading level 4"/>
    <w:basedOn w:val="a"/>
    <w:next w:val="a"/>
    <w:link w:val="40"/>
    <w:uiPriority w:val="11"/>
    <w:rsid w:val="006254CA"/>
    <w:pPr>
      <w:keepNext/>
      <w:keepLines/>
      <w:spacing w:before="120" w:after="120" w:line="240" w:lineRule="auto"/>
      <w:jc w:val="both"/>
      <w:outlineLvl w:val="3"/>
    </w:pPr>
    <w:rPr>
      <w:bCs/>
      <w:noProof/>
      <w:color w:val="000000"/>
      <w:sz w:val="21"/>
      <w:szCs w:val="21"/>
      <w:lang w:val="en-US" w:eastAsia="zh-CN"/>
    </w:rPr>
  </w:style>
  <w:style w:type="paragraph" w:styleId="5">
    <w:name w:val="heading 5"/>
    <w:basedOn w:val="a"/>
    <w:next w:val="a"/>
    <w:link w:val="50"/>
    <w:uiPriority w:val="9"/>
    <w:semiHidden/>
    <w:qFormat/>
    <w:rsid w:val="008A077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qFormat/>
    <w:rsid w:val="008A077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qFormat/>
    <w:rsid w:val="008A077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qFormat/>
    <w:rsid w:val="008A077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qFormat/>
    <w:rsid w:val="008A077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Heading level 1 字符"/>
    <w:basedOn w:val="a0"/>
    <w:link w:val="1"/>
    <w:uiPriority w:val="11"/>
    <w:rsid w:val="006254CA"/>
    <w:rPr>
      <w:rFonts w:ascii="Times New Roman" w:eastAsia="Times New Roman" w:hAnsi="Times New Roman" w:cs="Times New Roman"/>
      <w:b/>
      <w:bCs/>
      <w:noProof/>
      <w:color w:val="000000"/>
      <w:kern w:val="44"/>
      <w:lang w:val="en-US" w:eastAsia="zh-CN"/>
      <w14:ligatures w14:val="none"/>
    </w:rPr>
  </w:style>
  <w:style w:type="character" w:customStyle="1" w:styleId="20">
    <w:name w:val="标题 2 字符"/>
    <w:aliases w:val="Heading level 2 字符"/>
    <w:basedOn w:val="a0"/>
    <w:link w:val="2"/>
    <w:uiPriority w:val="11"/>
    <w:rsid w:val="006254CA"/>
    <w:rPr>
      <w:rFonts w:ascii="Times New Roman" w:eastAsia="Times New Roman" w:hAnsi="Times New Roman" w:cs="Times New Roman"/>
      <w:b/>
      <w:bCs/>
      <w:i/>
      <w:noProof/>
      <w:color w:val="000000"/>
      <w:kern w:val="0"/>
      <w:sz w:val="21"/>
      <w:szCs w:val="21"/>
      <w:lang w:val="en-US" w:eastAsia="zh-CN"/>
      <w14:ligatures w14:val="none"/>
    </w:rPr>
  </w:style>
  <w:style w:type="character" w:customStyle="1" w:styleId="30">
    <w:name w:val="标题 3 字符"/>
    <w:aliases w:val="Heading level 3 字符"/>
    <w:basedOn w:val="a0"/>
    <w:link w:val="3"/>
    <w:uiPriority w:val="11"/>
    <w:rsid w:val="006254CA"/>
    <w:rPr>
      <w:rFonts w:ascii="Times New Roman" w:eastAsia="Times New Roman" w:hAnsi="Times New Roman" w:cs="Times New Roman"/>
      <w:bCs/>
      <w:i/>
      <w:noProof/>
      <w:color w:val="000000"/>
      <w:kern w:val="0"/>
      <w:sz w:val="21"/>
      <w:szCs w:val="21"/>
      <w:lang w:val="en-US" w:eastAsia="zh-CN"/>
      <w14:ligatures w14:val="none"/>
    </w:rPr>
  </w:style>
  <w:style w:type="character" w:customStyle="1" w:styleId="40">
    <w:name w:val="标题 4 字符"/>
    <w:aliases w:val="Heading level 4 字符"/>
    <w:basedOn w:val="a0"/>
    <w:link w:val="4"/>
    <w:uiPriority w:val="11"/>
    <w:rsid w:val="006254CA"/>
    <w:rPr>
      <w:rFonts w:ascii="Times New Roman" w:eastAsia="Times New Roman" w:hAnsi="Times New Roman" w:cs="Times New Roman"/>
      <w:bCs/>
      <w:noProof/>
      <w:color w:val="000000"/>
      <w:kern w:val="0"/>
      <w:sz w:val="21"/>
      <w:szCs w:val="21"/>
      <w:lang w:val="en-US" w:eastAsia="zh-CN"/>
      <w14:ligatures w14:val="none"/>
    </w:rPr>
  </w:style>
  <w:style w:type="character" w:customStyle="1" w:styleId="50">
    <w:name w:val="标题 5 字符"/>
    <w:basedOn w:val="a0"/>
    <w:link w:val="5"/>
    <w:uiPriority w:val="9"/>
    <w:semiHidden/>
    <w:rsid w:val="006254CA"/>
    <w:rPr>
      <w:rFonts w:ascii="Times New Roman" w:eastAsiaTheme="majorEastAsia" w:hAnsi="Times New Roman" w:cstheme="majorBidi"/>
      <w:color w:val="0F4761" w:themeColor="accent1" w:themeShade="BF"/>
      <w:kern w:val="0"/>
      <w:sz w:val="20"/>
      <w:szCs w:val="20"/>
      <w:lang w:eastAsia="it-IT"/>
      <w14:ligatures w14:val="none"/>
    </w:rPr>
  </w:style>
  <w:style w:type="character" w:customStyle="1" w:styleId="60">
    <w:name w:val="标题 6 字符"/>
    <w:basedOn w:val="a0"/>
    <w:link w:val="6"/>
    <w:uiPriority w:val="9"/>
    <w:semiHidden/>
    <w:rsid w:val="006254CA"/>
    <w:rPr>
      <w:rFonts w:ascii="Times New Roman" w:eastAsiaTheme="majorEastAsia" w:hAnsi="Times New Roman" w:cstheme="majorBidi"/>
      <w:i/>
      <w:iCs/>
      <w:color w:val="595959" w:themeColor="text1" w:themeTint="A6"/>
      <w:kern w:val="0"/>
      <w:sz w:val="20"/>
      <w:szCs w:val="20"/>
      <w:lang w:eastAsia="it-IT"/>
      <w14:ligatures w14:val="none"/>
    </w:rPr>
  </w:style>
  <w:style w:type="character" w:customStyle="1" w:styleId="70">
    <w:name w:val="标题 7 字符"/>
    <w:basedOn w:val="a0"/>
    <w:link w:val="7"/>
    <w:uiPriority w:val="9"/>
    <w:semiHidden/>
    <w:rsid w:val="006254CA"/>
    <w:rPr>
      <w:rFonts w:ascii="Times New Roman" w:eastAsiaTheme="majorEastAsia" w:hAnsi="Times New Roman" w:cstheme="majorBidi"/>
      <w:color w:val="595959" w:themeColor="text1" w:themeTint="A6"/>
      <w:kern w:val="0"/>
      <w:sz w:val="20"/>
      <w:szCs w:val="20"/>
      <w:lang w:eastAsia="it-IT"/>
      <w14:ligatures w14:val="none"/>
    </w:rPr>
  </w:style>
  <w:style w:type="character" w:customStyle="1" w:styleId="80">
    <w:name w:val="标题 8 字符"/>
    <w:basedOn w:val="a0"/>
    <w:link w:val="8"/>
    <w:uiPriority w:val="9"/>
    <w:semiHidden/>
    <w:rsid w:val="006254CA"/>
    <w:rPr>
      <w:rFonts w:ascii="Times New Roman" w:eastAsiaTheme="majorEastAsia" w:hAnsi="Times New Roman" w:cstheme="majorBidi"/>
      <w:i/>
      <w:iCs/>
      <w:color w:val="272727" w:themeColor="text1" w:themeTint="D8"/>
      <w:kern w:val="0"/>
      <w:sz w:val="20"/>
      <w:szCs w:val="20"/>
      <w:lang w:eastAsia="it-IT"/>
      <w14:ligatures w14:val="none"/>
    </w:rPr>
  </w:style>
  <w:style w:type="character" w:customStyle="1" w:styleId="90">
    <w:name w:val="标题 9 字符"/>
    <w:basedOn w:val="a0"/>
    <w:link w:val="9"/>
    <w:uiPriority w:val="9"/>
    <w:semiHidden/>
    <w:rsid w:val="006254CA"/>
    <w:rPr>
      <w:rFonts w:ascii="Times New Roman" w:eastAsiaTheme="majorEastAsia" w:hAnsi="Times New Roman" w:cstheme="majorBidi"/>
      <w:color w:val="272727" w:themeColor="text1" w:themeTint="D8"/>
      <w:kern w:val="0"/>
      <w:sz w:val="20"/>
      <w:szCs w:val="20"/>
      <w:lang w:eastAsia="it-IT"/>
      <w14:ligatures w14:val="none"/>
    </w:rPr>
  </w:style>
  <w:style w:type="paragraph" w:styleId="a3">
    <w:name w:val="Title"/>
    <w:basedOn w:val="a"/>
    <w:next w:val="a"/>
    <w:link w:val="a4"/>
    <w:uiPriority w:val="10"/>
    <w:semiHidden/>
    <w:qFormat/>
    <w:rsid w:val="008A0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semiHidden/>
    <w:rsid w:val="006254CA"/>
    <w:rPr>
      <w:rFonts w:asciiTheme="majorHAnsi" w:eastAsiaTheme="majorEastAsia" w:hAnsiTheme="majorHAnsi" w:cstheme="majorBidi"/>
      <w:spacing w:val="-10"/>
      <w:kern w:val="28"/>
      <w:sz w:val="56"/>
      <w:szCs w:val="56"/>
      <w:lang w:eastAsia="it-IT"/>
      <w14:ligatures w14:val="none"/>
    </w:rPr>
  </w:style>
  <w:style w:type="paragraph" w:styleId="a5">
    <w:name w:val="Subtitle"/>
    <w:basedOn w:val="a"/>
    <w:next w:val="a"/>
    <w:link w:val="a6"/>
    <w:uiPriority w:val="11"/>
    <w:semiHidden/>
    <w:qFormat/>
    <w:rsid w:val="008A0778"/>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semiHidden/>
    <w:rsid w:val="006254CA"/>
    <w:rPr>
      <w:rFonts w:ascii="Times New Roman" w:eastAsiaTheme="majorEastAsia" w:hAnsi="Times New Roman" w:cstheme="majorBidi"/>
      <w:color w:val="595959" w:themeColor="text1" w:themeTint="A6"/>
      <w:spacing w:val="15"/>
      <w:kern w:val="0"/>
      <w:sz w:val="28"/>
      <w:szCs w:val="28"/>
      <w:lang w:eastAsia="it-IT"/>
      <w14:ligatures w14:val="none"/>
    </w:rPr>
  </w:style>
  <w:style w:type="paragraph" w:styleId="a7">
    <w:name w:val="Quote"/>
    <w:basedOn w:val="a"/>
    <w:next w:val="a"/>
    <w:link w:val="a8"/>
    <w:uiPriority w:val="29"/>
    <w:semiHidden/>
    <w:qFormat/>
    <w:rsid w:val="008A0778"/>
    <w:pPr>
      <w:spacing w:before="160"/>
      <w:jc w:val="center"/>
    </w:pPr>
    <w:rPr>
      <w:i/>
      <w:iCs/>
      <w:color w:val="404040" w:themeColor="text1" w:themeTint="BF"/>
    </w:rPr>
  </w:style>
  <w:style w:type="character" w:customStyle="1" w:styleId="a8">
    <w:name w:val="引用 字符"/>
    <w:basedOn w:val="a0"/>
    <w:link w:val="a7"/>
    <w:uiPriority w:val="29"/>
    <w:semiHidden/>
    <w:rsid w:val="006254CA"/>
    <w:rPr>
      <w:rFonts w:ascii="Times New Roman" w:eastAsia="Times New Roman" w:hAnsi="Times New Roman" w:cs="Times New Roman"/>
      <w:i/>
      <w:iCs/>
      <w:color w:val="404040" w:themeColor="text1" w:themeTint="BF"/>
      <w:kern w:val="0"/>
      <w:sz w:val="20"/>
      <w:szCs w:val="20"/>
      <w:lang w:eastAsia="it-IT"/>
      <w14:ligatures w14:val="none"/>
    </w:rPr>
  </w:style>
  <w:style w:type="paragraph" w:styleId="a9">
    <w:name w:val="List Paragraph"/>
    <w:basedOn w:val="a"/>
    <w:uiPriority w:val="34"/>
    <w:semiHidden/>
    <w:qFormat/>
    <w:rsid w:val="008A0778"/>
    <w:pPr>
      <w:ind w:left="720"/>
      <w:contextualSpacing/>
    </w:pPr>
  </w:style>
  <w:style w:type="character" w:styleId="aa">
    <w:name w:val="Intense Emphasis"/>
    <w:basedOn w:val="a0"/>
    <w:uiPriority w:val="21"/>
    <w:semiHidden/>
    <w:qFormat/>
    <w:rsid w:val="008A0778"/>
    <w:rPr>
      <w:i/>
      <w:iCs/>
      <w:color w:val="0F4761" w:themeColor="accent1" w:themeShade="BF"/>
    </w:rPr>
  </w:style>
  <w:style w:type="paragraph" w:styleId="ab">
    <w:name w:val="Intense Quote"/>
    <w:basedOn w:val="a"/>
    <w:next w:val="a"/>
    <w:link w:val="ac"/>
    <w:uiPriority w:val="30"/>
    <w:semiHidden/>
    <w:qFormat/>
    <w:rsid w:val="008A0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semiHidden/>
    <w:rsid w:val="006254CA"/>
    <w:rPr>
      <w:rFonts w:ascii="Times New Roman" w:eastAsia="Times New Roman" w:hAnsi="Times New Roman" w:cs="Times New Roman"/>
      <w:i/>
      <w:iCs/>
      <w:color w:val="0F4761" w:themeColor="accent1" w:themeShade="BF"/>
      <w:kern w:val="0"/>
      <w:sz w:val="20"/>
      <w:szCs w:val="20"/>
      <w:lang w:eastAsia="it-IT"/>
      <w14:ligatures w14:val="none"/>
    </w:rPr>
  </w:style>
  <w:style w:type="character" w:styleId="ad">
    <w:name w:val="Intense Reference"/>
    <w:basedOn w:val="a0"/>
    <w:uiPriority w:val="32"/>
    <w:semiHidden/>
    <w:qFormat/>
    <w:rsid w:val="008A0778"/>
    <w:rPr>
      <w:b/>
      <w:bCs/>
      <w:smallCaps/>
      <w:color w:val="0F4761" w:themeColor="accent1" w:themeShade="BF"/>
      <w:spacing w:val="5"/>
    </w:rPr>
  </w:style>
  <w:style w:type="table" w:styleId="ae">
    <w:name w:val="Table Grid"/>
    <w:basedOn w:val="a1"/>
    <w:uiPriority w:val="39"/>
    <w:rsid w:val="00C46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semiHidden/>
    <w:rsid w:val="00902930"/>
    <w:pPr>
      <w:spacing w:line="240" w:lineRule="auto"/>
    </w:pPr>
    <w:rPr>
      <w:rFonts w:ascii="Tahoma" w:hAnsi="Tahoma" w:cs="Tahoma"/>
      <w:sz w:val="16"/>
      <w:szCs w:val="16"/>
    </w:rPr>
  </w:style>
  <w:style w:type="character" w:customStyle="1" w:styleId="af0">
    <w:name w:val="批注框文本 字符"/>
    <w:basedOn w:val="a0"/>
    <w:link w:val="af"/>
    <w:uiPriority w:val="99"/>
    <w:semiHidden/>
    <w:rsid w:val="006254CA"/>
    <w:rPr>
      <w:rFonts w:ascii="Tahoma" w:eastAsia="Times New Roman" w:hAnsi="Tahoma" w:cs="Tahoma"/>
      <w:kern w:val="0"/>
      <w:sz w:val="16"/>
      <w:szCs w:val="16"/>
      <w:lang w:eastAsia="it-IT"/>
      <w14:ligatures w14:val="none"/>
    </w:rPr>
  </w:style>
  <w:style w:type="paragraph" w:styleId="af1">
    <w:name w:val="Normal (Web)"/>
    <w:basedOn w:val="a"/>
    <w:uiPriority w:val="99"/>
    <w:semiHidden/>
    <w:rsid w:val="00B54D18"/>
    <w:pPr>
      <w:spacing w:before="100" w:beforeAutospacing="1" w:after="100" w:afterAutospacing="1" w:line="240" w:lineRule="auto"/>
    </w:pPr>
  </w:style>
  <w:style w:type="character" w:styleId="af2">
    <w:name w:val="Strong"/>
    <w:basedOn w:val="a0"/>
    <w:uiPriority w:val="22"/>
    <w:semiHidden/>
    <w:qFormat/>
    <w:rsid w:val="00B54D18"/>
    <w:rPr>
      <w:b/>
      <w:bCs/>
    </w:rPr>
  </w:style>
  <w:style w:type="character" w:styleId="af3">
    <w:name w:val="Hyperlink"/>
    <w:basedOn w:val="a0"/>
    <w:uiPriority w:val="99"/>
    <w:semiHidden/>
    <w:rsid w:val="000463E6"/>
    <w:rPr>
      <w:color w:val="467886" w:themeColor="hyperlink"/>
      <w:u w:val="single"/>
    </w:rPr>
  </w:style>
  <w:style w:type="character" w:customStyle="1" w:styleId="11">
    <w:name w:val="未处理的提及1"/>
    <w:basedOn w:val="a0"/>
    <w:uiPriority w:val="99"/>
    <w:semiHidden/>
    <w:rsid w:val="00B231A1"/>
    <w:rPr>
      <w:color w:val="605E5C"/>
      <w:shd w:val="clear" w:color="auto" w:fill="E1DFDD"/>
    </w:rPr>
  </w:style>
  <w:style w:type="paragraph" w:styleId="af4">
    <w:name w:val="header"/>
    <w:basedOn w:val="a"/>
    <w:link w:val="af5"/>
    <w:uiPriority w:val="99"/>
    <w:semiHidden/>
    <w:rsid w:val="0076685A"/>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f5">
    <w:name w:val="页眉 字符"/>
    <w:basedOn w:val="a0"/>
    <w:link w:val="af4"/>
    <w:uiPriority w:val="99"/>
    <w:semiHidden/>
    <w:rsid w:val="006254CA"/>
    <w:rPr>
      <w:rFonts w:ascii="Times New Roman" w:eastAsia="Times New Roman" w:hAnsi="Times New Roman" w:cs="Times New Roman"/>
      <w:kern w:val="0"/>
      <w:sz w:val="18"/>
      <w:szCs w:val="18"/>
      <w:lang w:eastAsia="it-IT"/>
      <w14:ligatures w14:val="none"/>
    </w:rPr>
  </w:style>
  <w:style w:type="paragraph" w:styleId="af6">
    <w:name w:val="footer"/>
    <w:basedOn w:val="a"/>
    <w:link w:val="af7"/>
    <w:uiPriority w:val="99"/>
    <w:semiHidden/>
    <w:rsid w:val="0076685A"/>
    <w:pPr>
      <w:tabs>
        <w:tab w:val="center" w:pos="4153"/>
        <w:tab w:val="right" w:pos="8306"/>
      </w:tabs>
      <w:snapToGrid w:val="0"/>
      <w:spacing w:line="240" w:lineRule="atLeast"/>
    </w:pPr>
    <w:rPr>
      <w:sz w:val="18"/>
      <w:szCs w:val="18"/>
    </w:rPr>
  </w:style>
  <w:style w:type="character" w:customStyle="1" w:styleId="af7">
    <w:name w:val="页脚 字符"/>
    <w:basedOn w:val="a0"/>
    <w:link w:val="af6"/>
    <w:uiPriority w:val="99"/>
    <w:semiHidden/>
    <w:rsid w:val="006254CA"/>
    <w:rPr>
      <w:rFonts w:ascii="Times New Roman" w:eastAsia="Times New Roman" w:hAnsi="Times New Roman" w:cs="Times New Roman"/>
      <w:kern w:val="0"/>
      <w:sz w:val="18"/>
      <w:szCs w:val="18"/>
      <w:lang w:eastAsia="it-IT"/>
      <w14:ligatures w14:val="none"/>
    </w:rPr>
  </w:style>
  <w:style w:type="character" w:styleId="af8">
    <w:name w:val="line number"/>
    <w:basedOn w:val="a0"/>
    <w:uiPriority w:val="99"/>
    <w:semiHidden/>
    <w:rsid w:val="0076685A"/>
  </w:style>
  <w:style w:type="paragraph" w:styleId="af9">
    <w:name w:val="Revision"/>
    <w:hidden/>
    <w:uiPriority w:val="99"/>
    <w:semiHidden/>
    <w:rsid w:val="007A4374"/>
    <w:pPr>
      <w:spacing w:after="0" w:line="240" w:lineRule="auto"/>
    </w:pPr>
    <w:rPr>
      <w:rFonts w:ascii="Times New Roman" w:eastAsia="Times New Roman" w:hAnsi="Times New Roman" w:cs="Times New Roman"/>
      <w:kern w:val="0"/>
      <w:sz w:val="20"/>
      <w:szCs w:val="20"/>
      <w:lang w:eastAsia="it-IT"/>
      <w14:ligatures w14:val="none"/>
    </w:rPr>
  </w:style>
  <w:style w:type="character" w:styleId="afa">
    <w:name w:val="annotation reference"/>
    <w:basedOn w:val="a0"/>
    <w:uiPriority w:val="99"/>
    <w:semiHidden/>
    <w:rsid w:val="00AB6397"/>
    <w:rPr>
      <w:sz w:val="16"/>
      <w:szCs w:val="16"/>
    </w:rPr>
  </w:style>
  <w:style w:type="paragraph" w:styleId="afb">
    <w:name w:val="annotation text"/>
    <w:aliases w:val="Comment Text"/>
    <w:basedOn w:val="a"/>
    <w:link w:val="afc"/>
    <w:uiPriority w:val="20"/>
    <w:qFormat/>
    <w:rsid w:val="006254CA"/>
    <w:pPr>
      <w:adjustRightInd w:val="0"/>
      <w:snapToGrid w:val="0"/>
      <w:spacing w:after="0" w:line="240" w:lineRule="auto"/>
    </w:pPr>
    <w:rPr>
      <w:sz w:val="21"/>
      <w:szCs w:val="21"/>
      <w:lang w:val="en-US" w:eastAsia="es-ES"/>
    </w:rPr>
  </w:style>
  <w:style w:type="character" w:customStyle="1" w:styleId="afc">
    <w:name w:val="批注文字 字符"/>
    <w:aliases w:val="Comment Text 字符"/>
    <w:basedOn w:val="a0"/>
    <w:link w:val="afb"/>
    <w:uiPriority w:val="20"/>
    <w:qFormat/>
    <w:rsid w:val="006254CA"/>
    <w:rPr>
      <w:rFonts w:ascii="Times New Roman" w:eastAsia="Times New Roman" w:hAnsi="Times New Roman" w:cs="Times New Roman"/>
      <w:kern w:val="0"/>
      <w:sz w:val="21"/>
      <w:szCs w:val="21"/>
      <w:lang w:val="en-US" w:eastAsia="es-ES"/>
      <w14:ligatures w14:val="none"/>
    </w:rPr>
  </w:style>
  <w:style w:type="paragraph" w:styleId="afd">
    <w:name w:val="annotation subject"/>
    <w:basedOn w:val="afb"/>
    <w:next w:val="afb"/>
    <w:link w:val="afe"/>
    <w:uiPriority w:val="99"/>
    <w:semiHidden/>
    <w:rsid w:val="00AB6397"/>
    <w:rPr>
      <w:b/>
      <w:bCs/>
    </w:rPr>
  </w:style>
  <w:style w:type="character" w:customStyle="1" w:styleId="afe">
    <w:name w:val="批注主题 字符"/>
    <w:basedOn w:val="afc"/>
    <w:link w:val="afd"/>
    <w:uiPriority w:val="99"/>
    <w:semiHidden/>
    <w:rsid w:val="006254CA"/>
    <w:rPr>
      <w:rFonts w:ascii="Times New Roman" w:eastAsia="Times New Roman" w:hAnsi="Times New Roman" w:cs="Times New Roman"/>
      <w:b/>
      <w:bCs/>
      <w:kern w:val="0"/>
      <w:sz w:val="21"/>
      <w:szCs w:val="21"/>
      <w:lang w:val="en-US" w:eastAsia="es-ES"/>
      <w14:ligatures w14:val="none"/>
    </w:rPr>
  </w:style>
  <w:style w:type="paragraph" w:customStyle="1" w:styleId="Abstract">
    <w:name w:val="Abstract"/>
    <w:next w:val="a"/>
    <w:uiPriority w:val="9"/>
    <w:qFormat/>
    <w:rsid w:val="006254CA"/>
    <w:pPr>
      <w:spacing w:after="0" w:line="240" w:lineRule="auto"/>
      <w:jc w:val="both"/>
    </w:pPr>
    <w:rPr>
      <w:rFonts w:ascii="Times New Roman" w:eastAsia="Times New Roman" w:hAnsi="Times New Roman" w:cs="Times New Roman"/>
      <w:color w:val="000000"/>
      <w:kern w:val="0"/>
      <w:sz w:val="21"/>
      <w:szCs w:val="21"/>
      <w:lang w:val="en-US" w:eastAsia="de-DE" w:bidi="en-US"/>
      <w14:ligatures w14:val="none"/>
    </w:rPr>
  </w:style>
  <w:style w:type="paragraph" w:customStyle="1" w:styleId="Academiceditor">
    <w:name w:val="Academic editor"/>
    <w:uiPriority w:val="6"/>
    <w:qFormat/>
    <w:rsid w:val="006254CA"/>
    <w:pPr>
      <w:spacing w:after="0" w:line="240" w:lineRule="auto"/>
      <w:jc w:val="both"/>
    </w:pPr>
    <w:rPr>
      <w:rFonts w:ascii="Times New Roman" w:eastAsia="Times New Roman" w:hAnsi="Times New Roman" w:cs="Times New Roman"/>
      <w:color w:val="000000"/>
      <w:kern w:val="0"/>
      <w:sz w:val="21"/>
      <w:szCs w:val="21"/>
      <w:lang w:val="en-US" w:eastAsia="de-DE" w:bidi="en-US"/>
      <w14:ligatures w14:val="none"/>
    </w:rPr>
  </w:style>
  <w:style w:type="paragraph" w:customStyle="1" w:styleId="Affiliation">
    <w:name w:val="Affiliation"/>
    <w:uiPriority w:val="3"/>
    <w:qFormat/>
    <w:rsid w:val="006254CA"/>
    <w:pPr>
      <w:spacing w:after="0" w:line="240" w:lineRule="auto"/>
      <w:jc w:val="both"/>
    </w:pPr>
    <w:rPr>
      <w:rFonts w:ascii="Times New Roman" w:eastAsia="Times New Roman" w:hAnsi="Times New Roman" w:cs="Times New Roman"/>
      <w:color w:val="000000"/>
      <w:kern w:val="0"/>
      <w:sz w:val="21"/>
      <w:szCs w:val="21"/>
      <w:lang w:val="en-US" w:eastAsia="de-DE" w:bidi="en-US"/>
      <w14:ligatures w14:val="none"/>
    </w:rPr>
  </w:style>
  <w:style w:type="paragraph" w:customStyle="1" w:styleId="Articletitle">
    <w:name w:val="Article title"/>
    <w:next w:val="a"/>
    <w:uiPriority w:val="1"/>
    <w:qFormat/>
    <w:rsid w:val="006254CA"/>
    <w:pPr>
      <w:adjustRightInd w:val="0"/>
      <w:snapToGrid w:val="0"/>
      <w:spacing w:after="0" w:line="240" w:lineRule="auto"/>
      <w:jc w:val="both"/>
    </w:pPr>
    <w:rPr>
      <w:rFonts w:ascii="Times New Roman" w:eastAsia="Times New Roman" w:hAnsi="Times New Roman" w:cs="Times New Roman"/>
      <w:b/>
      <w:snapToGrid w:val="0"/>
      <w:color w:val="000000"/>
      <w:kern w:val="0"/>
      <w:sz w:val="36"/>
      <w:szCs w:val="20"/>
      <w:lang w:val="en-US" w:eastAsia="de-DE" w:bidi="en-US"/>
      <w14:ligatures w14:val="none"/>
    </w:rPr>
  </w:style>
  <w:style w:type="paragraph" w:customStyle="1" w:styleId="Articletype">
    <w:name w:val="Article type"/>
    <w:next w:val="a"/>
    <w:qFormat/>
    <w:rsid w:val="006254CA"/>
    <w:pPr>
      <w:adjustRightInd w:val="0"/>
      <w:snapToGrid w:val="0"/>
      <w:spacing w:after="0" w:line="240" w:lineRule="auto"/>
    </w:pPr>
    <w:rPr>
      <w:rFonts w:ascii="Times New Roman" w:eastAsia="Times New Roman" w:hAnsi="Times New Roman" w:cs="Times New Roman"/>
      <w:i/>
      <w:snapToGrid w:val="0"/>
      <w:color w:val="000000"/>
      <w:kern w:val="0"/>
      <w:sz w:val="20"/>
      <w:szCs w:val="22"/>
      <w:lang w:val="en-US" w:eastAsia="de-DE" w:bidi="en-US"/>
      <w14:ligatures w14:val="none"/>
    </w:rPr>
  </w:style>
  <w:style w:type="paragraph" w:customStyle="1" w:styleId="Authornames">
    <w:name w:val="Authornames"/>
    <w:next w:val="a"/>
    <w:uiPriority w:val="2"/>
    <w:qFormat/>
    <w:rsid w:val="006254CA"/>
    <w:pPr>
      <w:spacing w:after="0" w:line="240" w:lineRule="auto"/>
      <w:jc w:val="both"/>
    </w:pPr>
    <w:rPr>
      <w:rFonts w:ascii="Times New Roman" w:eastAsia="Times New Roman" w:hAnsi="Times New Roman" w:cs="Times New Roman"/>
      <w:color w:val="000000"/>
      <w:kern w:val="0"/>
      <w:sz w:val="21"/>
      <w:szCs w:val="21"/>
      <w:lang w:val="en-US" w:eastAsia="de-DE" w:bidi="en-US"/>
      <w14:ligatures w14:val="none"/>
    </w:rPr>
  </w:style>
  <w:style w:type="paragraph" w:customStyle="1" w:styleId="Backmatter">
    <w:name w:val="Back matter"/>
    <w:uiPriority w:val="18"/>
    <w:qFormat/>
    <w:rsid w:val="006254CA"/>
    <w:pPr>
      <w:adjustRightInd w:val="0"/>
      <w:snapToGrid w:val="0"/>
      <w:spacing w:beforeLines="50" w:before="50" w:afterLines="50" w:after="50" w:line="240" w:lineRule="auto"/>
      <w:jc w:val="both"/>
    </w:pPr>
    <w:rPr>
      <w:rFonts w:ascii="Times New Roman" w:eastAsia="Times New Roman" w:hAnsi="Times New Roman" w:cs="Times New Roman"/>
      <w:b/>
      <w:snapToGrid w:val="0"/>
      <w:color w:val="000000"/>
      <w:kern w:val="0"/>
      <w:lang w:val="en-US" w:bidi="en-US"/>
      <w14:ligatures w14:val="none"/>
    </w:rPr>
  </w:style>
  <w:style w:type="paragraph" w:customStyle="1" w:styleId="Backmattertext">
    <w:name w:val="Back matter text"/>
    <w:link w:val="Backmattertext0"/>
    <w:uiPriority w:val="19"/>
    <w:qFormat/>
    <w:rsid w:val="006254CA"/>
    <w:pPr>
      <w:spacing w:after="0" w:line="240" w:lineRule="auto"/>
      <w:ind w:firstLineChars="200" w:firstLine="200"/>
      <w:jc w:val="both"/>
    </w:pPr>
    <w:rPr>
      <w:rFonts w:ascii="Times New Roman" w:eastAsia="Times New Roman" w:hAnsi="Times New Roman" w:cs="Times New Roman"/>
      <w:snapToGrid w:val="0"/>
      <w:color w:val="000000"/>
      <w:kern w:val="0"/>
      <w:sz w:val="21"/>
      <w:szCs w:val="22"/>
      <w:lang w:val="en-US" w:eastAsia="de-DE" w:bidi="en-US"/>
      <w14:ligatures w14:val="none"/>
    </w:rPr>
  </w:style>
  <w:style w:type="character" w:customStyle="1" w:styleId="Backmattertext0">
    <w:name w:val="Back matter text 字符"/>
    <w:basedOn w:val="a0"/>
    <w:link w:val="Backmattertext"/>
    <w:uiPriority w:val="19"/>
    <w:rsid w:val="006254CA"/>
    <w:rPr>
      <w:rFonts w:ascii="Times New Roman" w:eastAsia="Times New Roman" w:hAnsi="Times New Roman" w:cs="Times New Roman"/>
      <w:snapToGrid w:val="0"/>
      <w:color w:val="000000"/>
      <w:kern w:val="0"/>
      <w:sz w:val="21"/>
      <w:szCs w:val="22"/>
      <w:lang w:val="en-US" w:eastAsia="de-DE" w:bidi="en-US"/>
      <w14:ligatures w14:val="none"/>
    </w:rPr>
  </w:style>
  <w:style w:type="paragraph" w:customStyle="1" w:styleId="Blockquote">
    <w:name w:val="Block quote"/>
    <w:basedOn w:val="Articletype"/>
    <w:uiPriority w:val="17"/>
    <w:qFormat/>
    <w:rsid w:val="006254CA"/>
    <w:pPr>
      <w:adjustRightInd/>
      <w:snapToGrid/>
      <w:spacing w:before="240" w:after="240"/>
      <w:ind w:left="720"/>
      <w:jc w:val="both"/>
    </w:pPr>
    <w:rPr>
      <w:i w:val="0"/>
      <w:sz w:val="21"/>
      <w:szCs w:val="21"/>
    </w:rPr>
  </w:style>
  <w:style w:type="paragraph" w:customStyle="1" w:styleId="E-mail">
    <w:name w:val="E-mail"/>
    <w:link w:val="E-mail0"/>
    <w:uiPriority w:val="5"/>
    <w:qFormat/>
    <w:rsid w:val="006254CA"/>
    <w:pPr>
      <w:spacing w:after="0" w:line="240" w:lineRule="auto"/>
    </w:pPr>
    <w:rPr>
      <w:rFonts w:ascii="Times New Roman" w:eastAsia="Times New Roman" w:hAnsi="Times New Roman" w:cs="Times New Roman"/>
      <w:snapToGrid w:val="0"/>
      <w:color w:val="000000"/>
      <w:kern w:val="0"/>
      <w:sz w:val="21"/>
      <w:szCs w:val="21"/>
      <w:lang w:val="en-US" w:eastAsia="de-DE" w:bidi="en-US"/>
      <w14:ligatures w14:val="none"/>
    </w:rPr>
  </w:style>
  <w:style w:type="character" w:customStyle="1" w:styleId="E-mail0">
    <w:name w:val="E-mail 字符"/>
    <w:basedOn w:val="a0"/>
    <w:link w:val="E-mail"/>
    <w:uiPriority w:val="5"/>
    <w:rsid w:val="006254CA"/>
    <w:rPr>
      <w:rFonts w:ascii="Times New Roman" w:eastAsia="Times New Roman" w:hAnsi="Times New Roman" w:cs="Times New Roman"/>
      <w:snapToGrid w:val="0"/>
      <w:color w:val="000000"/>
      <w:kern w:val="0"/>
      <w:sz w:val="21"/>
      <w:szCs w:val="21"/>
      <w:lang w:val="en-US" w:eastAsia="de-DE" w:bidi="en-US"/>
      <w14:ligatures w14:val="none"/>
    </w:rPr>
  </w:style>
  <w:style w:type="paragraph" w:customStyle="1" w:styleId="Equation">
    <w:name w:val="Equation"/>
    <w:uiPriority w:val="17"/>
    <w:qFormat/>
    <w:rsid w:val="006254CA"/>
    <w:pPr>
      <w:adjustRightInd w:val="0"/>
      <w:snapToGrid w:val="0"/>
      <w:spacing w:before="60" w:after="60" w:line="240" w:lineRule="auto"/>
      <w:ind w:left="709"/>
      <w:jc w:val="center"/>
    </w:pPr>
    <w:rPr>
      <w:rFonts w:ascii="Times New Roman" w:eastAsia="Times New Roman" w:hAnsi="Times New Roman" w:cs="Times New Roman"/>
      <w:snapToGrid w:val="0"/>
      <w:color w:val="000000"/>
      <w:kern w:val="0"/>
      <w:sz w:val="21"/>
      <w:szCs w:val="21"/>
      <w:lang w:val="en-US" w:eastAsia="de-DE" w:bidi="en-US"/>
      <w14:ligatures w14:val="none"/>
    </w:rPr>
  </w:style>
  <w:style w:type="paragraph" w:customStyle="1" w:styleId="Figure">
    <w:name w:val="Figure"/>
    <w:uiPriority w:val="16"/>
    <w:qFormat/>
    <w:rsid w:val="006254CA"/>
    <w:pPr>
      <w:adjustRightInd w:val="0"/>
      <w:snapToGrid w:val="0"/>
      <w:spacing w:after="0" w:line="240" w:lineRule="auto"/>
      <w:jc w:val="center"/>
    </w:pPr>
    <w:rPr>
      <w:rFonts w:ascii="Times New Roman" w:eastAsia="Times New Roman" w:hAnsi="Times New Roman" w:cs="Times New Roman"/>
      <w:snapToGrid w:val="0"/>
      <w:color w:val="000000"/>
      <w:kern w:val="0"/>
      <w:sz w:val="21"/>
      <w:szCs w:val="21"/>
      <w:lang w:val="en-US" w:eastAsia="de-DE" w:bidi="en-US"/>
      <w14:ligatures w14:val="none"/>
    </w:rPr>
  </w:style>
  <w:style w:type="paragraph" w:customStyle="1" w:styleId="Figurecaption">
    <w:name w:val="Figure caption"/>
    <w:uiPriority w:val="16"/>
    <w:qFormat/>
    <w:rsid w:val="006254CA"/>
    <w:pPr>
      <w:spacing w:after="0" w:line="240" w:lineRule="auto"/>
      <w:jc w:val="both"/>
    </w:pPr>
    <w:rPr>
      <w:rFonts w:ascii="Times New Roman" w:eastAsia="Times New Roman" w:hAnsi="Times New Roman" w:cs="Times New Roman"/>
      <w:color w:val="000000"/>
      <w:kern w:val="0"/>
      <w:sz w:val="21"/>
      <w:szCs w:val="21"/>
      <w:lang w:val="en-US" w:eastAsia="de-DE" w:bidi="en-US"/>
      <w14:ligatures w14:val="none"/>
    </w:rPr>
  </w:style>
  <w:style w:type="paragraph" w:customStyle="1" w:styleId="Frontmatter">
    <w:name w:val="Front matter"/>
    <w:uiPriority w:val="8"/>
    <w:qFormat/>
    <w:rsid w:val="006254CA"/>
    <w:pPr>
      <w:spacing w:beforeLines="50" w:before="50" w:afterLines="50" w:after="50" w:line="240" w:lineRule="auto"/>
      <w:jc w:val="both"/>
    </w:pPr>
    <w:rPr>
      <w:rFonts w:ascii="Times New Roman" w:eastAsia="Times New Roman" w:hAnsi="Times New Roman" w:cs="Times New Roman"/>
      <w:b/>
      <w:snapToGrid w:val="0"/>
      <w:color w:val="000000"/>
      <w:kern w:val="0"/>
      <w:szCs w:val="22"/>
      <w:lang w:val="en-US" w:eastAsia="de-DE" w:bidi="en-US"/>
      <w14:ligatures w14:val="none"/>
    </w:rPr>
  </w:style>
  <w:style w:type="paragraph" w:customStyle="1" w:styleId="Historytime">
    <w:name w:val="History time"/>
    <w:next w:val="Articletype"/>
    <w:uiPriority w:val="7"/>
    <w:qFormat/>
    <w:rsid w:val="006254CA"/>
    <w:pPr>
      <w:spacing w:after="0" w:line="240" w:lineRule="auto"/>
    </w:pPr>
    <w:rPr>
      <w:rFonts w:ascii="Times New Roman" w:eastAsia="Times New Roman" w:hAnsi="Times New Roman" w:cs="Times New Roman"/>
      <w:color w:val="000000"/>
      <w:kern w:val="0"/>
      <w:sz w:val="21"/>
      <w:szCs w:val="21"/>
      <w:lang w:val="en-US" w:eastAsia="de-DE" w:bidi="en-US"/>
      <w14:ligatures w14:val="none"/>
    </w:rPr>
  </w:style>
  <w:style w:type="paragraph" w:customStyle="1" w:styleId="Keywords">
    <w:name w:val="Keywords"/>
    <w:next w:val="a"/>
    <w:link w:val="Keywords0"/>
    <w:uiPriority w:val="10"/>
    <w:qFormat/>
    <w:rsid w:val="006254CA"/>
    <w:pPr>
      <w:adjustRightInd w:val="0"/>
      <w:snapToGrid w:val="0"/>
      <w:spacing w:after="0" w:line="240" w:lineRule="auto"/>
      <w:jc w:val="both"/>
    </w:pPr>
    <w:rPr>
      <w:rFonts w:ascii="Times New Roman" w:eastAsia="Times New Roman" w:hAnsi="Times New Roman" w:cs="Times New Roman"/>
      <w:snapToGrid w:val="0"/>
      <w:color w:val="000000"/>
      <w:kern w:val="0"/>
      <w:sz w:val="21"/>
      <w:szCs w:val="21"/>
      <w:lang w:val="en-US" w:eastAsia="de-DE" w:bidi="en-US"/>
      <w14:ligatures w14:val="none"/>
    </w:rPr>
  </w:style>
  <w:style w:type="character" w:customStyle="1" w:styleId="Keywords0">
    <w:name w:val="Keywords 字符"/>
    <w:basedOn w:val="a0"/>
    <w:link w:val="Keywords"/>
    <w:uiPriority w:val="10"/>
    <w:rsid w:val="006254CA"/>
    <w:rPr>
      <w:rFonts w:ascii="Times New Roman" w:eastAsia="Times New Roman" w:hAnsi="Times New Roman" w:cs="Times New Roman"/>
      <w:snapToGrid w:val="0"/>
      <w:color w:val="000000"/>
      <w:kern w:val="0"/>
      <w:sz w:val="21"/>
      <w:szCs w:val="21"/>
      <w:lang w:val="en-US" w:eastAsia="de-DE" w:bidi="en-US"/>
      <w14:ligatures w14:val="none"/>
    </w:rPr>
  </w:style>
  <w:style w:type="paragraph" w:customStyle="1" w:styleId="Reference">
    <w:name w:val="Reference"/>
    <w:link w:val="Reference0"/>
    <w:uiPriority w:val="19"/>
    <w:qFormat/>
    <w:rsid w:val="006254CA"/>
    <w:pPr>
      <w:spacing w:after="0" w:line="240" w:lineRule="auto"/>
      <w:ind w:left="200" w:hangingChars="200" w:hanging="200"/>
      <w:jc w:val="both"/>
    </w:pPr>
    <w:rPr>
      <w:rFonts w:ascii="Times New Roman" w:eastAsia="Times New Roman" w:hAnsi="Times New Roman" w:cs="Times New Roman"/>
      <w:snapToGrid w:val="0"/>
      <w:color w:val="000000"/>
      <w:kern w:val="0"/>
      <w:sz w:val="18"/>
      <w:szCs w:val="21"/>
      <w:lang w:val="en-US" w:eastAsia="de-DE" w:bidi="en-US"/>
      <w14:ligatures w14:val="none"/>
    </w:rPr>
  </w:style>
  <w:style w:type="character" w:customStyle="1" w:styleId="Reference0">
    <w:name w:val="Reference 字符"/>
    <w:basedOn w:val="Keywords0"/>
    <w:link w:val="Reference"/>
    <w:uiPriority w:val="19"/>
    <w:rsid w:val="006254CA"/>
    <w:rPr>
      <w:rFonts w:ascii="Times New Roman" w:eastAsia="Times New Roman" w:hAnsi="Times New Roman" w:cs="Times New Roman"/>
      <w:snapToGrid w:val="0"/>
      <w:color w:val="000000"/>
      <w:kern w:val="0"/>
      <w:sz w:val="18"/>
      <w:szCs w:val="21"/>
      <w:lang w:val="en-US" w:eastAsia="de-DE" w:bidi="en-US"/>
      <w14:ligatures w14:val="none"/>
    </w:rPr>
  </w:style>
  <w:style w:type="paragraph" w:customStyle="1" w:styleId="Tablebody">
    <w:name w:val="Table body"/>
    <w:uiPriority w:val="13"/>
    <w:qFormat/>
    <w:rsid w:val="006254CA"/>
    <w:pPr>
      <w:spacing w:after="0" w:line="240" w:lineRule="auto"/>
      <w:jc w:val="both"/>
    </w:pPr>
    <w:rPr>
      <w:rFonts w:ascii="Times New Roman" w:eastAsia="Times New Roman" w:hAnsi="Times New Roman" w:cs="Times New Roman"/>
      <w:snapToGrid w:val="0"/>
      <w:color w:val="000000"/>
      <w:kern w:val="0"/>
      <w:sz w:val="21"/>
      <w:szCs w:val="21"/>
      <w:lang w:val="en-US" w:eastAsia="de-DE" w:bidi="en-US"/>
      <w14:ligatures w14:val="none"/>
    </w:rPr>
  </w:style>
  <w:style w:type="paragraph" w:customStyle="1" w:styleId="Tablecaption">
    <w:name w:val="Table caption"/>
    <w:uiPriority w:val="14"/>
    <w:qFormat/>
    <w:rsid w:val="006254CA"/>
    <w:pPr>
      <w:adjustRightInd w:val="0"/>
      <w:snapToGrid w:val="0"/>
      <w:spacing w:beforeLines="100" w:before="100" w:afterLines="100" w:after="100" w:line="240" w:lineRule="auto"/>
      <w:jc w:val="center"/>
    </w:pPr>
    <w:rPr>
      <w:rFonts w:ascii="Times New Roman" w:eastAsia="Times New Roman" w:hAnsi="Times New Roman" w:cs="Times New Roman"/>
      <w:b/>
      <w:noProof/>
      <w:color w:val="000000"/>
      <w:kern w:val="0"/>
      <w:sz w:val="21"/>
      <w:lang w:val="en-US" w:eastAsia="zh-CN" w:bidi="en-US"/>
      <w14:ligatures w14:val="none"/>
    </w:rPr>
  </w:style>
  <w:style w:type="paragraph" w:customStyle="1" w:styleId="Tablefooter">
    <w:name w:val="Table footer"/>
    <w:next w:val="a"/>
    <w:uiPriority w:val="15"/>
    <w:qFormat/>
    <w:rsid w:val="006254CA"/>
    <w:pPr>
      <w:spacing w:after="0" w:line="240" w:lineRule="auto"/>
      <w:jc w:val="both"/>
    </w:pPr>
    <w:rPr>
      <w:rFonts w:ascii="Times New Roman" w:eastAsia="Times New Roman" w:hAnsi="Times New Roman" w:cs="Times New Roman"/>
      <w:color w:val="000000"/>
      <w:kern w:val="0"/>
      <w:sz w:val="21"/>
      <w:szCs w:val="21"/>
      <w:lang w:val="en-US" w:eastAsia="de-DE" w:bidi="en-US"/>
      <w14:ligatures w14:val="none"/>
    </w:rPr>
  </w:style>
  <w:style w:type="paragraph" w:customStyle="1" w:styleId="Text">
    <w:name w:val="Text"/>
    <w:link w:val="Text0"/>
    <w:uiPriority w:val="12"/>
    <w:qFormat/>
    <w:rsid w:val="006254CA"/>
    <w:pPr>
      <w:spacing w:after="0" w:line="240" w:lineRule="auto"/>
      <w:ind w:firstLineChars="200" w:firstLine="200"/>
      <w:jc w:val="both"/>
    </w:pPr>
    <w:rPr>
      <w:rFonts w:ascii="Times New Roman" w:eastAsia="Times New Roman" w:hAnsi="Times New Roman" w:cs="Times New Roman"/>
      <w:snapToGrid w:val="0"/>
      <w:color w:val="000000"/>
      <w:kern w:val="0"/>
      <w:sz w:val="21"/>
      <w:szCs w:val="28"/>
      <w:lang w:val="en-US" w:eastAsia="de-DE" w:bidi="en-US"/>
      <w14:ligatures w14:val="none"/>
    </w:rPr>
  </w:style>
  <w:style w:type="character" w:customStyle="1" w:styleId="Text0">
    <w:name w:val="Text 字符"/>
    <w:basedOn w:val="a0"/>
    <w:link w:val="Text"/>
    <w:uiPriority w:val="12"/>
    <w:rsid w:val="006254CA"/>
    <w:rPr>
      <w:rFonts w:ascii="Times New Roman" w:eastAsia="Times New Roman" w:hAnsi="Times New Roman" w:cs="Times New Roman"/>
      <w:snapToGrid w:val="0"/>
      <w:color w:val="000000"/>
      <w:kern w:val="0"/>
      <w:sz w:val="21"/>
      <w:szCs w:val="28"/>
      <w:lang w:val="en-US" w:eastAsia="de-DE" w:bidi="en-US"/>
      <w14:ligatures w14:val="none"/>
    </w:rPr>
  </w:style>
  <w:style w:type="character" w:customStyle="1" w:styleId="21">
    <w:name w:val="未处理的提及2"/>
    <w:basedOn w:val="a0"/>
    <w:uiPriority w:val="99"/>
    <w:semiHidden/>
    <w:unhideWhenUsed/>
    <w:rsid w:val="00E4766B"/>
    <w:rPr>
      <w:color w:val="605E5C"/>
      <w:shd w:val="clear" w:color="auto" w:fill="E1DFDD"/>
    </w:rPr>
  </w:style>
  <w:style w:type="paragraph" w:customStyle="1" w:styleId="isselectedend">
    <w:name w:val="isselectedend"/>
    <w:basedOn w:val="a"/>
    <w:rsid w:val="00154EEE"/>
    <w:pPr>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5954">
      <w:bodyDiv w:val="1"/>
      <w:marLeft w:val="0"/>
      <w:marRight w:val="0"/>
      <w:marTop w:val="0"/>
      <w:marBottom w:val="0"/>
      <w:divBdr>
        <w:top w:val="none" w:sz="0" w:space="0" w:color="auto"/>
        <w:left w:val="none" w:sz="0" w:space="0" w:color="auto"/>
        <w:bottom w:val="none" w:sz="0" w:space="0" w:color="auto"/>
        <w:right w:val="none" w:sz="0" w:space="0" w:color="auto"/>
      </w:divBdr>
    </w:div>
    <w:div w:id="74984031">
      <w:bodyDiv w:val="1"/>
      <w:marLeft w:val="0"/>
      <w:marRight w:val="0"/>
      <w:marTop w:val="0"/>
      <w:marBottom w:val="0"/>
      <w:divBdr>
        <w:top w:val="none" w:sz="0" w:space="0" w:color="auto"/>
        <w:left w:val="none" w:sz="0" w:space="0" w:color="auto"/>
        <w:bottom w:val="none" w:sz="0" w:space="0" w:color="auto"/>
        <w:right w:val="none" w:sz="0" w:space="0" w:color="auto"/>
      </w:divBdr>
    </w:div>
    <w:div w:id="236987252">
      <w:bodyDiv w:val="1"/>
      <w:marLeft w:val="0"/>
      <w:marRight w:val="0"/>
      <w:marTop w:val="0"/>
      <w:marBottom w:val="0"/>
      <w:divBdr>
        <w:top w:val="none" w:sz="0" w:space="0" w:color="auto"/>
        <w:left w:val="none" w:sz="0" w:space="0" w:color="auto"/>
        <w:bottom w:val="none" w:sz="0" w:space="0" w:color="auto"/>
        <w:right w:val="none" w:sz="0" w:space="0" w:color="auto"/>
      </w:divBdr>
    </w:div>
    <w:div w:id="648216745">
      <w:bodyDiv w:val="1"/>
      <w:marLeft w:val="0"/>
      <w:marRight w:val="0"/>
      <w:marTop w:val="0"/>
      <w:marBottom w:val="0"/>
      <w:divBdr>
        <w:top w:val="none" w:sz="0" w:space="0" w:color="auto"/>
        <w:left w:val="none" w:sz="0" w:space="0" w:color="auto"/>
        <w:bottom w:val="none" w:sz="0" w:space="0" w:color="auto"/>
        <w:right w:val="none" w:sz="0" w:space="0" w:color="auto"/>
      </w:divBdr>
    </w:div>
    <w:div w:id="743181157">
      <w:bodyDiv w:val="1"/>
      <w:marLeft w:val="0"/>
      <w:marRight w:val="0"/>
      <w:marTop w:val="0"/>
      <w:marBottom w:val="0"/>
      <w:divBdr>
        <w:top w:val="none" w:sz="0" w:space="0" w:color="auto"/>
        <w:left w:val="none" w:sz="0" w:space="0" w:color="auto"/>
        <w:bottom w:val="none" w:sz="0" w:space="0" w:color="auto"/>
        <w:right w:val="none" w:sz="0" w:space="0" w:color="auto"/>
      </w:divBdr>
    </w:div>
    <w:div w:id="773592140">
      <w:bodyDiv w:val="1"/>
      <w:marLeft w:val="0"/>
      <w:marRight w:val="0"/>
      <w:marTop w:val="0"/>
      <w:marBottom w:val="0"/>
      <w:divBdr>
        <w:top w:val="none" w:sz="0" w:space="0" w:color="auto"/>
        <w:left w:val="none" w:sz="0" w:space="0" w:color="auto"/>
        <w:bottom w:val="none" w:sz="0" w:space="0" w:color="auto"/>
        <w:right w:val="none" w:sz="0" w:space="0" w:color="auto"/>
      </w:divBdr>
    </w:div>
    <w:div w:id="788203337">
      <w:bodyDiv w:val="1"/>
      <w:marLeft w:val="0"/>
      <w:marRight w:val="0"/>
      <w:marTop w:val="0"/>
      <w:marBottom w:val="0"/>
      <w:divBdr>
        <w:top w:val="none" w:sz="0" w:space="0" w:color="auto"/>
        <w:left w:val="none" w:sz="0" w:space="0" w:color="auto"/>
        <w:bottom w:val="none" w:sz="0" w:space="0" w:color="auto"/>
        <w:right w:val="none" w:sz="0" w:space="0" w:color="auto"/>
      </w:divBdr>
      <w:divsChild>
        <w:div w:id="1469934707">
          <w:marLeft w:val="0"/>
          <w:marRight w:val="0"/>
          <w:marTop w:val="0"/>
          <w:marBottom w:val="0"/>
          <w:divBdr>
            <w:top w:val="none" w:sz="0" w:space="0" w:color="auto"/>
            <w:left w:val="none" w:sz="0" w:space="0" w:color="auto"/>
            <w:bottom w:val="none" w:sz="0" w:space="0" w:color="auto"/>
            <w:right w:val="none" w:sz="0" w:space="0" w:color="auto"/>
          </w:divBdr>
          <w:divsChild>
            <w:div w:id="93305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243046">
      <w:bodyDiv w:val="1"/>
      <w:marLeft w:val="0"/>
      <w:marRight w:val="0"/>
      <w:marTop w:val="0"/>
      <w:marBottom w:val="0"/>
      <w:divBdr>
        <w:top w:val="none" w:sz="0" w:space="0" w:color="auto"/>
        <w:left w:val="none" w:sz="0" w:space="0" w:color="auto"/>
        <w:bottom w:val="none" w:sz="0" w:space="0" w:color="auto"/>
        <w:right w:val="none" w:sz="0" w:space="0" w:color="auto"/>
      </w:divBdr>
    </w:div>
    <w:div w:id="934247501">
      <w:bodyDiv w:val="1"/>
      <w:marLeft w:val="0"/>
      <w:marRight w:val="0"/>
      <w:marTop w:val="0"/>
      <w:marBottom w:val="0"/>
      <w:divBdr>
        <w:top w:val="none" w:sz="0" w:space="0" w:color="auto"/>
        <w:left w:val="none" w:sz="0" w:space="0" w:color="auto"/>
        <w:bottom w:val="none" w:sz="0" w:space="0" w:color="auto"/>
        <w:right w:val="none" w:sz="0" w:space="0" w:color="auto"/>
      </w:divBdr>
      <w:divsChild>
        <w:div w:id="1644576056">
          <w:marLeft w:val="0"/>
          <w:marRight w:val="0"/>
          <w:marTop w:val="0"/>
          <w:marBottom w:val="0"/>
          <w:divBdr>
            <w:top w:val="none" w:sz="0" w:space="0" w:color="auto"/>
            <w:left w:val="none" w:sz="0" w:space="0" w:color="auto"/>
            <w:bottom w:val="none" w:sz="0" w:space="0" w:color="auto"/>
            <w:right w:val="none" w:sz="0" w:space="0" w:color="auto"/>
          </w:divBdr>
          <w:divsChild>
            <w:div w:id="27475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75753">
      <w:bodyDiv w:val="1"/>
      <w:marLeft w:val="0"/>
      <w:marRight w:val="0"/>
      <w:marTop w:val="0"/>
      <w:marBottom w:val="0"/>
      <w:divBdr>
        <w:top w:val="none" w:sz="0" w:space="0" w:color="auto"/>
        <w:left w:val="none" w:sz="0" w:space="0" w:color="auto"/>
        <w:bottom w:val="none" w:sz="0" w:space="0" w:color="auto"/>
        <w:right w:val="none" w:sz="0" w:space="0" w:color="auto"/>
      </w:divBdr>
    </w:div>
    <w:div w:id="1549491411">
      <w:bodyDiv w:val="1"/>
      <w:marLeft w:val="0"/>
      <w:marRight w:val="0"/>
      <w:marTop w:val="0"/>
      <w:marBottom w:val="0"/>
      <w:divBdr>
        <w:top w:val="none" w:sz="0" w:space="0" w:color="auto"/>
        <w:left w:val="none" w:sz="0" w:space="0" w:color="auto"/>
        <w:bottom w:val="none" w:sz="0" w:space="0" w:color="auto"/>
        <w:right w:val="none" w:sz="0" w:space="0" w:color="auto"/>
      </w:divBdr>
    </w:div>
    <w:div w:id="1833596953">
      <w:bodyDiv w:val="1"/>
      <w:marLeft w:val="0"/>
      <w:marRight w:val="0"/>
      <w:marTop w:val="0"/>
      <w:marBottom w:val="0"/>
      <w:divBdr>
        <w:top w:val="none" w:sz="0" w:space="0" w:color="auto"/>
        <w:left w:val="none" w:sz="0" w:space="0" w:color="auto"/>
        <w:bottom w:val="none" w:sz="0" w:space="0" w:color="auto"/>
        <w:right w:val="none" w:sz="0" w:space="0" w:color="auto"/>
      </w:divBdr>
      <w:divsChild>
        <w:div w:id="1540505651">
          <w:marLeft w:val="0"/>
          <w:marRight w:val="0"/>
          <w:marTop w:val="0"/>
          <w:marBottom w:val="0"/>
          <w:divBdr>
            <w:top w:val="none" w:sz="0" w:space="0" w:color="auto"/>
            <w:left w:val="none" w:sz="0" w:space="0" w:color="auto"/>
            <w:bottom w:val="none" w:sz="0" w:space="0" w:color="auto"/>
            <w:right w:val="none" w:sz="0" w:space="0" w:color="auto"/>
          </w:divBdr>
          <w:divsChild>
            <w:div w:id="101052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1990">
      <w:bodyDiv w:val="1"/>
      <w:marLeft w:val="0"/>
      <w:marRight w:val="0"/>
      <w:marTop w:val="0"/>
      <w:marBottom w:val="0"/>
      <w:divBdr>
        <w:top w:val="none" w:sz="0" w:space="0" w:color="auto"/>
        <w:left w:val="none" w:sz="0" w:space="0" w:color="auto"/>
        <w:bottom w:val="none" w:sz="0" w:space="0" w:color="auto"/>
        <w:right w:val="none" w:sz="0" w:space="0" w:color="auto"/>
      </w:divBdr>
    </w:div>
    <w:div w:id="2076931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18"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Relationship Id="rId5" Type="http://schemas.openxmlformats.org/officeDocument/2006/relationships/webSettings" Target="webSettings.xml"/><Relationship Id="rId10" Type="http://schemas.openxmlformats.org/officeDocument/2006/relationships/image" Target="media/image2.tif"/><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A3D197-B28D-4DD4-BAEF-E55B21D2C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26</Pages>
  <Words>12766</Words>
  <Characters>72767</Characters>
  <Application>Microsoft Office Word</Application>
  <DocSecurity>0</DocSecurity>
  <Lines>606</Lines>
  <Paragraphs>170</Paragraphs>
  <ScaleCrop>false</ScaleCrop>
  <HeadingPairs>
    <vt:vector size="4" baseType="variant">
      <vt:variant>
        <vt:lpstr>Titolo</vt:lpstr>
      </vt:variant>
      <vt:variant>
        <vt:i4>1</vt:i4>
      </vt:variant>
      <vt:variant>
        <vt:lpstr>Título</vt:lpstr>
      </vt:variant>
      <vt:variant>
        <vt:i4>1</vt:i4>
      </vt:variant>
    </vt:vector>
  </HeadingPairs>
  <TitlesOfParts>
    <vt:vector size="2" baseType="lpstr">
      <vt:lpstr/>
      <vt:lpstr/>
    </vt:vector>
  </TitlesOfParts>
  <Company>HP Inc.</Company>
  <LinksUpToDate>false</LinksUpToDate>
  <CharactersWithSpaces>85363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Valerio Gaetano Vellone</dc:creator>
  <cp:lastModifiedBy>Lucky</cp:lastModifiedBy>
  <cp:revision>5</cp:revision>
  <dcterms:created xsi:type="dcterms:W3CDTF">2026-05-25T07:31:00Z</dcterms:created>
  <dcterms:modified xsi:type="dcterms:W3CDTF">2026-05-25T07:59:00Z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7c4c6e7e-cdc9-41a6-bdb4-9977d89ba515</vt:lpwstr>
  </property>
</Properties>
</file>