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word2jats：面向学术出版的 Word 智能结构化转换</w:t>
      </w:r>
    </w:p>
    <w:p>
      <w:r>
        <w:t>学术期刊结构化技术创新大赛 · 选题一 · 技术方案说明书</w:t>
      </w:r>
    </w:p>
    <w:p>
      <w:r>
        <w:t>参赛团队：JiangLab</w:t>
      </w:r>
    </w:p>
    <w:p>
      <w:r>
        <w:t>在线原型：https://word2jats.jianglab.work</w:t>
      </w:r>
    </w:p>
    <w:p>
      <w:pPr>
        <w:pStyle w:val="Heading1"/>
        <w:pageBreakBefore w:val="0"/>
      </w:pPr>
      <w:r>
        <w:t>一、项目目标与方案概述</w:t>
      </w:r>
    </w:p>
    <w:p>
      <w:pPr>
        <w:pStyle w:val="Heading2"/>
      </w:pPr>
      <w:r>
        <w:t>1.1 从投稿文档到出版数据</w:t>
      </w:r>
    </w:p>
    <w:p>
      <w:r>
        <w:t>学术论文在 Word 中主要通过排版表达含义：标题的字体和位置体现章节层次，作者姓名后的角标对应单位或通讯说明，表格的合并单元格表达分组关系，正文中的编号指向图表与参考文献。出版系统需要的则是能够检索、链接、重用和重新排版的结构化数据。Word 转换为 JATS XML 的关键，是把这些隐含关系恢复为明确的出版结构，同时保留论文内容。</w:t>
      </w:r>
    </w:p>
    <w:p>
      <w:r>
        <w:t>word2jats 面向这一过程，接收 DOCX 稿件，生成符合 JATS Journal Publishing 1.3 的 XML 文档及配套图片资源，并提供网页校样、原稿对照、复核记录和结果导出。编辑可以在同一工作台完成稿件提交、结构化转换和结果检查；技术人员也可以通过命令行调用相同的转换流程。</w:t>
      </w:r>
    </w:p>
    <w:p>
      <w:r>
        <w:t>项目将任务分为三个相互关联的目标。第一是内容完整：文字、数字、图表和公式在转换中有明确去向。第二是结构可用：章节、作者单位、文献字段和交叉引用能够被出版系统直接读取。第三是加工高效：利用模型完成语义识别，利用程序完成重复性组装与检查，并将需要编辑判断的事项定位到原稿。</w:t>
      </w:r>
    </w:p>
    <w:p>
      <w:pPr>
        <w:pStyle w:val="Heading2"/>
      </w:pPr>
      <w:r>
        <w:t>1.2 技术路线与主要贡献</w:t>
      </w:r>
    </w:p>
    <w:p>
      <w:r>
        <w:t>方案采用“语义识别与内容取回分离”的设计。模型读取带位置标识的原稿清单，判断内容角色、边界和关联；程序将定位线索解析为原稿中的字符范围，再据此组织正文、摘要与文献等内容。作者、单位及通讯关系使用受约束的文首生成流程，适配复杂的关系结构。</w:t>
      </w:r>
    </w:p>
    <w:p>
      <w:r>
        <w:t>这一设计形成三项相互支撑的技术贡献：</w:t>
      </w:r>
    </w:p>
    <w:p>
      <w:pPr>
        <w:pStyle w:val="ListBullet"/>
      </w:pPr>
      <w:r>
        <w:t>以原文位置连接识别与生成。 模型的结构判断可以调整，正文与文献的内容取回仍依据 Word 原稿；同一位置表示也用于后续检查和原稿定位。</w:t>
      </w:r>
    </w:p>
    <w:p>
      <w:pPr>
        <w:pStyle w:val="ListBullet"/>
      </w:pPr>
      <w:r>
        <w:t>以内容对象组织整篇论文。 统一处理文字范围、表格网格、图片与公式的出现位置，以及作者、图表、文献之间的关系，完成从局部识别到整篇 JATS 文档的组装。</w:t>
      </w:r>
    </w:p>
    <w:p>
      <w:pPr>
        <w:pStyle w:val="ListBullet"/>
      </w:pPr>
      <w:r>
        <w:t>以任务依赖和编辑流程组织自动化。 文首、正文、文献与引文按依赖并行处理；生成结果进入可视化校样，编辑能够查看原文、处理具体事项并导出成果。</w:t>
      </w:r>
    </w:p>
    <w:p>
      <w:r>
        <w:t>原型提供 Qwen 与 DeepSeek Flash 两种模型配置。模型适配、用量计量、XML 生成与编辑操作使用统一接口，便于根据转换质量、时间和资源消耗选择运行配置。</w:t>
      </w:r>
    </w:p>
    <w:p>
      <w:pPr>
        <w:pStyle w:val="Heading1"/>
        <w:pageBreakBefore w:val="0"/>
      </w:pPr>
      <w:r>
        <w:t>二、总体架构与数据组织</w:t>
      </w:r>
    </w:p>
    <w:p>
      <w:pPr>
        <w:pStyle w:val="Heading2"/>
      </w:pPr>
      <w:r>
        <w:t>2.1 分层处理流程</w:t>
      </w:r>
    </w:p>
    <w:p>
      <w:r>
        <w:t>系统划分为原稿解析、结构理解、定位组装、生成检查和编辑工作台五个部分。它们之间传递的是带有原稿位置和对象身份的数据，而不只是中间文本。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　系统总体架构</w:t>
      </w:r>
    </w:p>
    <w:p>
      <w:r>
        <w:t>原稿解析层读取 DOCX 的文字、样式、编号、表格和嵌入资源，形成统一的原稿记录。结构理解层对这些记录进行任务化识别。定位组装层将各任务结果归并为语义文档，生成层再将语义对象映射为 JATS 元素，外部化图片并建立引用。自动检查和网页复核围绕同一份输出展开。</w:t>
      </w:r>
    </w:p>
    <w:p>
      <w:r>
        <w:t>这套分工兼顾了两类信息：一类是 Word 中可以直接读取的事实，例如单元格合并、图片字节和公式对象；另一类是需要结合上下文理解的含义，例如一行文字究竟是章节标题、图注还是作者单位。前者由程序解析，后者由模型识别，二者在组装阶段结合。</w:t>
      </w:r>
    </w:p>
    <w:p>
      <w:pPr>
        <w:pStyle w:val="Heading2"/>
      </w:pPr>
      <w:r>
        <w:t>2.2 原稿记录：位置、内容与对象分开表示</w:t>
      </w:r>
    </w:p>
    <w:p>
      <w:r>
        <w:t>解析器为段落、表格单元格及附属文本建立稳定地址。例如，doc/p30 表示正文部件中的一条段落记录；一段文字进一步用“记录地址、起始位置、结束位置”定位。字符范围采用左闭右开的表示，范围内的内容可以直接从原稿取回。</w:t>
      </w:r>
    </w:p>
    <w:p>
      <w:r>
        <w:t>模型输入清单保留记录地址，并附带有效格式、提纲级别、编号等信息。Word 样式先经过继承关系解析，再作为识别依据提供给模型。因此，标题识别既能利用 Word 已有结构，也能结合上下文处理不规范样式，而不依赖固定的样式名称。</w:t>
      </w:r>
    </w:p>
    <w:p>
      <w:r>
        <w:t>图片和公式分别记录“资源”与“出现位置”。资源对应实际字节或原生公式内容；出现位置说明它位于哪段文字、哪个单元格，以及在文档中出现的顺序。同一图片被引用多次时，可以复用资源并保留多个位置；一张复合图由多个图像组成时，也可以归入同一个图对象。</w:t>
      </w:r>
    </w:p>
    <w:p>
      <w:pPr>
        <w:pStyle w:val="Heading2"/>
      </w:pPr>
      <w:r>
        <w:t>2.3 语义文档与 JATS 映射</w:t>
      </w:r>
    </w:p>
    <w:p>
      <w:r>
        <w:t>各识别任务的结果最终归并为统一的语义文档。语义对象包括章节、段落、图、表、公式、注释、定义列表、文献条目和引用关系。文字对象引用原稿范围，图片对象引用资源出现记录，关系对象引用目标实体。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稿件内容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中间表示的重点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JATS 输出结构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题名、作者、单位、通讯信息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字段与人员、机构的关联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article-meta、contrib、aff、author-notes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摘要与关键词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摘要分段、分节及各关键词的原文位置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abstract、sec、kwd-group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章节与正文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标题层级、段落顺序、行内格式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body、sec、title、p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表格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行列、合并区域、表头、表题和表注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table-wrap、table、thead、tbody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图片与复合图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图对象、组成图片、编号与图注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fig、fig-group、graphic、caption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数学公式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行内或行间位置、数学结构或图像载体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inline-formula、disp-formula、MathML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定义列表与文末声明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术语—释义关系、声明标题与内容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def-list、def-item、ack、fn-group 等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文献与交叉引用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条目、著录字段、引用位置与目标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ref-list、ref、element-citation、xref</w:t>
            </w:r>
          </w:p>
        </w:tc>
      </w:tr>
    </w:tbl>
    <w:p/>
    <w:p>
      <w:r>
        <w:t>生成器统一分配内部标识，并将原稿中的显示编号与内部身份分开管理。例如，正文可保留“[6–8]”的原有写法，同时通过一个引用元素关联三条文献实体。显示形式与机器可读取的关系可以同时保留。</w:t>
      </w:r>
    </w:p>
    <w:p>
      <w:pPr>
        <w:pStyle w:val="Heading1"/>
        <w:pageBreakBefore w:val="0"/>
      </w:pPr>
      <w:r>
        <w:t>三、核心转换方法</w:t>
      </w:r>
    </w:p>
    <w:p>
      <w:pPr>
        <w:pStyle w:val="Heading2"/>
      </w:pPr>
      <w:r>
        <w:t>3.1 原文定位与内容组装</w:t>
      </w:r>
    </w:p>
    <w:p>
      <w:r>
        <w:t>结构识别的输出包括记录地址、原文摘抄以及必要的前后文。程序先在指定记录中精确查找摘抄；遇到空白、引号或连字符的等价写法时，进行受控归一化匹配；出现重复文字时，再结合位置线索、邻接内容和先后顺序确定对应范围。最终用于组装的文字取自匹配到的原稿位置。</w:t>
      </w:r>
    </w:p>
    <w:p>
      <w:r>
        <w:t>例如，一份稿件中的 doc/p30 记录为“2. Materials and Methods”。正文任务将其识别为章节标题，组装器保留该记录的文字并建立章节对象，生成如下结构（省略正文）：</w:t>
      </w:r>
    </w:p>
    <w:p>
      <w:pPr>
        <w:ind w:left="142"/>
        <w:shd w:fill="F0F4F2"/>
      </w:pPr>
      <w:r>
        <w:rPr>
          <w:rFonts w:ascii="DejaVu Sans Mono" w:hAnsi="DejaVu Sans Mono"/>
          <w:sz w:val="17"/>
        </w:rPr>
        <w:t>&lt;sec id="S2"&gt;</w:t>
        <w:br/>
        <w:t xml:space="preserve">  &lt;title&gt;2. Materials and Methods&lt;/title&gt;</w:t>
        <w:br/>
        <w:t xml:space="preserve">  &lt;p&gt;……&lt;/p&gt;</w:t>
        <w:br/>
        <w:t>&lt;/sec&gt;</w:t>
      </w:r>
    </w:p>
    <w:p>
      <w:r>
        <w:t>其中，章节角色由模型判断，标题文字由原稿取回，章节标识由生成器分配。对于同一段落内的部分文字，例如参考文献中的题名、年份或正文中的一处引文，则定位到字符子区间。这样既能进行细粒度标注，也能保留未被标注的上下文。</w:t>
      </w:r>
    </w:p>
    <w:p>
      <w:r>
        <w:t>多个任务可能对相邻区域作出不同判断，系统会在整篇组装前归并角色与范围，处理文首、正文、图表说明和文献之间的边界冲突。生成后还会核对各范围的使用情况，使局部处理能够与全文内容衔接。</w:t>
      </w:r>
    </w:p>
    <w:p>
      <w:pPr>
        <w:pStyle w:val="Heading2"/>
      </w:pPr>
      <w:r>
        <w:t>3.2 文首元信息、作者与通讯关系</w:t>
      </w:r>
    </w:p>
    <w:p>
      <w:r>
        <w:t>文首处理先确定元信息区域和摘要关键词区域，再分别处理两类内容。元信息不仅是若干字符串，还包含关系：一位作者可以属于多个机构，多位作者可以共享一个单位，通讯说明可能位于单独段落，ORCID、邮箱和个人地址也可能分散出现。</w:t>
      </w:r>
    </w:p>
    <w:p>
      <w:r>
        <w:t>模型依据限定的文首区域生成局部 JATS 结构，将姓名、学位、标识和角色归入对应人员，将机构信息组织为 aff，并以 xref 连接作者、单位和通讯说明。姓名可以可靠拆分时使用姓与名字段；适合整体表示时采用 string-name。日期按照收稿、修回、录用等事件类型组织，而非依赖原稿中日期分量的书写顺序。</w:t>
      </w:r>
    </w:p>
    <w:p>
      <w:r>
        <w:t>局部结果经过 JATS 内容模型校验；结构错误会连同具体校验信息返回模型修正。生成器还核对原稿内容及标识，处理格式角标与相邻文字的边界，并记录需要复核的修正。ORCID 作为人员标识保留在 contrib-id 中，作者姓名、单位关联和通讯关系分别参与质量评价。</w:t>
      </w:r>
    </w:p>
    <w:p>
      <w:r>
        <w:t>摘要和关键词采用原文定位方式。结构化摘要识别各小节的标题与内容；普通摘要保留段落组织；图文摘要保留与其对应的图片资源；关键词按各词项的范围生成 kwd。这些内容与文首元信息可以在边界确认后并行处理。</w:t>
      </w:r>
    </w:p>
    <w:p>
      <w:pPr>
        <w:pStyle w:val="Heading2"/>
      </w:pPr>
      <w:r>
        <w:t>3.3 正文章节、格式与特殊内容</w:t>
      </w:r>
    </w:p>
    <w:p>
      <w:r>
        <w:t>正文任务结合全文上下文和 Word 格式事实，判断章节标题、普通段落、图表说明、公式及文末声明等角色。章节层级由内容与排版信息共同确定，随后按照原稿顺序建立章节树。图题、表题、摘要标题与正文标题分别归属对应对象，避免仅凭加粗或居中样式将它们归入同一种结构。</w:t>
      </w:r>
    </w:p>
    <w:p>
      <w:r>
        <w:t>行内格式与文字内容一同按原稿范围取回。生成时，根据语义位置处理格式：章节标题的整体外观可以由预览样式控制；正文中实际承载含义的斜体、上下标等保留为行内标记；数学对象进入公式结构。Word 自动编号从编号定义读取，用于恢复文献等条目的显示编号。</w:t>
      </w:r>
    </w:p>
    <w:p>
      <w:r>
        <w:t>术语表与定义列表按术语—释义关系组织；作者贡献、利益冲突、伦理、数据可用性及资助等声明，按识别到的标题和所属内容生成文末结构。处理重点是保留原文内容和先后关系，同时让不同业务内容具有可识别的结构位置。</w:t>
      </w:r>
    </w:p>
    <w:p>
      <w:pPr>
        <w:pStyle w:val="Heading2"/>
      </w:pPr>
      <w:r>
        <w:t>3.4 表格：保留逻辑网格，恢复文本排表</w:t>
      </w:r>
    </w:p>
    <w:p>
      <w:r>
        <w:t>Word 稿件中的表格具有不同载体。原生表格已经包含行、列和合并关系，系统读取这些结构事实，按逻辑网格生成 JATS 表格。横向和纵向合并分别映射为列跨度和行跨度；表头、行头、表题及表注由结构理解结果补充。单元格内的文字、上下标和公式继续使用相同的内容取回机制。</w:t>
      </w:r>
    </w:p>
    <w:p>
      <w:r>
        <w:t>另一类表格以制表符、空格或软换行排出，原文件中没有完整单元格结构。系统先识别属于该表的实际文本行，再由专项任务将每行中的原文片段分配到各列。程序核对片段归属和使用情况：同一行的内容应完整进入对应单元格，各片段不得相互重叠或被重复使用。识别结果据此转为行列结构，并保留核对信息供编辑处理。</w:t>
      </w:r>
    </w:p>
    <w:p>
      <w:r>
        <w:t>图像型表格则保留其图片载体，配合表题、编号和表注生成 table-wrap。在界面上，三类表格都进入校样预览；结构化网格可直接用于后续排版，文本排表中的疑难项目可结合原稿摘录核对。实验分别考察表格对象、题注和网格单元内容，体现“表存在”和“表结构正确”的不同要求。</w:t>
      </w:r>
    </w:p>
    <w:p>
      <w:pPr>
        <w:pStyle w:val="Heading2"/>
      </w:pPr>
      <w:r>
        <w:t>3.5 图片、复合图与数学公式</w:t>
      </w:r>
    </w:p>
    <w:p>
      <w:r>
        <w:t>图片处理同时解决资源和语义归属。系统从 DOCX 的关联关系取得图片，记录其出现位置，再将图片归入对应的图、表或段落。一张图包含多个面板时，保持组成关系和先后顺序；图编号、图注标题和解释段落分别组织。媒体文件按原字节导出，并将 XML 中的资源路径关联到实际文件。</w:t>
      </w:r>
    </w:p>
    <w:p>
      <w:r>
        <w:t>公式按照载体处理。Word 原生公式使用 Office Math Markup Language（OMML）表达数学结构；系统通过样式表转换为 MathML，并递归组织运算节点。一次变换可能产生多个并列节点，所有节点共同构成完整的数学表达式。行内公式和行间公式分别放入 JATS 对应容器，公式编号与正文引用也保留其关联。</w:t>
      </w:r>
    </w:p>
    <w:p>
      <w:r>
        <w:t>图像型公式使用原始图片承载，放入公式容器并保留其段内位置。例如，同一行公式由两个 WMF 片段组成时，两个资源均参与输出。网页针对 TIFF 和可解码的 WMF 提供浏览器可显示的预览，下载包保留原始文件。由此，预览显示与出版资源交付可以分别满足使用要求。</w:t>
      </w:r>
    </w:p>
    <w:p>
      <w:r>
        <w:t>原生公式的实验同时核对数量与数学树结构；图像型公式核对载体是否保留。这两类结果分别报告，以对应可继续进行数学处理的结构化公式和保留原貌的图像公式。</w:t>
      </w:r>
    </w:p>
    <w:p>
      <w:pPr>
        <w:pStyle w:val="Heading2"/>
      </w:pPr>
      <w:r>
        <w:t>3.6 参考文献：边界识别、字段提取与完整著录</w:t>
      </w:r>
    </w:p>
    <w:p>
      <w:r>
        <w:t>参考文献处理分成两个阶段。首先识别条目边界，两路不同提示分别给出判断；程序将边界定位回原稿，对一致结果直接归并，对分歧进行裁决。条目的身份由其原稿范围确定，编号作为独立的显示信息处理，因此既可以处理显式编号，也可以处理 Word 自动编号或无编号著录。</w:t>
      </w:r>
    </w:p>
    <w:p>
      <w:r>
        <w:t>边界确定后，各条文献并行提取人员、题名、刊名、年份、卷期页、标识和出版信息等字段。字段摘抄需要定位到原稿范围；姓名等重复片段还结合成员范围、顺序与不重叠条件进行分配。原稿已能唯一确定字段位置时直接采用；确有歧义时，再利用模型的顺序提示辅助判断。输出中的字段先后以实际原稿位置为准。</w:t>
      </w:r>
    </w:p>
    <w:p>
      <w:r>
        <w:t>例如，著录片段“European Journal of Preventive Cardiology, 26 (2019) 1191-1204.”分别提供刊名、卷号、年份和起止页。模型返回这些原文片段，程序核对位置并生成下列字段；其中卷号位于年份之前，与原稿一致：</w:t>
      </w:r>
    </w:p>
    <w:p>
      <w:pPr>
        <w:ind w:left="142"/>
        <w:shd w:fill="F0F4F2"/>
      </w:pPr>
      <w:r>
        <w:rPr>
          <w:rFonts w:ascii="DejaVu Sans Mono" w:hAnsi="DejaVu Sans Mono"/>
          <w:sz w:val="17"/>
        </w:rPr>
        <w:t>&lt;source&gt;European Journal of Preventive Cardiology&lt;/source&gt;</w:t>
        <w:br/>
        <w:t>&lt;volume&gt;26&lt;/volume&gt;&lt;year&gt;2019&lt;/year&gt;</w:t>
        <w:br/>
        <w:t>&lt;fpage&gt;1191&lt;/fpage&gt;&lt;lpage&gt;1204&lt;/lpage&gt;</w:t>
      </w:r>
    </w:p>
    <w:p>
      <w:r>
        <w:t>这些字段与人员、题名等共同进入 element-citation，成为可以单独检索、链接和重新排版的出版数据。</w:t>
      </w:r>
    </w:p>
    <w:p>
      <w:r>
        <w:t>字段化过程同时核对整条著录的内容覆盖。著录中的常规标点和连接记法按明确规则处理，其余内容需要由相应字段承载。对于不适合充分拆分的条目，系统使用 mixed-citation 保留整条原文，完整著录仍可在校样中查看和核对。两种形式都具有 JATS 中的合法承载方式，条目完整性与字段化程度分别统计。</w:t>
      </w:r>
    </w:p>
    <w:p>
      <w:pPr>
        <w:pStyle w:val="Heading2"/>
      </w:pPr>
      <w:r>
        <w:t>3.7 正文引文与图表关联</w:t>
      </w:r>
    </w:p>
    <w:p>
      <w:r>
        <w:t>引文识别任务给出正文中的引用位置与目标线索。数字制引用通过原稿显示编号关联文献实体；作者—年份制引用结合作者、年份与引用摘抄匹配目标。对图表的提及则关联对应图、表实体。所有目标在组装阶段转换为文档内部标识。</w:t>
      </w:r>
    </w:p>
    <w:p>
      <w:r>
        <w:t>例如，正文中的“[6–8]”可表示为以下片段，括号保留在周围文字中：</w:t>
      </w:r>
    </w:p>
    <w:p>
      <w:pPr>
        <w:ind w:left="142"/>
        <w:shd w:fill="F0F4F2"/>
      </w:pPr>
      <w:r>
        <w:rPr>
          <w:rFonts w:ascii="DejaVu Sans Mono" w:hAnsi="DejaVu Sans Mono"/>
          <w:sz w:val="17"/>
        </w:rPr>
        <w:t>&lt;xref ref-type="bibr" rid="R006 R007 R008"&gt;6–8&lt;/xref&gt;</w:t>
      </w:r>
    </w:p>
    <w:p>
      <w:r>
        <w:t>这既保留原来的显示范围，也建立三条机器可读取的引用关系。输出检查验证标识唯一性及目标存在性；质量评价进一步按所在段落、引用位置和实际目标进行匹配。这样可以分别衡量链接是否有效，以及它是否指向应当关联的内容。</w:t>
      </w:r>
    </w:p>
    <w:p>
      <w:pPr>
        <w:pStyle w:val="Heading1"/>
        <w:pageBreakBefore w:val="0"/>
      </w:pPr>
      <w:r>
        <w:t>四、运行效率与工程实现</w:t>
      </w:r>
    </w:p>
    <w:p>
      <w:pPr>
        <w:pStyle w:val="Heading2"/>
      </w:pPr>
      <w:r>
        <w:t>4.1 依据实际依赖进行并行调度</w:t>
      </w:r>
    </w:p>
    <w:p>
      <w:r>
        <w:t>一次转换包含多个模型任务，它们对输入结果的依赖并不相同。文首、正文、文献边界和正文引文均可以读取原稿清单并独立开始；文献字段提取只需要文献边界结果；文本表格恢复需要完成正文角色归并；最终组装再汇合所有必要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8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并行依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　单篇稿件内部的任务依赖</w:t>
      </w:r>
    </w:p>
    <w:p>
      <w:r>
        <w:t>系统据此组织并行执行。文献字段提取在边界确认后立即启动，与文首及正文的后续处理重叠；文本表格恢复期间，文献字段和引文识别仍可继续运行。等待被限制在实际存在的数据依赖上。</w:t>
      </w:r>
    </w:p>
    <w:p>
      <w:r>
        <w:t>模型请求共用进程级并发上限，默认最多 32 个在途请求。即使文首与正文采用不同客户端实例，也遵守同一上限。长文按照输入预算划分窗口，并在相邻窗口保留上下文；各窗口结果经过原文定位后归并。通过任务级并行与有界请求并发，兼顾单篇处理时间和服务资源占用。</w:t>
      </w:r>
    </w:p>
    <w:p>
      <w:pPr>
        <w:pStyle w:val="Heading2"/>
      </w:pPr>
      <w:r>
        <w:t>4.2 完整响应、限次重试与两级复用</w:t>
      </w:r>
    </w:p>
    <w:p>
      <w:r>
        <w:t>模型输出采用流式接收。程序在响应正常结束后再进行 JSON 或 XML 解析，中断的半截回答不会进入组装。传输异常按类型进行有限重试，并遵循服务端给出的退避信息；结构回答未满足契约时，将具体问题返回模型作限次修正。调用次数和用量包含这些实际发生的额外请求。</w:t>
      </w:r>
    </w:p>
    <w:p>
      <w:r>
        <w:t>系统区分两类复用。应用本地缓存保存完整模型回答，按模型、任务、输入与生成参数确定请求身份，相同请求可以直接复用。原稿修订后，只有输入保持一致的任务能够复用，改变的请求重新执行。模型服务端的上下文缓存则针对实际提交的输入计算命中量，仍然属于一次真实模型调用。两者分别记录，避免将本地复用次数与缓存 Token 混淆。</w:t>
      </w:r>
    </w:p>
    <w:p>
      <w:r>
        <w:t>Token 用量统一记录输入、输出、缓存命中、缓存未命中及总量。原始数据取自模型响应，输入总量划分为缓存命中与未命中两部分。逐请求记录汇总到各模型和整篇稿件，界面与下载包采用一致字段。</w:t>
      </w:r>
    </w:p>
    <w:p>
      <w:pPr>
        <w:pStyle w:val="Heading2"/>
      </w:pPr>
      <w:r>
        <w:t>4.3 可维护的实现与运行方式</w:t>
      </w:r>
    </w:p>
    <w:p>
      <w:r>
        <w:t>转换核心使用 Python，按解析、理解、语义对象、生成、检查和模型接入划分模块。模型提供结构判断，生成器负责标准输出，网页和命令行调用同一个转换入口。因此，调整模型配置不会改变输入文件格式、校样操作或成果格式。</w:t>
      </w:r>
    </w:p>
    <w:p>
      <w:r>
        <w:t>网页采用 FastAPI 提供上传、任务状态、预览、复核保存和下载接口。转换在后台执行，前端可以持续显示进度；大文件采用分片上传和失败重传，并在合并后校验大小与摘要。模型凭据保存在服务端配置中。</w:t>
      </w:r>
    </w:p>
    <w:p>
      <w:r>
        <w:t>每次转换使用独立工作目录，先生成候选 XML 与媒体，再完成结构、内容和资源检查。检查通过后发布结果；需要处理的候选仍保留为可预览的成果，关联具体问题。生成与发布分开，有助于保护已有成果，并使异常处理中保留足够的上下文。</w:t>
      </w:r>
    </w:p>
    <w:p>
      <w:r>
        <w:t>调用适配层按模型支持的响应格式传递统一的输出结构要求，理解层执行相同的本地契约检查。程序通过云端接口使用语言模型，本机承担 DOCX 解析、任务编排、XML 生成、检查和网页服务，不需要部署本地模型权重或 GPU。安装 Python 依赖并配置模型凭据后，可使用 python -m webapp 启动工作台，也可以通过命令行处理单篇稿件。运行说明、输入输出示例和依赖清单随原型提供。</w:t>
      </w:r>
    </w:p>
    <w:p>
      <w:pPr>
        <w:pStyle w:val="Heading2"/>
      </w:pPr>
      <w:r>
        <w:t>4.4 内容与结构的联合检查</w:t>
      </w:r>
    </w:p>
    <w:p>
      <w:r>
        <w:t>自动检查分为四组。格式检查验证 XML 良构及 JATS DTD；关系检查验证 ID 唯一性和引用目标；资源检查验证媒体文件存在、格式可识别、字节与原稿一致；内容检查利用原稿范围和输出来源记录，核对原文去向及生成内容的依据。</w:t>
      </w:r>
    </w:p>
    <w:p>
      <w:r>
        <w:t>这套检查与语义识别互补。识别阶段建立章节、字段和关系，检查阶段验证这些结果是否构成完整、可用的成果。检查信息进一步转为编辑工作台中的具体事项，并与原稿摘录关联，形成可操作的校样入口。</w:t>
      </w:r>
    </w:p>
    <w:p>
      <w:pPr>
        <w:pStyle w:val="Heading1"/>
        <w:pageBreakBefore w:val="0"/>
      </w:pPr>
      <w:r>
        <w:t>五、原型与编辑工作流程</w:t>
      </w:r>
    </w:p>
    <w:p>
      <w:pPr>
        <w:pStyle w:val="Heading2"/>
      </w:pPr>
      <w:r>
        <w:t>5.1 一次稿件处理的操作过程</w:t>
      </w:r>
    </w:p>
    <w:p>
      <w:r>
        <w:t>编辑上传 Word，按需要补充 DOI 与期刊信息，并选择处理模型。系统识别完成后，工作台同时提供成品预览、原文核对、内容清单、合规检查和 XML 源文件五个视图。</w:t>
      </w:r>
    </w:p>
    <w:p>
      <w:r>
        <w:t>成品预览以阅读论文的方式呈现章节、图表、公式和文献，支持在结构化结果中浏览关联内容。内容清单帮助编辑检查作者、图表及文献等对象；XML 视图供技术人员核查具体标记。不同视图共用同一份转换结果，编辑无需在多个工具之间重新组织稿件。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样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　稿件校样工作台</w:t>
      </w:r>
    </w:p>
    <w:p>
      <w:pPr>
        <w:pStyle w:val="Heading2"/>
      </w:pPr>
      <w:r>
        <w:t>5.2 把复核工作定位到原稿</w:t>
      </w:r>
    </w:p>
    <w:p>
      <w:r>
        <w:t>需要核对的事项按内容组织，并给出对应的原稿摘录和处理建议。编辑可以针对具体事项记录“待核对”“已核对，保留当前结果”或“需修改后重新转换”，同时填写备注和复核人。</w:t>
      </w:r>
    </w:p>
    <w:p>
      <w:r>
        <w:t>例如，参考文献未充分拆分字段时，编辑可以对照完整著录判断是否满足交付要求；文本表格需要整理时，可以依据原稿摘录在 Word 中调整行列，再重新转换。相同原段落中的同类提示会合并呈现，减少重复阅读。</w:t>
      </w:r>
    </w:p>
    <w:p>
      <w:r>
        <w:t>复核记录与当前 XML 的文件摘要绑定，导出时注明对应版本。原稿修订、自动转换和编辑确认由此形成连续的加工过程，处理意见能够随成果交接。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346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逐项复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4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　原稿摘录与逐项复核</w:t>
      </w:r>
    </w:p>
    <w:p>
      <w:pPr>
        <w:pStyle w:val="Heading2"/>
      </w:pPr>
      <w:r>
        <w:t>5.3 统一输出与用量可见</w:t>
      </w:r>
    </w:p>
    <w:p>
      <w:r>
        <w:t>成果包包含 JATS XML、配套媒体、转换用量，以及已保存的人工复核记录。Qwen 与 DeepSeek 配置提供相同的操作界面和成果结构；本次转换的输入、输出和缓存用量在结果页展开查看，并同步进入下载包。</w:t>
      </w:r>
    </w:p>
    <w:p>
      <w:r>
        <w:t>技术方案将编辑判断安排在可定位的具体事项上：模型与程序完成结构化加工，工作台提供对照和处理入口，编辑完成专业判断与必要修订。这与期刊的稿件加工、校样确认和成果交接流程相衔接。</w:t>
      </w:r>
    </w:p>
    <w:p>
      <w:pPr>
        <w:pStyle w:val="Heading1"/>
        <w:pageBreakBefore/>
      </w:pPr>
      <w:r>
        <w:t>六、实验设计与定量结果</w:t>
      </w:r>
    </w:p>
    <w:p>
      <w:pPr>
        <w:pStyle w:val="Heading2"/>
      </w:pPr>
      <w:r>
        <w:t>6.1 实验设置与评价方法</w:t>
      </w:r>
    </w:p>
    <w:p>
      <w:r>
        <w:t>实验采用同一批学术论文 DOCX，比较 Qwen 组合配置与 DeepSeek Flash 配置。Qwen 组合的主流程使用 qwen3.7-plus，文首使用 qwen3.8-max；DeepSeek 配置使用 deepseek-flash。两组采用相同的原稿解析、语义任务、组装及检查流程，温度设为 0，关闭思考模式，单篇内部请求并发上限为 32。</w:t>
      </w:r>
    </w:p>
    <w:p>
      <w:r>
        <w:t>运行环境为 Linux x86_64、Python 3.12.7，处理器为 AMD EPYC 9334。模型通过各自服务端接口调用，本机不加载模型权重。每种配置对每篇稿件执行一次完整转换，逐篇用量与输出文件对应保存。</w:t>
      </w:r>
    </w:p>
    <w:p>
      <w:r>
        <w:t>各稿件逐篇转换，每篇使用独立的新响应目录，不复用既有模型回答。转换总耗时从程序开始处理 DOCX 计至生成 XML、媒体与检查结果，不包含上传和人工校样时间。模型服务端缓存按运行时的实际命中量记录。</w:t>
      </w:r>
    </w:p>
    <w:p>
      <w:r>
        <w:t>质量评价按内容类型展开。字段和结构以稿件内容及对应结构标注为参照，匹配前统一排版空白、内部 ID 命名和区间引文的等价表示；正文内容保留另从 DOCX 直接读取文字进行核对；原生公式直接读取 OMML 并核对输出数学树；媒体按资源字节及所属图表核对。各项分别统计正确匹配数、应有数和输出数，召回率为“正确匹配数／应有数”，精确率为“正确匹配数／输出数”。</w:t>
      </w:r>
    </w:p>
    <w:p>
      <w:r>
        <w:t>全文文字保留率按归一化后的词项及出现次数核对，包含正文、文首、表格和文献中的文字，以及进入 DOI、ORCID 等专门标签的内容。该指标与结构、公式及引用指标配合使用。Token 消耗是模型接口返回的用量，与文字保留评价中的词项统计分别计算。</w:t>
      </w:r>
    </w:p>
    <w:p>
      <w:pPr>
        <w:pStyle w:val="Heading2"/>
      </w:pPr>
      <w:r>
        <w:t>6.2 稿件组成与转换质量</w:t>
      </w:r>
    </w:p>
    <w:p>
      <w:r>
        <w:t>本组共 10 篇稿件。表1列出各篇的内容规模；图与表按论文中的逻辑对象计数，公式栏分别列出原生公式数与图像载体部件数。Word 文件中的图片大小、文献数量与排表方式各不相同，因此同时保留逐篇结果与整体汇总。</w:t>
      </w:r>
    </w:p>
    <w:p>
      <w:pPr>
        <w:pStyle w:val="Caption"/>
        <w:keepNext/>
        <w:spacing w:after="80"/>
      </w:pPr>
      <w:r>
        <w:t>表1　实验稿件的内容组成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91"/>
        <w:gridCol w:w="1134"/>
        <w:gridCol w:w="1417"/>
        <w:gridCol w:w="1191"/>
        <w:gridCol w:w="2721"/>
        <w:gridCol w:w="1304"/>
      </w:tblGrid>
      <w:tr>
        <w:trPr>
          <w:cantSplit/>
          <w:tblHeader/>
        </w:trPr>
        <w:tc>
          <w:tcPr>
            <w:tcW w:type="dxa" w:w="680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1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DOCX / MiB</w:t>
            </w:r>
          </w:p>
        </w:tc>
        <w:tc>
          <w:tcPr>
            <w:tcW w:type="dxa" w:w="1134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词项数</w:t>
            </w:r>
          </w:p>
        </w:tc>
        <w:tc>
          <w:tcPr>
            <w:tcW w:type="dxa" w:w="1417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作者 / 章节</w:t>
            </w:r>
          </w:p>
        </w:tc>
        <w:tc>
          <w:tcPr>
            <w:tcW w:type="dxa" w:w="11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图 / 表</w:t>
            </w:r>
          </w:p>
        </w:tc>
        <w:tc>
          <w:tcPr>
            <w:tcW w:type="dxa" w:w="272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公式 / 图像部件</w:t>
            </w:r>
          </w:p>
        </w:tc>
        <w:tc>
          <w:tcPr>
            <w:tcW w:type="dxa" w:w="1304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文献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01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0.79</w:t>
            </w:r>
          </w:p>
        </w:tc>
        <w:tc>
          <w:tcPr>
            <w:tcW w:type="dxa" w:w="113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12,109</w:t>
            </w:r>
          </w:p>
        </w:tc>
        <w:tc>
          <w:tcPr>
            <w:tcW w:type="dxa" w:w="1417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 / 15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 / 4</w:t>
            </w:r>
          </w:p>
        </w:tc>
        <w:tc>
          <w:tcPr>
            <w:tcW w:type="dxa" w:w="272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 / 2</w:t>
            </w:r>
          </w:p>
        </w:tc>
        <w:tc>
          <w:tcPr>
            <w:tcW w:type="dxa" w:w="130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02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2.08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11,429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 / 28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 / 8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03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36.87</w:t>
            </w:r>
          </w:p>
        </w:tc>
        <w:tc>
          <w:tcPr>
            <w:tcW w:type="dxa" w:w="113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7,950</w:t>
            </w:r>
          </w:p>
        </w:tc>
        <w:tc>
          <w:tcPr>
            <w:tcW w:type="dxa" w:w="1417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 / 19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 / 3</w:t>
            </w:r>
          </w:p>
        </w:tc>
        <w:tc>
          <w:tcPr>
            <w:tcW w:type="dxa" w:w="272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 / 0</w:t>
            </w:r>
          </w:p>
        </w:tc>
        <w:tc>
          <w:tcPr>
            <w:tcW w:type="dxa" w:w="130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04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3.25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12,314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 / 9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145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05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0.20</w:t>
            </w:r>
          </w:p>
        </w:tc>
        <w:tc>
          <w:tcPr>
            <w:tcW w:type="dxa" w:w="113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7,836</w:t>
            </w:r>
          </w:p>
        </w:tc>
        <w:tc>
          <w:tcPr>
            <w:tcW w:type="dxa" w:w="1417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 / 5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 / 14</w:t>
            </w:r>
          </w:p>
        </w:tc>
        <w:tc>
          <w:tcPr>
            <w:tcW w:type="dxa" w:w="272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S01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0.49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6,763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 / 20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 / 5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S02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2.05</w:t>
            </w:r>
          </w:p>
        </w:tc>
        <w:tc>
          <w:tcPr>
            <w:tcW w:type="dxa" w:w="113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11,653</w:t>
            </w:r>
          </w:p>
        </w:tc>
        <w:tc>
          <w:tcPr>
            <w:tcW w:type="dxa" w:w="1417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 / 25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 / 2</w:t>
            </w:r>
          </w:p>
        </w:tc>
        <w:tc>
          <w:tcPr>
            <w:tcW w:type="dxa" w:w="272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S03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2.58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8,019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 / 17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 / 1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S04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8.39</w:t>
            </w:r>
          </w:p>
        </w:tc>
        <w:tc>
          <w:tcPr>
            <w:tcW w:type="dxa" w:w="113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7,819</w:t>
            </w:r>
          </w:p>
        </w:tc>
        <w:tc>
          <w:tcPr>
            <w:tcW w:type="dxa" w:w="1417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 / 14</w:t>
            </w:r>
          </w:p>
        </w:tc>
        <w:tc>
          <w:tcPr>
            <w:tcW w:type="dxa" w:w="11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 / 3</w:t>
            </w:r>
          </w:p>
        </w:tc>
        <w:tc>
          <w:tcPr>
            <w:tcW w:type="dxa" w:w="272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3.17</w:t>
            </w:r>
          </w:p>
        </w:tc>
        <w:tc>
          <w:tcPr>
            <w:tcW w:type="dxa" w:w="113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7,155</w:t>
            </w:r>
          </w:p>
        </w:tc>
        <w:tc>
          <w:tcPr>
            <w:tcW w:type="dxa" w:w="1417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 / 15</w:t>
            </w:r>
          </w:p>
        </w:tc>
        <w:tc>
          <w:tcPr>
            <w:tcW w:type="dxa" w:w="11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 / 3</w:t>
            </w:r>
          </w:p>
        </w:tc>
        <w:tc>
          <w:tcPr>
            <w:tcW w:type="dxa" w:w="272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 / 0</w:t>
            </w:r>
          </w:p>
        </w:tc>
        <w:tc>
          <w:tcPr>
            <w:tcW w:type="dxa" w:w="130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</w:t>
            </w:r>
          </w:p>
        </w:tc>
      </w:tr>
    </w:tbl>
    <w:p/>
    <w:p>
      <w:pPr>
        <w:pStyle w:val="Caption"/>
        <w:keepNext/>
        <w:spacing w:after="80"/>
      </w:pPr>
      <w:r>
        <w:t>表2　全文分项结构结果（单元格为“正确匹配数 / 输出数；召回率”）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850"/>
        <w:gridCol w:w="2891"/>
        <w:gridCol w:w="2891"/>
      </w:tblGrid>
      <w:tr>
        <w:trPr>
          <w:cantSplit/>
          <w:tblHeader/>
        </w:trPr>
        <w:tc>
          <w:tcPr>
            <w:tcW w:type="dxa" w:w="3005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850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应有数</w:t>
            </w:r>
          </w:p>
        </w:tc>
        <w:tc>
          <w:tcPr>
            <w:tcW w:type="dxa" w:w="28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Qwen 组合</w:t>
            </w:r>
          </w:p>
        </w:tc>
        <w:tc>
          <w:tcPr>
            <w:tcW w:type="dxa" w:w="28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DeepSeek Flash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题名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 / 10；100.00%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 / 10；100.00%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作者姓名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 / 64；100.00%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作者顺序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 / 64；100.00%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 / 64；100.00%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作者单位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36 / 36；100.00%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36 / 36；100.00%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作者—单位关系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106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106 / 106；100.00%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106 / 106；100.00%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通讯作者—邮箱关系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17 / 17；100.00%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17 / 17；100.00%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作者—ORCID 关系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38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38 / 38；100.00%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38 / 38；100.00%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稿件日期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 / 26；100.00%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摘要内容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 / 12；100.00%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摘要分段与分节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 / 12；100.00%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 / 12；100.00%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关键词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 / 50；100.00%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 / 50；100.00%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章节层级与标题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 / 167；100.00%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章节顺序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 / 167；100.00%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167 / 167；100.00%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术语—释义条目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62 / 62；100.00%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62 / 62；100.00%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文末声明与附属章节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 / 57；100.00%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 / 57；100.00%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图对象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 / 35；100.00%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图注内容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 / 35；100.00%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 / 35；100.00%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表对象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 / 46；100.00%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表题内容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 / 46；100.00%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 / 46；100.00%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表注内容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33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31 / 33；93.94%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31 / 33；93.94%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表格网格位置与内容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2,922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2,260 / 2,375；77.34%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2,725 / 2,791；93.26%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图片资源及图表归属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 / 48；100.00%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 / 48；100.00%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原生公式数学树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 / 26；100.00%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26 / 26；100.00%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公式图片资源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 / 2；100.00%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 / 2；100.00%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参考文献条目覆盖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525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525 / 525；100.00%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525 / 525；100.00%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文献著录字段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3,188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3,158 / 3,168；99.06%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3,087 / 3,097；96.83%</w:t>
            </w:r>
          </w:p>
        </w:tc>
      </w:tr>
      <w:tr>
        <w:trPr>
          <w:cantSplit/>
        </w:trPr>
        <w:tc>
          <w:tcPr>
            <w:tcW w:type="dxa" w:w="300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正文—文献引用关系</w:t>
            </w:r>
          </w:p>
        </w:tc>
        <w:tc>
          <w:tcPr>
            <w:tcW w:type="dxa" w:w="85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817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755 / 799；92.41%</w:t>
            </w:r>
          </w:p>
        </w:tc>
        <w:tc>
          <w:tcPr>
            <w:tcW w:type="dxa" w:w="28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769 / 813；94.12%</w:t>
            </w:r>
          </w:p>
        </w:tc>
      </w:tr>
      <w:tr>
        <w:trPr>
          <w:cantSplit/>
        </w:trPr>
        <w:tc>
          <w:tcPr>
            <w:tcW w:type="dxa" w:w="300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正文—图表引用关系</w:t>
            </w:r>
          </w:p>
        </w:tc>
        <w:tc>
          <w:tcPr>
            <w:tcW w:type="dxa" w:w="85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108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108 / 108；100.00%</w:t>
            </w:r>
          </w:p>
        </w:tc>
        <w:tc>
          <w:tcPr>
            <w:tcW w:type="dxa" w:w="28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108 / 108；100.00%</w:t>
            </w:r>
          </w:p>
        </w:tc>
      </w:tr>
    </w:tbl>
    <w:p/>
    <w:p>
      <w:r>
        <w:t>正确匹配数与输出数之比即精确率；召回率反映应有内容中得到正确结构化表示的比例。文献字段包括作者名单、题名、刊名、年份、卷期、页码或文章位置、DOI、PMID及出版者；同一语义字段的标签分拆与等价写法先统一，再进行匹配。引用关系在对齐的可见段落和字符位置上核对实际目标，区间引用展开为各条目标关系。</w:t>
      </w:r>
    </w:p>
    <w:p>
      <w:pPr>
        <w:pStyle w:val="Caption"/>
        <w:keepNext/>
        <w:spacing w:after="80"/>
      </w:pPr>
      <w:r>
        <w:t>表3　整体内容保留与标准符合性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Qwen 组合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DeepSeek Flash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全文文字保留率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99.73%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99.71%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JATS DTD 合法文档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10 / 10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10 / 10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已导出媒体的原字节一致性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 / 50</w:t>
            </w:r>
          </w:p>
        </w:tc>
        <w:tc>
          <w:tcPr>
            <w:tcW w:type="dxa" w:w="306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 / 50</w:t>
            </w:r>
          </w:p>
        </w:tc>
      </w:tr>
    </w:tbl>
    <w:p/>
    <w:p>
      <w:r>
        <w:t>分项结果区分了内容保留与结构加工：表题和表对象识别后，还需核对单元格的行列归属；文献条目保留后，还需考察各著录字段与正文引用。编辑工作台据此提供原稿对照和具体核对入口，将自动加工与校样处理连接起来。</w:t>
      </w:r>
    </w:p>
    <w:p>
      <w:pPr>
        <w:pStyle w:val="Heading2"/>
      </w:pPr>
      <w:r>
        <w:t>6.3 转换耗时与本机资源占用</w:t>
      </w:r>
    </w:p>
    <w:p>
      <w:pPr>
        <w:pStyle w:val="Caption"/>
        <w:keepNext/>
        <w:spacing w:after="80"/>
      </w:pPr>
      <w:r>
        <w:t>表4　逐篇转换耗时及实际模型请求次数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211"/>
        <w:gridCol w:w="2211"/>
        <w:gridCol w:w="2211"/>
        <w:gridCol w:w="2211"/>
      </w:tblGrid>
      <w:tr>
        <w:trPr>
          <w:cantSplit/>
          <w:tblHeader/>
        </w:trPr>
        <w:tc>
          <w:tcPr>
            <w:tcW w:type="dxa" w:w="794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1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Qwen / 秒</w:t>
            </w:r>
          </w:p>
        </w:tc>
        <w:tc>
          <w:tcPr>
            <w:tcW w:type="dxa" w:w="221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DeepSeek / 秒</w:t>
            </w:r>
          </w:p>
        </w:tc>
        <w:tc>
          <w:tcPr>
            <w:tcW w:type="dxa" w:w="221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Qwen 请求数</w:t>
            </w:r>
          </w:p>
        </w:tc>
        <w:tc>
          <w:tcPr>
            <w:tcW w:type="dxa" w:w="221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DeepSeek 请求数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01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100.78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29.70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51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145.92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340.24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86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03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87.98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29.19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429.68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52.30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159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05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225.19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31.60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58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61.87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13.03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S02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86.72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25.48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59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S03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46.50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19.86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S04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77.67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21.77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52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96.65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19.49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</w:t>
            </w:r>
          </w:p>
        </w:tc>
      </w:tr>
      <w:tr>
        <w:trPr>
          <w:cantSplit/>
        </w:trPr>
        <w:tc>
          <w:tcPr>
            <w:tcW w:type="dxa" w:w="794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平均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135.90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58.27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—</w:t>
            </w:r>
          </w:p>
        </w:tc>
        <w:tc>
          <w:tcPr>
            <w:tcW w:type="dxa" w:w="221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中位数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92.31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27.34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—</w:t>
            </w:r>
          </w:p>
        </w:tc>
        <w:tc>
          <w:tcPr>
            <w:tcW w:type="dxa" w:w="221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—</w:t>
            </w:r>
          </w:p>
        </w:tc>
      </w:tr>
    </w:tbl>
    <w:p/>
    <w:p>
      <w:r>
        <w:t>在本组稿件及运行条件下，DeepSeek Flash 的平均转换时间为 Qwen 组合的 42.9%，平均耗时缩短 57.1%。该比较使用相同的转换流程和并发上限，体现两种模型配置在本任务中的整体处理差异。</w:t>
      </w:r>
    </w:p>
    <w:p>
      <w:r>
        <w:t>本机资源仅统计转换进程。CPU 时间为用户态与内核态耗时之和；驻留内存以 0.1 秒间隔采样，取每篇执行期间的峰值。模型推理在服务端完成，本机数据对应文档解析、请求编排、生成及检查。</w:t>
      </w:r>
    </w:p>
    <w:p>
      <w:pPr>
        <w:pStyle w:val="Caption"/>
        <w:keepNext/>
        <w:spacing w:after="80"/>
      </w:pPr>
      <w:r>
        <w:t>表5　本机资源与请求汇总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061"/>
        <w:gridCol w:w="3061"/>
      </w:tblGrid>
      <w:tr>
        <w:trPr>
          <w:cantSplit/>
          <w:tblHeader/>
        </w:trPr>
        <w:tc>
          <w:tcPr>
            <w:tcW w:type="dxa" w:w="3515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Qwen 组合</w:t>
            </w:r>
          </w:p>
        </w:tc>
        <w:tc>
          <w:tcPr>
            <w:tcW w:type="dxa" w:w="306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DeepSeek Flash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平均 CPU 时间 / 秒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9.55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23.85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单篇驻留内存峰值范围 / MiB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162.0–270.1</w:t>
            </w:r>
          </w:p>
        </w:tc>
        <w:tc>
          <w:tcPr>
            <w:tcW w:type="dxa" w:w="3061"/>
            <w:shd w:fill="FFFFFF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160.1–273.7</w:t>
            </w:r>
          </w:p>
        </w:tc>
      </w:tr>
      <w:tr>
        <w:trPr>
          <w:cantSplit/>
        </w:trPr>
        <w:tc>
          <w:tcPr>
            <w:tcW w:type="dxa" w:w="3515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模型请求总次数（含重试）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648</w:t>
            </w:r>
          </w:p>
        </w:tc>
        <w:tc>
          <w:tcPr>
            <w:tcW w:type="dxa" w:w="3061"/>
            <w:shd w:fill="EDF4F2"/>
          </w:tcPr>
          <w:p>
            <w:pPr>
              <w:keepNext/>
              <w:spacing w:after="60"/>
            </w:pPr>
            <w:r>
              <w:rPr>
                <w:b w:val="0"/>
                <w:color w:val="173B3D"/>
                <w:sz w:val="18"/>
              </w:rPr>
              <w:t>644</w:t>
            </w:r>
          </w:p>
        </w:tc>
      </w:tr>
      <w:tr>
        <w:trPr>
          <w:cantSplit/>
        </w:trPr>
        <w:tc>
          <w:tcPr>
            <w:tcW w:type="dxa" w:w="3515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限流重试次数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</w:t>
            </w:r>
          </w:p>
        </w:tc>
        <w:tc>
          <w:tcPr>
            <w:tcW w:type="dxa" w:w="306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</w:t>
            </w:r>
          </w:p>
        </w:tc>
      </w:tr>
    </w:tbl>
    <w:p/>
    <w:p>
      <w:pPr>
        <w:pStyle w:val="Heading2"/>
      </w:pPr>
      <w:r>
        <w:t>6.4 模型 Token 消耗</w:t>
      </w:r>
    </w:p>
    <w:p>
      <w:r>
        <w:t>以下计量汇总本次转换中实际发生的请求，包含文首专用模型与限次重试。输入总量等于缓存命中与缓存未命中之和，总量为输入与输出之和；缓存命中已包含在输入中，不再重复相加。所有数值均以 Token 为单位。</w:t>
      </w:r>
    </w:p>
    <w:p>
      <w:pPr>
        <w:pStyle w:val="Caption"/>
        <w:keepNext/>
        <w:spacing w:after="80"/>
      </w:pPr>
      <w:r>
        <w:t>表6　Qwen 组合逐篇用量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791"/>
        <w:gridCol w:w="1791"/>
        <w:gridCol w:w="1791"/>
        <w:gridCol w:w="1791"/>
        <w:gridCol w:w="1791"/>
      </w:tblGrid>
      <w:tr>
        <w:trPr>
          <w:cantSplit/>
          <w:tblHeader/>
        </w:trPr>
        <w:tc>
          <w:tcPr>
            <w:tcW w:type="dxa" w:w="680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缓存命中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缓存未命中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总量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516,193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62,357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86,016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430,177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578,550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600,588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135,549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327,936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272,652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736,137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03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498,410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79,729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323,968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174,442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578,139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04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1,004,845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245,682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302,080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702,765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1,250,527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05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536,634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119,681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77,824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458,810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656,315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445,859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48,550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58,368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387,491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494,409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741,947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74,968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551,296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190,651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816,915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S03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532,232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35,241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324,992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207,240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567,473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469,350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62,876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304,256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165,094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532,226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469,473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63,546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304,256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165,217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533,019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合计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5,815,531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928,179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2,660,992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3,154,539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6,743,710</w:t>
            </w:r>
          </w:p>
        </w:tc>
      </w:tr>
    </w:tbl>
    <w:p/>
    <w:p>
      <w:pPr>
        <w:pStyle w:val="Caption"/>
        <w:keepNext/>
        <w:spacing w:after="80"/>
      </w:pPr>
      <w:r>
        <w:t>表7　DeepSeek Flash逐篇用量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791"/>
        <w:gridCol w:w="1791"/>
        <w:gridCol w:w="1791"/>
        <w:gridCol w:w="1791"/>
        <w:gridCol w:w="1791"/>
      </w:tblGrid>
      <w:tr>
        <w:trPr>
          <w:cantSplit/>
          <w:tblHeader/>
        </w:trPr>
        <w:tc>
          <w:tcPr>
            <w:tcW w:type="dxa" w:w="680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缓存命中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缓存未命中</w:t>
            </w:r>
          </w:p>
        </w:tc>
        <w:tc>
          <w:tcPr>
            <w:tcW w:type="dxa" w:w="1791"/>
            <w:shd w:fill="164D50"/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总量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478,304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66,017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467,446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10,858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544,321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572,893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327,078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556,149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16,744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899,971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03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462,398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76,320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448,991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13,407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538,718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04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844,251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177,495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813,231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31,020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1,021,746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05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493,241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73,263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483,189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10,052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566,504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S01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410,265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41,235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403,067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7,198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451,500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683,649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70,606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673,004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10,645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754,255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S03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474,720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39,539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468,093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6,627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514,259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452,484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63,363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441,968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10,516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515,847</w:t>
            </w:r>
          </w:p>
        </w:tc>
      </w:tr>
      <w:tr>
        <w:trPr>
          <w:cantSplit/>
        </w:trPr>
        <w:tc>
          <w:tcPr>
            <w:tcW w:type="dxa" w:w="680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S05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430,137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59,002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420,072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10,065</w:t>
            </w:r>
          </w:p>
        </w:tc>
        <w:tc>
          <w:tcPr>
            <w:tcW w:type="dxa" w:w="1791"/>
            <w:shd w:fill="FFFFFF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489,139</w:t>
            </w:r>
          </w:p>
        </w:tc>
      </w:tr>
      <w:tr>
        <w:trPr>
          <w:cantSplit/>
        </w:trPr>
        <w:tc>
          <w:tcPr>
            <w:tcW w:type="dxa" w:w="680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合计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5,302,342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993,918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5,175,210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127,132</w:t>
            </w:r>
          </w:p>
        </w:tc>
        <w:tc>
          <w:tcPr>
            <w:tcW w:type="dxa" w:w="1791"/>
            <w:shd w:fill="EDF4F2"/>
          </w:tcPr>
          <w:p>
            <w:pPr>
              <w:spacing w:after="60"/>
            </w:pPr>
            <w:r>
              <w:rPr>
                <w:b w:val="0"/>
                <w:color w:val="173B3D"/>
                <w:sz w:val="18"/>
              </w:rPr>
              <w:t>6,296,260</w:t>
            </w:r>
          </w:p>
        </w:tc>
      </w:tr>
    </w:tbl>
    <w:p/>
    <w:p>
      <w:r>
        <w:t>两种接口在本次响应中均未返回费用金额，表中报告实际 Token 用量。</w:t>
      </w:r>
    </w:p>
    <w:p>
      <w:r>
        <w:t>用量差异与分词规则、各任务的输出长度及发生的重试有关。模型配置的选择因此同时参考分项结构质量、逐篇时间和输入输出规模；工作台以统一字段呈现这些信息，操作流程与成果格式保持一致。</w:t>
      </w:r>
    </w:p>
    <w:p>
      <w:pPr>
        <w:pStyle w:val="Heading2"/>
      </w:pPr>
      <w:r>
        <w:t>6.5 技术价值与应用方式</w:t>
      </w:r>
    </w:p>
    <w:p>
      <w:r>
        <w:t>word2jats 将学术论文转换组织为语义识别、原文取回、标准生成和编辑校样的连续流程。源位置表示贯穿内容组装与原稿核对；多任务并行缩短无依赖步骤之间的等待；统一模型适配和用量统计为运行配置选择提供依据。</w:t>
      </w:r>
    </w:p>
    <w:p>
      <w:r>
        <w:t>输出 XML 与媒体可以作为后续排版、内容检索和出版系统集成的基础，网页原型则提供面向编辑的直接使用入口。项目的应用价值体现在将整篇稿件的重复标注工作自动化，并将专业判断保留在有原稿依据、可记录和可交接的编辑环节中。</w:t>
      </w:r>
    </w:p>
    <w:p>
      <w:pPr>
        <w:pStyle w:val="Heading2"/>
      </w:pPr>
      <w:r>
        <w:t>使用的标准与组件</w:t>
      </w:r>
    </w:p>
    <w:p>
      <w:r>
        <w:t>输出依据 NLM 发布的 JATS Journal Publishing 1.3 标签库与 DTD。公式转换采用 OMML2MML 样式表；校样预览采用 JATS Preview Stylesheets；XML 处理、文档解析、图片处理与网页服务使用 lxml、python-docx、Pillow 和 FastAPI 等组件。团队实现原稿记录与语义组织、模型任务编排、原文定位组装、内容与关系检查，以及编辑校样工作台。第三方资源的许可说明随源码保留。</w:t>
      </w:r>
    </w:p>
    <w:p>
      <w:pPr>
        <w:pStyle w:val="ListBullet"/>
      </w:pPr>
      <w:r>
        <w:t>JATS Journal Publishing 1.3 标签库（https://jats.nlm.nih.gov/publishing/tag-library/1.3/）</w:t>
      </w:r>
    </w:p>
    <w:p>
      <w:pPr>
        <w:pStyle w:val="ListBullet"/>
      </w:pPr>
      <w:r>
        <w:t>DeepSeek Chat Completions API（https://api-docs.deepseek.com/api/create-chat-completion/）</w:t>
      </w:r>
    </w:p>
    <w:p>
      <w:pPr>
        <w:pStyle w:val="ListBullet"/>
      </w:pPr>
      <w:r>
        <w:t>千问上下文缓存与用量字段（https://help.aliyun.com/zh/model-studio/context-cache）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304" w:left="1134" w:header="369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JiangLab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JiangLab   /   word2jats                                      决赛技术方案说明书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283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D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4D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word2jats 技术方案说明书</dc:title>
  <dc:subject/>
  <dc:creator>JiangLab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