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1062" w14:textId="77777777" w:rsidR="00583B77" w:rsidRDefault="00583B77" w:rsidP="00583B77">
      <w:pPr>
        <w:spacing w:line="480" w:lineRule="auto"/>
        <w:jc w:val="distribute"/>
        <w:rPr>
          <w:b/>
          <w:bCs/>
          <w:color w:val="000000" w:themeColor="text1"/>
          <w:sz w:val="32"/>
          <w:szCs w:val="32"/>
        </w:rPr>
      </w:pPr>
      <w:r w:rsidRPr="00583B77">
        <w:rPr>
          <w:b/>
          <w:bCs/>
          <w:color w:val="000000" w:themeColor="text1"/>
          <w:sz w:val="32"/>
          <w:szCs w:val="32"/>
        </w:rPr>
        <w:t>Python Script: Conformational Entropy from MD Trajectory</w:t>
      </w:r>
    </w:p>
    <w:p w14:paraId="6716558B" w14:textId="77777777" w:rsidR="00583B77" w:rsidRDefault="00583B77" w:rsidP="00583B77">
      <w:pPr>
        <w:spacing w:line="480" w:lineRule="auto"/>
        <w:jc w:val="distribute"/>
        <w:rPr>
          <w:b/>
          <w:bCs/>
          <w:color w:val="000000" w:themeColor="text1"/>
          <w:sz w:val="32"/>
          <w:szCs w:val="32"/>
        </w:rPr>
      </w:pPr>
    </w:p>
    <w:p w14:paraId="6CE8746C" w14:textId="77777777" w:rsidR="00583B77" w:rsidRDefault="00583B77" w:rsidP="00583B77">
      <w:pPr>
        <w:rPr>
          <w:color w:val="000000" w:themeColor="text1"/>
        </w:rPr>
      </w:pPr>
      <w:r>
        <w:rPr>
          <w:rFonts w:hint="eastAsia"/>
          <w:color w:val="000000" w:themeColor="text1"/>
        </w:rPr>
        <w:t>Deng Hu, Hang Luo, Dou Zhang</w:t>
      </w:r>
    </w:p>
    <w:p w14:paraId="6A169ACD" w14:textId="77777777" w:rsidR="00583B77" w:rsidRPr="00583B77" w:rsidRDefault="00583B77" w:rsidP="00583B77">
      <w:pPr>
        <w:spacing w:line="480" w:lineRule="auto"/>
        <w:jc w:val="center"/>
        <w:rPr>
          <w:b/>
          <w:bCs/>
          <w:color w:val="000000" w:themeColor="text1"/>
          <w:sz w:val="32"/>
          <w:szCs w:val="32"/>
        </w:rPr>
      </w:pPr>
    </w:p>
    <w:p w14:paraId="02374473" w14:textId="2975B343" w:rsidR="00583B77" w:rsidRPr="00583B77" w:rsidRDefault="00583B77" w:rsidP="00583B77">
      <w:pPr>
        <w:rPr>
          <w:color w:val="000000" w:themeColor="text1"/>
        </w:rPr>
      </w:pPr>
      <w:r w:rsidRPr="00583B77">
        <w:rPr>
          <w:color w:val="000000" w:themeColor="text1"/>
        </w:rPr>
        <w:t>The Cartesian coordinate-based conformational entropy was calculated from atomic trajectories obtained by molecular dynamics (MD) simulations. In polymers, changing monomer occupancy from a single component to random occupation diversifies the local chemical environment and introduces geometric and electronic mismatch. However, such sequence perturbation does not automatically lead to an entropy increase. Instead, the outcome depends on the structural characteristics of the modified unit, particularly its ability to regulate segmental torsional freedom, steric hindrance, and local charge–environment matching. Bridge units that more effectively disrupt regular packing and roughen the conformational energy landscape can expand the accessible conformational space and disperse collective fluctuations, thereby increasing conformational entropy.</w:t>
      </w:r>
    </w:p>
    <w:p w14:paraId="2AF3FAB1" w14:textId="60F21005" w:rsidR="00583B77" w:rsidRDefault="00583B77" w:rsidP="00583B77">
      <w:pPr>
        <w:rPr>
          <w:color w:val="000000" w:themeColor="text1"/>
        </w:rPr>
      </w:pPr>
      <w:r w:rsidRPr="00583B77">
        <w:rPr>
          <w:color w:val="000000" w:themeColor="text1"/>
        </w:rPr>
        <w:t>Conformational entropy was used to quantify the number of accessible chain conformations and the breadth of their distribution. Under the same temperature and analysis protocol, a higher conformational entropy generally indicates a larger accessible conformational space and a higher degree of conformational disorder. Two entropy descriptors based on the covariance matrix of thermally induced atomic coordinate fluctuations were employed, namely the Schlitter upper-bound entropy, S</w:t>
      </w:r>
      <w:r w:rsidRPr="00583B77">
        <w:rPr>
          <w:color w:val="000000" w:themeColor="text1"/>
          <w:vertAlign w:val="subscript"/>
        </w:rPr>
        <w:t>chl</w:t>
      </w:r>
      <w:r w:rsidRPr="00583B77">
        <w:rPr>
          <w:color w:val="000000" w:themeColor="text1"/>
        </w:rPr>
        <w:t>, and the quasi-harmonic entropy, S</w:t>
      </w:r>
      <w:r w:rsidRPr="00583B77">
        <w:rPr>
          <w:color w:val="000000" w:themeColor="text1"/>
          <w:vertAlign w:val="subscript"/>
        </w:rPr>
        <w:t>QH</w:t>
      </w:r>
      <w:r w:rsidRPr="00583B77">
        <w:rPr>
          <w:color w:val="000000" w:themeColor="text1"/>
        </w:rPr>
        <w:t>. Both quantities were evaluated using the same trajectory preprocessing procedure and the same atom-selection criteria to ensure direct comparability among different polymers. The attached .txt file provides a Python-ready script for the calculation, while the trajectory files required for analysis should be exported separately from Materials Studio simulations.</w:t>
      </w:r>
    </w:p>
    <w:p w14:paraId="6CE5343C" w14:textId="77777777" w:rsidR="00583B77" w:rsidRPr="00BB6A5C" w:rsidRDefault="00583B77" w:rsidP="00583B77">
      <w:pPr>
        <w:rPr>
          <w:b/>
          <w:bCs/>
          <w:color w:val="000000" w:themeColor="text1"/>
        </w:rPr>
      </w:pPr>
      <w:r w:rsidRPr="00E750BA">
        <w:rPr>
          <w:b/>
          <w:bCs/>
          <w:color w:val="000000" w:themeColor="text1"/>
        </w:rPr>
        <w:t>(</w:t>
      </w:r>
      <w:r w:rsidRPr="00BB6A5C">
        <w:rPr>
          <w:b/>
          <w:bCs/>
          <w:color w:val="000000" w:themeColor="text1"/>
        </w:rPr>
        <w:t>1) Trajectory Selection and Preprocessing</w:t>
      </w:r>
    </w:p>
    <w:p w14:paraId="3011DD21" w14:textId="77777777" w:rsidR="00583B77" w:rsidRPr="00BB6A5C" w:rsidRDefault="00583B77" w:rsidP="00583B77">
      <w:pPr>
        <w:rPr>
          <w:color w:val="000000" w:themeColor="text1"/>
        </w:rPr>
      </w:pPr>
      <w:r w:rsidRPr="00BB6A5C">
        <w:rPr>
          <w:color w:val="000000" w:themeColor="text1"/>
        </w:rPr>
        <w:t xml:space="preserve">The equilibrated production trajectories, for which both the density and total energy had reached stable plateaus, were selected for statistical analysis. To eliminate the </w:t>
      </w:r>
      <w:r w:rsidRPr="00BB6A5C">
        <w:rPr>
          <w:color w:val="000000" w:themeColor="text1"/>
        </w:rPr>
        <w:lastRenderedPageBreak/>
        <w:t>influence of overall translation and rotation on the covariance statistics, each frame was rigidly aligned to a reference structure using the Kabsch least-squares algorithm by minimizing the root-mean-square deviation (RMSD). The same atom-selection rule and chain-segment definition were adopted for all samples to ensure meaningful comparison. In this study, the full atomic set, including hydrogen atoms, was used for the entropy analysis.</w:t>
      </w:r>
    </w:p>
    <w:p w14:paraId="385D143B" w14:textId="77777777" w:rsidR="00583B77" w:rsidRPr="00BB6A5C" w:rsidRDefault="00583B77" w:rsidP="00583B77">
      <w:pPr>
        <w:rPr>
          <w:b/>
          <w:bCs/>
          <w:color w:val="000000" w:themeColor="text1"/>
        </w:rPr>
      </w:pPr>
      <w:r w:rsidRPr="00E750BA">
        <w:rPr>
          <w:b/>
          <w:bCs/>
          <w:color w:val="000000" w:themeColor="text1"/>
        </w:rPr>
        <w:t>(</w:t>
      </w:r>
      <w:r w:rsidRPr="00BB6A5C">
        <w:rPr>
          <w:b/>
          <w:bCs/>
          <w:color w:val="000000" w:themeColor="text1"/>
        </w:rPr>
        <w:t>2) Mass-Weighted Covariance Matrix</w:t>
      </w:r>
    </w:p>
    <w:p w14:paraId="65DDDBB8" w14:textId="77777777" w:rsidR="00583B77" w:rsidRPr="00BB6A5C" w:rsidRDefault="00583B77" w:rsidP="00583B77">
      <w:pPr>
        <w:rPr>
          <w:color w:val="000000" w:themeColor="text1"/>
        </w:rPr>
      </w:pPr>
      <w:r w:rsidRPr="00BB6A5C">
        <w:rPr>
          <w:color w:val="000000" w:themeColor="text1"/>
        </w:rPr>
        <w:t xml:space="preserve">For a selected set of </w:t>
      </w:r>
      <w:r>
        <w:rPr>
          <w:rFonts w:hint="eastAsia"/>
          <w:color w:val="000000" w:themeColor="text1"/>
        </w:rPr>
        <w:t xml:space="preserve">N </w:t>
      </w:r>
      <w:r w:rsidRPr="00BB6A5C">
        <w:rPr>
          <w:color w:val="000000" w:themeColor="text1"/>
        </w:rPr>
        <w:t xml:space="preserve">atoms, the Cartesian coordinates of frame </w:t>
      </w:r>
      <w:r>
        <w:rPr>
          <w:rFonts w:hint="eastAsia"/>
          <w:color w:val="000000" w:themeColor="text1"/>
        </w:rPr>
        <w:t xml:space="preserve">t </w:t>
      </w:r>
      <w:r w:rsidRPr="00BB6A5C">
        <w:rPr>
          <w:color w:val="000000" w:themeColor="text1"/>
        </w:rPr>
        <w:t xml:space="preserve">were reshaped into a </w:t>
      </w:r>
      <w:r w:rsidRPr="00E750BA">
        <w:rPr>
          <w:i/>
          <w:iCs/>
          <w:color w:val="000000" w:themeColor="text1"/>
        </w:rPr>
        <w:t>3N</w:t>
      </w:r>
      <w:r w:rsidRPr="00BB6A5C">
        <w:rPr>
          <w:color w:val="000000" w:themeColor="text1"/>
        </w:rPr>
        <w:t xml:space="preserve">-dimensional vector, </w:t>
      </w:r>
      <w:r w:rsidRPr="00E750BA">
        <w:rPr>
          <w:b/>
          <w:bCs/>
          <w:i/>
          <w:iCs/>
          <w:color w:val="000000" w:themeColor="text1"/>
        </w:rPr>
        <w:t>x</w:t>
      </w:r>
      <w:r w:rsidRPr="00E750BA">
        <w:rPr>
          <w:i/>
          <w:iCs/>
          <w:color w:val="000000" w:themeColor="text1"/>
        </w:rPr>
        <w:t>(t)</w:t>
      </w:r>
      <w:r w:rsidRPr="00BB6A5C">
        <w:rPr>
          <w:color w:val="000000" w:themeColor="text1"/>
        </w:rPr>
        <w:t xml:space="preserve"> The mass-weighted coordinate vector was then defined as</w:t>
      </w:r>
    </w:p>
    <w:p w14:paraId="0B431C35" w14:textId="5274DE71" w:rsidR="00583B77" w:rsidRPr="00E750BA" w:rsidRDefault="00583B77" w:rsidP="00583B77">
      <w:pPr>
        <w:pStyle w:val="ae"/>
        <w:rPr>
          <w:rFonts w:ascii="Times New Roman" w:hAnsi="Times New Roman"/>
        </w:rPr>
      </w:pPr>
      <w:r>
        <w:rPr>
          <w:rFonts w:ascii="Times New Roman" w:hAnsi="Times New Roman"/>
          <w:b/>
          <w:i w:val="0"/>
        </w:rPr>
        <w:tab/>
      </w:r>
      <m:oMath>
        <m:r>
          <m:rPr>
            <m:sty m:val="bi"/>
          </m:rPr>
          <m:t>y</m:t>
        </m:r>
        <m:r>
          <m:t>(t)=</m:t>
        </m:r>
        <m:sSup>
          <m:sSupPr>
            <m:ctrlPr/>
          </m:sSupPr>
          <m:e>
            <m:r>
              <m:rPr>
                <m:sty m:val="bi"/>
              </m:rPr>
              <m:t>M</m:t>
            </m:r>
          </m:e>
          <m:sup>
            <m:r>
              <m:t>1/2</m:t>
            </m:r>
          </m:sup>
        </m:sSup>
        <m:r>
          <m:rPr>
            <m:sty m:val="bi"/>
          </m:rPr>
          <m:t>x</m:t>
        </m:r>
        <m:r>
          <m:t>(t)</m:t>
        </m:r>
      </m:oMath>
      <w:r>
        <w:rPr>
          <w:rFonts w:ascii="Times New Roman" w:hAnsi="Times New Roman"/>
          <w:i w:val="0"/>
        </w:rPr>
        <w:tab/>
      </w:r>
      <w:r>
        <w:rPr>
          <w:rFonts w:ascii="Times New Roman" w:hAnsi="Times New Roman" w:hint="eastAsia"/>
          <w:i w:val="0"/>
        </w:rPr>
        <w:t>(1)</w:t>
      </w:r>
    </w:p>
    <w:p w14:paraId="289DC21F" w14:textId="77777777" w:rsidR="00583B77" w:rsidRPr="00BB6A5C" w:rsidRDefault="00583B77" w:rsidP="00583B77">
      <w:pPr>
        <w:rPr>
          <w:color w:val="000000" w:themeColor="text1"/>
        </w:rPr>
      </w:pPr>
      <w:r w:rsidRPr="00BB6A5C">
        <w:rPr>
          <w:color w:val="000000" w:themeColor="text1"/>
        </w:rPr>
        <w:t>where</w:t>
      </w:r>
      <w:r w:rsidRPr="00E750BA">
        <w:rPr>
          <w:color w:val="000000" w:themeColor="text1"/>
        </w:rPr>
        <w:t xml:space="preserve"> M </w:t>
      </w:r>
      <w:r w:rsidRPr="00BB6A5C">
        <w:rPr>
          <w:color w:val="000000" w:themeColor="text1"/>
        </w:rPr>
        <w:t xml:space="preserve">is the </w:t>
      </w:r>
      <w:r w:rsidRPr="00E750BA">
        <w:rPr>
          <w:i/>
          <w:iCs/>
          <w:color w:val="000000" w:themeColor="text1"/>
        </w:rPr>
        <w:t>3N×3N</w:t>
      </w:r>
      <w:r w:rsidRPr="00E750BA">
        <w:rPr>
          <w:color w:val="000000" w:themeColor="text1"/>
        </w:rPr>
        <w:t xml:space="preserve"> </w:t>
      </w:r>
      <w:r w:rsidRPr="00BB6A5C">
        <w:rPr>
          <w:color w:val="000000" w:themeColor="text1"/>
        </w:rPr>
        <w:t xml:space="preserve">diagonal mass matrix, in which the atomic mass of each atom is repeated along the </w:t>
      </w:r>
      <w:r w:rsidRPr="00E750BA">
        <w:rPr>
          <w:i/>
          <w:iCs/>
          <w:color w:val="000000" w:themeColor="text1"/>
        </w:rPr>
        <w:t>x</w:t>
      </w:r>
      <w:r w:rsidRPr="00BB6A5C">
        <w:rPr>
          <w:color w:val="000000" w:themeColor="text1"/>
        </w:rPr>
        <w:t>,</w:t>
      </w:r>
      <w:r w:rsidRPr="00BB6A5C">
        <w:rPr>
          <w:i/>
          <w:iCs/>
          <w:color w:val="000000" w:themeColor="text1"/>
        </w:rPr>
        <w:t xml:space="preserve"> </w:t>
      </w:r>
      <w:r w:rsidRPr="00E750BA">
        <w:rPr>
          <w:i/>
          <w:iCs/>
          <w:color w:val="000000" w:themeColor="text1"/>
        </w:rPr>
        <w:t>y</w:t>
      </w:r>
      <w:r w:rsidRPr="00BB6A5C">
        <w:rPr>
          <w:color w:val="000000" w:themeColor="text1"/>
        </w:rPr>
        <w:t xml:space="preserve">, and </w:t>
      </w:r>
      <w:r w:rsidRPr="00E750BA">
        <w:rPr>
          <w:i/>
          <w:iCs/>
          <w:color w:val="000000" w:themeColor="text1"/>
        </w:rPr>
        <w:t xml:space="preserve">z </w:t>
      </w:r>
      <w:r w:rsidRPr="00BB6A5C">
        <w:rPr>
          <w:color w:val="000000" w:themeColor="text1"/>
        </w:rPr>
        <w:t xml:space="preserve">components. All </w:t>
      </w:r>
      <w:r w:rsidRPr="00E750BA">
        <w:rPr>
          <w:b/>
          <w:bCs/>
          <w:i/>
          <w:iCs/>
          <w:color w:val="000000" w:themeColor="text1"/>
        </w:rPr>
        <w:t>y</w:t>
      </w:r>
      <w:r w:rsidRPr="00E750BA">
        <w:rPr>
          <w:i/>
          <w:iCs/>
          <w:color w:val="000000" w:themeColor="text1"/>
        </w:rPr>
        <w:t>(t)</w:t>
      </w:r>
      <w:r w:rsidRPr="00E750BA">
        <w:rPr>
          <w:color w:val="000000" w:themeColor="text1"/>
        </w:rPr>
        <w:t xml:space="preserve"> </w:t>
      </w:r>
      <w:r w:rsidRPr="00BB6A5C">
        <w:rPr>
          <w:color w:val="000000" w:themeColor="text1"/>
        </w:rPr>
        <w:t xml:space="preserve">vectors were stacked into a matrix </w:t>
      </w:r>
      <m:oMath>
        <m:r>
          <m:rPr>
            <m:sty m:val="b"/>
          </m:rPr>
          <w:rPr>
            <w:rFonts w:ascii="Cambria Math" w:hAnsi="Cambria Math"/>
            <w:color w:val="000000" w:themeColor="text1"/>
          </w:rPr>
          <m:t>Y</m:t>
        </m:r>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F×3N</m:t>
            </m:r>
          </m:sup>
        </m:sSup>
      </m:oMath>
      <w:r w:rsidRPr="00BB6A5C">
        <w:rPr>
          <w:color w:val="000000" w:themeColor="text1"/>
        </w:rPr>
        <w:t xml:space="preserve">, where </w:t>
      </w:r>
      <m:oMath>
        <m:r>
          <w:rPr>
            <w:rFonts w:ascii="Cambria Math" w:hAnsi="Cambria Math"/>
            <w:color w:val="000000" w:themeColor="text1"/>
          </w:rPr>
          <m:t>F</m:t>
        </m:r>
      </m:oMath>
      <w:r w:rsidRPr="00BB6A5C">
        <w:rPr>
          <w:color w:val="000000" w:themeColor="text1"/>
        </w:rPr>
        <w:t xml:space="preserve">is the number of frames. After mean-centering </w:t>
      </w:r>
      <w:r w:rsidRPr="00E750BA">
        <w:rPr>
          <w:b/>
          <w:bCs/>
          <w:i/>
          <w:iCs/>
          <w:color w:val="000000" w:themeColor="text1"/>
        </w:rPr>
        <w:t>Y</w:t>
      </w:r>
      <w:r w:rsidRPr="00BB6A5C">
        <w:rPr>
          <w:color w:val="000000" w:themeColor="text1"/>
        </w:rPr>
        <w:t>, the mass-</w:t>
      </w:r>
      <w:r w:rsidRPr="00E750BA">
        <w:rPr>
          <w:color w:val="000000" w:themeColor="text1"/>
        </w:rPr>
        <w:t>weight</w:t>
      </w:r>
      <w:r w:rsidRPr="00BB6A5C">
        <w:rPr>
          <w:color w:val="000000" w:themeColor="text1"/>
        </w:rPr>
        <w:t xml:space="preserve"> covariance matrix was obtained as</w:t>
      </w:r>
    </w:p>
    <w:p w14:paraId="472CE0D3" w14:textId="0B3D213D"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rPr>
                <m:sty m:val="bi"/>
              </m:rPr>
              <m:t>C</m:t>
            </m:r>
          </m:e>
          <m:sub>
            <m:r>
              <m:t>m</m:t>
            </m:r>
          </m:sub>
        </m:sSub>
        <m:r>
          <m:t>=⟨</m:t>
        </m:r>
        <m:d>
          <m:dPr>
            <m:ctrlPr/>
          </m:dPr>
          <m:e>
            <m:r>
              <m:rPr>
                <m:sty m:val="bi"/>
              </m:rPr>
              <m:t>y</m:t>
            </m:r>
            <m:r>
              <m:t>-⟨</m:t>
            </m:r>
            <m:r>
              <m:rPr>
                <m:sty m:val="bi"/>
              </m:rPr>
              <m:t>y</m:t>
            </m:r>
            <m:r>
              <m:t>⟩</m:t>
            </m:r>
          </m:e>
        </m:d>
        <m:sSup>
          <m:sSupPr>
            <m:ctrlPr/>
          </m:sSupPr>
          <m:e>
            <m:d>
              <m:dPr>
                <m:ctrlPr/>
              </m:dPr>
              <m:e>
                <m:r>
                  <m:rPr>
                    <m:sty m:val="bi"/>
                  </m:rPr>
                  <m:t>y</m:t>
                </m:r>
                <m:r>
                  <m:t>-⟨</m:t>
                </m:r>
                <m:r>
                  <m:rPr>
                    <m:sty m:val="bi"/>
                  </m:rPr>
                  <m:t>y</m:t>
                </m:r>
                <m:r>
                  <m:t>⟩</m:t>
                </m:r>
              </m:e>
            </m:d>
          </m:e>
          <m:sup>
            <m:r>
              <m:t>T</m:t>
            </m:r>
          </m:sup>
        </m:sSup>
        <m:r>
          <m:t>⟩</m:t>
        </m:r>
      </m:oMath>
      <w:r>
        <w:rPr>
          <w:rFonts w:ascii="Times New Roman" w:hAnsi="Times New Roman"/>
          <w:i w:val="0"/>
        </w:rPr>
        <w:tab/>
      </w:r>
      <w:r>
        <w:rPr>
          <w:rFonts w:ascii="Times New Roman" w:hAnsi="Times New Roman" w:hint="eastAsia"/>
          <w:i w:val="0"/>
        </w:rPr>
        <w:t>(2)</w:t>
      </w:r>
    </w:p>
    <w:p w14:paraId="1FB9D605" w14:textId="77777777" w:rsidR="00583B77" w:rsidRPr="00BB6A5C" w:rsidRDefault="00583B77" w:rsidP="00583B77">
      <w:pPr>
        <w:rPr>
          <w:color w:val="000000" w:themeColor="text1"/>
        </w:rPr>
      </w:pPr>
      <w:r w:rsidRPr="00BB6A5C">
        <w:rPr>
          <w:color w:val="000000" w:themeColor="text1"/>
        </w:rPr>
        <w:t xml:space="preserve">To improve numerical efficiency and reduce memory consumption, the nonzero eigenvalues </w:t>
      </w: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e>
        </m:d>
      </m:oMath>
      <w:r w:rsidRPr="00BB6A5C">
        <w:rPr>
          <w:color w:val="000000" w:themeColor="text1"/>
        </w:rPr>
        <w:t xml:space="preserve">of </w:t>
      </w:r>
      <w:r w:rsidRPr="00E750BA">
        <w:rPr>
          <w:b/>
          <w:bCs/>
          <w:i/>
          <w:iCs/>
          <w:color w:val="000000" w:themeColor="text1"/>
        </w:rPr>
        <w:t>C</w:t>
      </w:r>
      <w:r w:rsidRPr="00E750BA">
        <w:rPr>
          <w:i/>
          <w:iCs/>
          <w:color w:val="000000" w:themeColor="text1"/>
          <w:vertAlign w:val="subscript"/>
        </w:rPr>
        <w:t>m</w:t>
      </w:r>
      <w:r w:rsidRPr="00E750BA">
        <w:rPr>
          <w:color w:val="000000" w:themeColor="text1"/>
        </w:rPr>
        <w:t xml:space="preserve"> </w:t>
      </w:r>
      <w:r w:rsidRPr="00BB6A5C">
        <w:rPr>
          <w:color w:val="000000" w:themeColor="text1"/>
        </w:rPr>
        <w:t xml:space="preserve">were obtained through singular value decomposition (SVD). Specifically, for the centered matrix </w:t>
      </w:r>
      <w:r w:rsidRPr="00E750BA">
        <w:rPr>
          <w:b/>
          <w:bCs/>
          <w:i/>
          <w:iCs/>
          <w:color w:val="000000" w:themeColor="text1"/>
        </w:rPr>
        <w:t>Y</w:t>
      </w:r>
      <w:r w:rsidRPr="00BB6A5C">
        <w:rPr>
          <w:color w:val="000000" w:themeColor="text1"/>
        </w:rPr>
        <w:t>, an economical decomposition,</w:t>
      </w:r>
    </w:p>
    <w:p w14:paraId="37544FB7" w14:textId="45C16736" w:rsidR="00583B77" w:rsidRPr="00BB6A5C" w:rsidRDefault="00583B77" w:rsidP="00583B77">
      <w:pPr>
        <w:pStyle w:val="ae"/>
        <w:rPr>
          <w:rFonts w:ascii="Times New Roman" w:hAnsi="Times New Roman"/>
        </w:rPr>
      </w:pPr>
      <w:r>
        <w:rPr>
          <w:rFonts w:ascii="Times New Roman" w:hAnsi="Times New Roman"/>
          <w:b/>
          <w:bCs/>
          <w:i w:val="0"/>
        </w:rPr>
        <w:tab/>
      </w:r>
      <m:oMath>
        <m:r>
          <m:rPr>
            <m:sty m:val="bi"/>
          </m:rPr>
          <m:t>Y</m:t>
        </m:r>
        <m:r>
          <m:t>=</m:t>
        </m:r>
        <m:r>
          <m:rPr>
            <m:sty m:val="bi"/>
          </m:rPr>
          <m:t>UΣ</m:t>
        </m:r>
        <m:sSup>
          <m:sSupPr>
            <m:ctrlPr/>
          </m:sSupPr>
          <m:e>
            <m:r>
              <m:rPr>
                <m:sty m:val="bi"/>
              </m:rPr>
              <m:t>V</m:t>
            </m:r>
          </m:e>
          <m:sup>
            <m:r>
              <m:t>T</m:t>
            </m:r>
          </m:sup>
        </m:sSup>
      </m:oMath>
      <w:r>
        <w:rPr>
          <w:rFonts w:ascii="Times New Roman" w:hAnsi="Times New Roman"/>
          <w:i w:val="0"/>
        </w:rPr>
        <w:tab/>
      </w:r>
      <w:r>
        <w:rPr>
          <w:rFonts w:ascii="Times New Roman" w:hAnsi="Times New Roman" w:hint="eastAsia"/>
          <w:i w:val="0"/>
        </w:rPr>
        <w:t>(3)</w:t>
      </w:r>
    </w:p>
    <w:p w14:paraId="3882E76A" w14:textId="77777777" w:rsidR="00583B77" w:rsidRPr="00BB6A5C" w:rsidRDefault="00583B77" w:rsidP="00583B77">
      <w:pPr>
        <w:rPr>
          <w:color w:val="000000" w:themeColor="text1"/>
        </w:rPr>
      </w:pPr>
      <w:r w:rsidRPr="00BB6A5C">
        <w:rPr>
          <w:color w:val="000000" w:themeColor="text1"/>
        </w:rPr>
        <w:t>was performed, yielding</w:t>
      </w:r>
    </w:p>
    <w:p w14:paraId="10F48F5F" w14:textId="7464C62C"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t>λ</m:t>
            </m:r>
          </m:e>
          <m:sub>
            <m:r>
              <m:t>i</m:t>
            </m:r>
          </m:sub>
        </m:sSub>
        <m:r>
          <m:t>=</m:t>
        </m:r>
        <m:f>
          <m:fPr>
            <m:ctrlPr/>
          </m:fPr>
          <m:num>
            <m:sSubSup>
              <m:sSubSupPr>
                <m:ctrlPr/>
              </m:sSubSupPr>
              <m:e>
                <m:r>
                  <m:t>σ</m:t>
                </m:r>
              </m:e>
              <m:sub>
                <m:r>
                  <m:t>i</m:t>
                </m:r>
              </m:sub>
              <m:sup>
                <m:r>
                  <m:t>2</m:t>
                </m:r>
              </m:sup>
            </m:sSubSup>
          </m:num>
          <m:den>
            <m:r>
              <m:t>F-1</m:t>
            </m:r>
          </m:den>
        </m:f>
      </m:oMath>
      <w:r>
        <w:rPr>
          <w:rFonts w:ascii="Times New Roman" w:hAnsi="Times New Roman"/>
          <w:i w:val="0"/>
        </w:rPr>
        <w:tab/>
      </w:r>
      <w:r>
        <w:rPr>
          <w:rFonts w:ascii="Times New Roman" w:hAnsi="Times New Roman" w:hint="eastAsia"/>
          <w:i w:val="0"/>
        </w:rPr>
        <w:t>(4)</w:t>
      </w:r>
    </w:p>
    <w:p w14:paraId="112CFC64" w14:textId="77777777" w:rsidR="00583B77" w:rsidRPr="00BB6A5C" w:rsidRDefault="00583B77" w:rsidP="00583B77">
      <w:pPr>
        <w:rPr>
          <w:color w:val="000000" w:themeColor="text1"/>
        </w:rPr>
      </w:pPr>
      <w:r w:rsidRPr="00BB6A5C">
        <w:rPr>
          <w:color w:val="000000" w:themeColor="text1"/>
        </w:rPr>
        <w:t xml:space="preserve">where </w:t>
      </w:r>
      <w:r w:rsidRPr="00E750BA">
        <w:rPr>
          <w:i/>
          <w:iCs/>
          <w:color w:val="000000" w:themeColor="text1"/>
        </w:rPr>
        <w:t>σ</w:t>
      </w:r>
      <w:r w:rsidRPr="00E750BA">
        <w:rPr>
          <w:i/>
          <w:iCs/>
          <w:color w:val="000000" w:themeColor="text1"/>
          <w:vertAlign w:val="subscript"/>
        </w:rPr>
        <w:t>i</w:t>
      </w:r>
      <w:r w:rsidRPr="00E750BA">
        <w:rPr>
          <w:color w:val="000000" w:themeColor="text1"/>
        </w:rPr>
        <w:t xml:space="preserve"> </w:t>
      </w:r>
      <w:r w:rsidRPr="00BB6A5C">
        <w:rPr>
          <w:color w:val="000000" w:themeColor="text1"/>
        </w:rPr>
        <w:t>denotes the singular values in</w:t>
      </w:r>
      <w:r w:rsidRPr="00E750BA">
        <w:rPr>
          <w:color w:val="000000" w:themeColor="text1"/>
        </w:rPr>
        <w:t xml:space="preserve"> </w:t>
      </w:r>
      <w:r w:rsidRPr="00E750BA">
        <w:rPr>
          <w:rFonts w:ascii="Cambria Math" w:hAnsi="Cambria Math" w:cs="Cambria Math"/>
          <w:b/>
          <w:bCs/>
          <w:color w:val="000000" w:themeColor="text1"/>
        </w:rPr>
        <w:t>𝛴</w:t>
      </w:r>
      <w:r w:rsidRPr="00BB6A5C">
        <w:rPr>
          <w:color w:val="000000" w:themeColor="text1"/>
        </w:rPr>
        <w:t>.</w:t>
      </w:r>
    </w:p>
    <w:p w14:paraId="05DB49BF" w14:textId="77777777" w:rsidR="00583B77" w:rsidRPr="00BB6A5C" w:rsidRDefault="00583B77" w:rsidP="00583B77">
      <w:pPr>
        <w:rPr>
          <w:b/>
          <w:bCs/>
          <w:color w:val="000000" w:themeColor="text1"/>
        </w:rPr>
      </w:pPr>
      <w:r w:rsidRPr="00E750BA">
        <w:rPr>
          <w:b/>
          <w:bCs/>
          <w:color w:val="000000" w:themeColor="text1"/>
        </w:rPr>
        <w:t>(</w:t>
      </w:r>
      <w:r w:rsidRPr="00BB6A5C">
        <w:rPr>
          <w:b/>
          <w:bCs/>
          <w:color w:val="000000" w:themeColor="text1"/>
        </w:rPr>
        <w:t>3) Schlitter Conformational Entropy</w:t>
      </w:r>
    </w:p>
    <w:p w14:paraId="48A8C774" w14:textId="77777777" w:rsidR="00583B77" w:rsidRPr="00BB6A5C" w:rsidRDefault="00583B77" w:rsidP="00583B77">
      <w:pPr>
        <w:rPr>
          <w:color w:val="000000" w:themeColor="text1"/>
        </w:rPr>
      </w:pPr>
      <w:r w:rsidRPr="00BB6A5C">
        <w:rPr>
          <w:color w:val="000000" w:themeColor="text1"/>
        </w:rPr>
        <w:t>The Schlitter entropy was calculated as an upper-bound estimate of conformational entropy according to</w:t>
      </w:r>
    </w:p>
    <w:p w14:paraId="0DF88748" w14:textId="5CFE71F5"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t>S</m:t>
            </m:r>
          </m:e>
          <m:sub>
            <m:r>
              <m:t>Schl</m:t>
            </m:r>
          </m:sub>
        </m:sSub>
        <m:r>
          <m:t>=</m:t>
        </m:r>
        <m:f>
          <m:fPr>
            <m:ctrlPr/>
          </m:fPr>
          <m:num>
            <m:sSub>
              <m:sSubPr>
                <m:ctrlPr/>
              </m:sSubPr>
              <m:e>
                <m:r>
                  <m:t>k</m:t>
                </m:r>
              </m:e>
              <m:sub>
                <m:r>
                  <m:t>B</m:t>
                </m:r>
              </m:sub>
            </m:sSub>
          </m:num>
          <m:den>
            <m:r>
              <m:t>2</m:t>
            </m:r>
          </m:den>
        </m:f>
        <m:func>
          <m:funcPr>
            <m:ctrlPr/>
          </m:funcPr>
          <m:fName>
            <m:r>
              <m:t>ln</m:t>
            </m:r>
          </m:fName>
          <m:e>
            <m:func>
              <m:funcPr>
                <m:ctrlPr/>
              </m:funcPr>
              <m:fName>
                <m:r>
                  <m:t>det</m:t>
                </m:r>
              </m:fName>
              <m:e>
                <m:d>
                  <m:dPr>
                    <m:sepChr m:val="+"/>
                    <m:ctrlPr/>
                  </m:dPr>
                  <m:e>
                    <m:sSub>
                      <m:sSubPr>
                        <m:ctrlPr/>
                      </m:sSubPr>
                      <m:e>
                        <m:r>
                          <m:rPr>
                            <m:sty m:val="bi"/>
                          </m:rPr>
                          <m:t>I</m:t>
                        </m:r>
                      </m:e>
                      <m:sub>
                        <m:r>
                          <m:t>3N</m:t>
                        </m:r>
                      </m:sub>
                    </m:sSub>
                  </m:e>
                  <m:e>
                    <m:r>
                      <m:t>α</m:t>
                    </m:r>
                    <m:sSub>
                      <m:sSubPr>
                        <m:ctrlPr/>
                      </m:sSubPr>
                      <m:e>
                        <m:r>
                          <m:rPr>
                            <m:sty m:val="bi"/>
                          </m:rPr>
                          <m:t>C</m:t>
                        </m:r>
                      </m:e>
                      <m:sub>
                        <m:r>
                          <m:t>m</m:t>
                        </m:r>
                      </m:sub>
                    </m:sSub>
                  </m:e>
                </m:d>
              </m:e>
            </m:func>
          </m:e>
        </m:func>
        <m:r>
          <m:t xml:space="preserve">      α=</m:t>
        </m:r>
        <m:f>
          <m:fPr>
            <m:ctrlPr/>
          </m:fPr>
          <m:num>
            <m:sSup>
              <m:sSupPr>
                <m:ctrlPr/>
              </m:sSupPr>
              <m:e>
                <m:r>
                  <m:t>e</m:t>
                </m:r>
              </m:e>
              <m:sup>
                <m:r>
                  <m:t>2</m:t>
                </m:r>
              </m:sup>
            </m:sSup>
            <m:sSub>
              <m:sSubPr>
                <m:ctrlPr/>
              </m:sSubPr>
              <m:e>
                <m:r>
                  <m:t>k</m:t>
                </m:r>
              </m:e>
              <m:sub>
                <m:r>
                  <m:t>B</m:t>
                </m:r>
              </m:sub>
            </m:sSub>
            <m:r>
              <m:t>T</m:t>
            </m:r>
          </m:num>
          <m:den>
            <m:sSup>
              <m:sSupPr>
                <m:ctrlPr/>
              </m:sSupPr>
              <m:e>
                <m:r>
                  <m:t>ℏ</m:t>
                </m:r>
              </m:e>
              <m:sup>
                <m:r>
                  <m:t>2</m:t>
                </m:r>
              </m:sup>
            </m:sSup>
          </m:den>
        </m:f>
      </m:oMath>
      <w:r>
        <w:rPr>
          <w:rFonts w:ascii="Times New Roman" w:hAnsi="Times New Roman"/>
          <w:i w:val="0"/>
        </w:rPr>
        <w:tab/>
      </w:r>
      <w:r>
        <w:rPr>
          <w:rFonts w:ascii="Times New Roman" w:hAnsi="Times New Roman" w:hint="eastAsia"/>
          <w:i w:val="0"/>
        </w:rPr>
        <w:t>(5)</w:t>
      </w:r>
    </w:p>
    <w:p w14:paraId="126A9C57" w14:textId="77777777" w:rsidR="00583B77" w:rsidRPr="00BB6A5C" w:rsidRDefault="00583B77" w:rsidP="00583B77">
      <w:pPr>
        <w:rPr>
          <w:color w:val="000000" w:themeColor="text1"/>
        </w:rPr>
      </w:pPr>
      <w:r w:rsidRPr="00BB6A5C">
        <w:rPr>
          <w:color w:val="000000" w:themeColor="text1"/>
        </w:rPr>
        <w:t xml:space="preserve">where </w:t>
      </w:r>
      <w:r w:rsidRPr="00E750BA">
        <w:rPr>
          <w:i/>
          <w:iCs/>
          <w:color w:val="000000" w:themeColor="text1"/>
        </w:rPr>
        <w:t>k</w:t>
      </w:r>
      <w:r w:rsidRPr="00E750BA">
        <w:rPr>
          <w:i/>
          <w:iCs/>
          <w:color w:val="000000" w:themeColor="text1"/>
          <w:vertAlign w:val="subscript"/>
        </w:rPr>
        <w:t>B</w:t>
      </w:r>
      <w:r w:rsidRPr="00E750BA">
        <w:rPr>
          <w:color w:val="000000" w:themeColor="text1"/>
        </w:rPr>
        <w:t xml:space="preserve"> </w:t>
      </w:r>
      <w:r w:rsidRPr="00BB6A5C">
        <w:rPr>
          <w:color w:val="000000" w:themeColor="text1"/>
        </w:rPr>
        <w:t xml:space="preserve">is the Boltzmann constant, </w:t>
      </w:r>
      <w:r w:rsidRPr="00E750BA">
        <w:rPr>
          <w:color w:val="000000" w:themeColor="text1"/>
        </w:rPr>
        <w:t xml:space="preserve">ℏ </w:t>
      </w:r>
      <w:r w:rsidRPr="00BB6A5C">
        <w:rPr>
          <w:color w:val="000000" w:themeColor="text1"/>
        </w:rPr>
        <w:t xml:space="preserve">is the reduced Planck constant, and </w:t>
      </w:r>
      <w:r w:rsidRPr="00E750BA">
        <w:rPr>
          <w:b/>
          <w:bCs/>
          <w:color w:val="000000" w:themeColor="text1"/>
        </w:rPr>
        <w:t>I</w:t>
      </w:r>
      <w:r w:rsidRPr="00E750BA">
        <w:rPr>
          <w:color w:val="000000" w:themeColor="text1"/>
          <w:vertAlign w:val="subscript"/>
        </w:rPr>
        <w:t>3N</w:t>
      </w:r>
      <w:r w:rsidRPr="00E750BA">
        <w:rPr>
          <w:color w:val="000000" w:themeColor="text1"/>
        </w:rPr>
        <w:t xml:space="preserve"> </w:t>
      </w:r>
      <w:r w:rsidRPr="00BB6A5C">
        <w:rPr>
          <w:color w:val="000000" w:themeColor="text1"/>
        </w:rPr>
        <w:t xml:space="preserve">is the </w:t>
      </w:r>
      <w:r w:rsidRPr="00E750BA">
        <w:rPr>
          <w:color w:val="000000" w:themeColor="text1"/>
        </w:rPr>
        <w:t>3N</w:t>
      </w:r>
      <w:r w:rsidRPr="00BB6A5C">
        <w:rPr>
          <w:color w:val="000000" w:themeColor="text1"/>
        </w:rPr>
        <w:t xml:space="preserve">-dimensional identity matrix. In practice, the determinant term was evaluated in the </w:t>
      </w:r>
      <w:r w:rsidRPr="00BB6A5C">
        <w:rPr>
          <w:color w:val="000000" w:themeColor="text1"/>
        </w:rPr>
        <w:lastRenderedPageBreak/>
        <w:t>eigenvalue form as</w:t>
      </w:r>
    </w:p>
    <w:p w14:paraId="1EFC7E83" w14:textId="0870E337" w:rsidR="00583B77" w:rsidRPr="00BB6A5C" w:rsidRDefault="00583B77" w:rsidP="00583B77">
      <w:pPr>
        <w:pStyle w:val="ae"/>
        <w:rPr>
          <w:rFonts w:ascii="Times New Roman" w:hAnsi="Times New Roman"/>
        </w:rPr>
      </w:pPr>
      <w:r>
        <w:rPr>
          <w:rFonts w:ascii="Times New Roman" w:hAnsi="Times New Roman"/>
          <w:i w:val="0"/>
        </w:rPr>
        <w:tab/>
      </w:r>
      <m:oMath>
        <m:r>
          <m:t>ln⁡det⁡</m:t>
        </m:r>
        <m:d>
          <m:dPr>
            <m:sepChr m:val="+"/>
            <m:ctrlPr/>
          </m:dPr>
          <m:e>
            <m:sSub>
              <m:sSubPr>
                <m:ctrlPr/>
              </m:sSubPr>
              <m:e>
                <m:r>
                  <m:rPr>
                    <m:sty m:val="bi"/>
                  </m:rPr>
                  <m:t>I</m:t>
                </m:r>
              </m:e>
              <m:sub>
                <m:r>
                  <m:t>3N</m:t>
                </m:r>
              </m:sub>
            </m:sSub>
          </m:e>
          <m:e>
            <m:r>
              <m:t>α</m:t>
            </m:r>
            <m:sSub>
              <m:sSubPr>
                <m:ctrlPr/>
              </m:sSubPr>
              <m:e>
                <m:r>
                  <m:rPr>
                    <m:sty m:val="bi"/>
                  </m:rPr>
                  <m:t>C</m:t>
                </m:r>
              </m:e>
              <m:sub>
                <m:r>
                  <m:t>m</m:t>
                </m:r>
              </m:sub>
            </m:sSub>
          </m:e>
        </m:d>
        <m:r>
          <m:t>=</m:t>
        </m:r>
        <m:nary>
          <m:naryPr>
            <m:chr m:val="∑"/>
            <m:limLoc m:val="undOvr"/>
            <m:grow m:val="1"/>
            <m:supHide m:val="1"/>
            <m:ctrlPr/>
          </m:naryPr>
          <m:sub>
            <m:r>
              <m:t>i</m:t>
            </m:r>
          </m:sub>
          <m:sup/>
          <m:e>
            <m:r>
              <m:t>ln⁡</m:t>
            </m:r>
          </m:e>
        </m:nary>
        <m:d>
          <m:dPr>
            <m:sepChr m:val="+"/>
            <m:ctrlPr/>
          </m:dPr>
          <m:e>
            <m:r>
              <m:t>1</m:t>
            </m:r>
          </m:e>
          <m:e>
            <m:r>
              <m:t>α</m:t>
            </m:r>
            <m:sSub>
              <m:sSubPr>
                <m:ctrlPr/>
              </m:sSubPr>
              <m:e>
                <m:r>
                  <m:t>λ</m:t>
                </m:r>
              </m:e>
              <m:sub>
                <m:r>
                  <m:t>i</m:t>
                </m:r>
              </m:sub>
            </m:sSub>
          </m:e>
        </m:d>
      </m:oMath>
      <w:r>
        <w:rPr>
          <w:rFonts w:ascii="Times New Roman" w:hAnsi="Times New Roman"/>
          <w:i w:val="0"/>
        </w:rPr>
        <w:tab/>
      </w:r>
      <w:r>
        <w:rPr>
          <w:rFonts w:ascii="Times New Roman" w:hAnsi="Times New Roman" w:hint="eastAsia"/>
          <w:i w:val="0"/>
        </w:rPr>
        <w:t>(6)</w:t>
      </w:r>
    </w:p>
    <w:p w14:paraId="578E3750" w14:textId="77777777" w:rsidR="00583B77" w:rsidRPr="00BB6A5C" w:rsidRDefault="00583B77" w:rsidP="00583B77">
      <w:pPr>
        <w:rPr>
          <w:color w:val="000000" w:themeColor="text1"/>
        </w:rPr>
      </w:pPr>
      <w:r w:rsidRPr="00BB6A5C">
        <w:rPr>
          <w:color w:val="000000" w:themeColor="text1"/>
        </w:rPr>
        <w:t xml:space="preserve">The resulting entropy values were converted from </w:t>
      </w:r>
      <w:r w:rsidRPr="00E750BA">
        <w:t>J·K</w:t>
      </w:r>
      <w:r w:rsidRPr="00E750BA">
        <w:rPr>
          <w:vertAlign w:val="superscript"/>
        </w:rPr>
        <w:t>-1</w:t>
      </w:r>
      <w:r w:rsidRPr="00BB6A5C">
        <w:rPr>
          <w:color w:val="000000" w:themeColor="text1"/>
        </w:rPr>
        <w:t xml:space="preserve"> to </w:t>
      </w:r>
      <w:r w:rsidRPr="00E750BA">
        <w:t>J·mol</w:t>
      </w:r>
      <w:r w:rsidRPr="00E750BA">
        <w:rPr>
          <w:vertAlign w:val="superscript"/>
        </w:rPr>
        <w:t>-1</w:t>
      </w:r>
      <w:r w:rsidRPr="00E750BA">
        <w:t>·K</w:t>
      </w:r>
      <w:r w:rsidRPr="00E750BA">
        <w:rPr>
          <w:vertAlign w:val="superscript"/>
        </w:rPr>
        <w:t>-1</w:t>
      </w:r>
      <w:r w:rsidRPr="00BB6A5C">
        <w:rPr>
          <w:color w:val="000000" w:themeColor="text1"/>
        </w:rPr>
        <w:t xml:space="preserve">. Although </w:t>
      </w:r>
      <w:r w:rsidRPr="00E750BA">
        <w:rPr>
          <w:i/>
          <w:iCs/>
          <w:color w:val="000000" w:themeColor="text1"/>
        </w:rPr>
        <w:t>S</w:t>
      </w:r>
      <w:r w:rsidRPr="00E750BA">
        <w:rPr>
          <w:i/>
          <w:iCs/>
          <w:color w:val="000000" w:themeColor="text1"/>
          <w:vertAlign w:val="subscript"/>
        </w:rPr>
        <w:t>Schl</w:t>
      </w:r>
      <w:r w:rsidRPr="00E750BA">
        <w:rPr>
          <w:color w:val="000000" w:themeColor="text1"/>
        </w:rPr>
        <w:t xml:space="preserve"> </w:t>
      </w:r>
      <w:r w:rsidRPr="00BB6A5C">
        <w:rPr>
          <w:color w:val="000000" w:themeColor="text1"/>
        </w:rPr>
        <w:t xml:space="preserve">represents an upper-bound estimate, it provides a robust basis for comparing </w:t>
      </w:r>
      <w:r w:rsidRPr="00E750BA">
        <w:rPr>
          <w:i/>
          <w:iCs/>
          <w:color w:val="000000" w:themeColor="text1"/>
        </w:rPr>
        <w:t>ΔS</w:t>
      </w:r>
      <w:r w:rsidRPr="00E750BA">
        <w:rPr>
          <w:color w:val="000000" w:themeColor="text1"/>
        </w:rPr>
        <w:t xml:space="preserve"> </w:t>
      </w:r>
      <w:r w:rsidRPr="00BB6A5C">
        <w:rPr>
          <w:color w:val="000000" w:themeColor="text1"/>
        </w:rPr>
        <w:t>among different samples when the same analysis workflow is applied consistently.</w:t>
      </w:r>
    </w:p>
    <w:p w14:paraId="05ECDC18" w14:textId="77777777" w:rsidR="00583B77" w:rsidRPr="00BB6A5C" w:rsidRDefault="00583B77" w:rsidP="00583B77">
      <w:pPr>
        <w:rPr>
          <w:b/>
          <w:bCs/>
          <w:color w:val="000000" w:themeColor="text1"/>
        </w:rPr>
      </w:pPr>
      <w:r w:rsidRPr="00E750BA">
        <w:rPr>
          <w:b/>
          <w:bCs/>
          <w:color w:val="000000" w:themeColor="text1"/>
        </w:rPr>
        <w:t>(</w:t>
      </w:r>
      <w:r w:rsidRPr="00BB6A5C">
        <w:rPr>
          <w:b/>
          <w:bCs/>
          <w:color w:val="000000" w:themeColor="text1"/>
        </w:rPr>
        <w:t>4) Quasi-Harmonic Conformational Entropy</w:t>
      </w:r>
    </w:p>
    <w:p w14:paraId="6AC44B00" w14:textId="77777777" w:rsidR="00583B77" w:rsidRPr="00BB6A5C" w:rsidRDefault="00583B77" w:rsidP="00583B77">
      <w:pPr>
        <w:rPr>
          <w:color w:val="000000" w:themeColor="text1"/>
        </w:rPr>
      </w:pPr>
      <w:r w:rsidRPr="00BB6A5C">
        <w:rPr>
          <w:color w:val="000000" w:themeColor="text1"/>
        </w:rPr>
        <w:t xml:space="preserve">For the quasi-harmonic approximation, the eigenvalues </w:t>
      </w: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e>
        </m:d>
      </m:oMath>
      <w:r w:rsidRPr="00BB6A5C">
        <w:rPr>
          <w:color w:val="000000" w:themeColor="text1"/>
        </w:rPr>
        <w:t>were used to define the effective angular frequencies of the principal modes:</w:t>
      </w:r>
    </w:p>
    <w:p w14:paraId="077E2761" w14:textId="63D5B55F"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t>ω</m:t>
            </m:r>
          </m:e>
          <m:sub>
            <m:r>
              <m:t>i</m:t>
            </m:r>
          </m:sub>
        </m:sSub>
        <m:r>
          <m:t>=</m:t>
        </m:r>
        <m:rad>
          <m:radPr>
            <m:degHide m:val="1"/>
            <m:ctrlPr/>
          </m:radPr>
          <m:deg/>
          <m:e>
            <m:f>
              <m:fPr>
                <m:ctrlPr/>
              </m:fPr>
              <m:num>
                <m:sSub>
                  <m:sSubPr>
                    <m:ctrlPr/>
                  </m:sSubPr>
                  <m:e>
                    <m:r>
                      <m:t>k</m:t>
                    </m:r>
                  </m:e>
                  <m:sub>
                    <m:r>
                      <m:t>B</m:t>
                    </m:r>
                  </m:sub>
                </m:sSub>
                <m:r>
                  <m:t>T</m:t>
                </m:r>
              </m:num>
              <m:den>
                <m:sSub>
                  <m:sSubPr>
                    <m:ctrlPr/>
                  </m:sSubPr>
                  <m:e>
                    <m:r>
                      <m:t>λ</m:t>
                    </m:r>
                  </m:e>
                  <m:sub>
                    <m:r>
                      <m:t>i</m:t>
                    </m:r>
                  </m:sub>
                </m:sSub>
              </m:den>
            </m:f>
          </m:e>
        </m:rad>
        <m:r>
          <m:t>,</m:t>
        </m:r>
        <m:sSub>
          <m:sSubPr>
            <m:ctrlPr/>
          </m:sSubPr>
          <m:e>
            <m:r>
              <m:t>ν</m:t>
            </m:r>
          </m:e>
          <m:sub>
            <m:r>
              <m:t>i</m:t>
            </m:r>
          </m:sub>
        </m:sSub>
        <m:r>
          <m:t>=</m:t>
        </m:r>
        <m:f>
          <m:fPr>
            <m:ctrlPr/>
          </m:fPr>
          <m:num>
            <m:sSub>
              <m:sSubPr>
                <m:ctrlPr/>
              </m:sSubPr>
              <m:e>
                <m:r>
                  <m:t>ω</m:t>
                </m:r>
              </m:e>
              <m:sub>
                <m:r>
                  <m:t>i</m:t>
                </m:r>
              </m:sub>
            </m:sSub>
          </m:num>
          <m:den>
            <m:r>
              <m:t>2π</m:t>
            </m:r>
          </m:den>
        </m:f>
      </m:oMath>
      <w:r>
        <w:rPr>
          <w:rFonts w:ascii="Times New Roman" w:hAnsi="Times New Roman"/>
          <w:i w:val="0"/>
        </w:rPr>
        <w:tab/>
      </w:r>
      <w:r>
        <w:rPr>
          <w:rFonts w:ascii="Times New Roman" w:hAnsi="Times New Roman" w:hint="eastAsia"/>
          <w:i w:val="0"/>
        </w:rPr>
        <w:t>(7)</w:t>
      </w:r>
    </w:p>
    <w:p w14:paraId="0DB968C4" w14:textId="77777777" w:rsidR="00583B77" w:rsidRPr="00BB6A5C" w:rsidRDefault="00583B77" w:rsidP="00583B77">
      <w:pPr>
        <w:rPr>
          <w:color w:val="000000" w:themeColor="text1"/>
        </w:rPr>
      </w:pPr>
      <w:r w:rsidRPr="00BB6A5C">
        <w:rPr>
          <w:color w:val="000000" w:themeColor="text1"/>
        </w:rPr>
        <w:t xml:space="preserve">Each principal fluctuation mode was then treated as a quantum harmonic oscillator. The entropy contribution of mode </w:t>
      </w:r>
      <m:oMath>
        <m:r>
          <w:rPr>
            <w:rFonts w:ascii="Cambria Math" w:hAnsi="Cambria Math"/>
            <w:color w:val="000000" w:themeColor="text1"/>
          </w:rPr>
          <m:t>i</m:t>
        </m:r>
      </m:oMath>
      <w:r w:rsidRPr="00BB6A5C">
        <w:rPr>
          <w:color w:val="000000" w:themeColor="text1"/>
        </w:rPr>
        <w:t>was calculated as</w:t>
      </w:r>
    </w:p>
    <w:p w14:paraId="1CF4E758" w14:textId="2FAC91D5"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t>S</m:t>
            </m:r>
          </m:e>
          <m:sub>
            <m:r>
              <m:t>i</m:t>
            </m:r>
          </m:sub>
        </m:sSub>
        <m:r>
          <m:t>=</m:t>
        </m:r>
        <m:sSub>
          <m:sSubPr>
            <m:ctrlPr/>
          </m:sSubPr>
          <m:e>
            <m:r>
              <m:t>k</m:t>
            </m:r>
          </m:e>
          <m:sub>
            <m:r>
              <m:t>B</m:t>
            </m:r>
          </m:sub>
        </m:sSub>
        <m:d>
          <m:dPr>
            <m:begChr m:val="["/>
            <m:endChr m:val="]"/>
            <m:ctrlPr/>
          </m:dPr>
          <m:e>
            <m:f>
              <m:fPr>
                <m:ctrlPr/>
              </m:fPr>
              <m:num>
                <m:sSub>
                  <m:sSubPr>
                    <m:ctrlPr/>
                  </m:sSubPr>
                  <m:e>
                    <m:r>
                      <m:t>x</m:t>
                    </m:r>
                  </m:e>
                  <m:sub>
                    <m:r>
                      <m:t>i</m:t>
                    </m:r>
                  </m:sub>
                </m:sSub>
              </m:num>
              <m:den>
                <m:r>
                  <m:t>exp⁡(</m:t>
                </m:r>
                <m:sSub>
                  <m:sSubPr>
                    <m:ctrlPr/>
                  </m:sSubPr>
                  <m:e>
                    <m:r>
                      <m:t>x</m:t>
                    </m:r>
                  </m:e>
                  <m:sub>
                    <m:r>
                      <m:t>i</m:t>
                    </m:r>
                  </m:sub>
                </m:sSub>
                <m:r>
                  <m:t>)-1</m:t>
                </m:r>
              </m:den>
            </m:f>
            <m:r>
              <m:t>-ln⁡</m:t>
            </m:r>
            <m:d>
              <m:dPr>
                <m:ctrlPr/>
              </m:dPr>
              <m:e>
                <m:r>
                  <m:t>1-exp⁡(-</m:t>
                </m:r>
                <m:sSub>
                  <m:sSubPr>
                    <m:ctrlPr/>
                  </m:sSubPr>
                  <m:e>
                    <m:r>
                      <m:t>x</m:t>
                    </m:r>
                  </m:e>
                  <m:sub>
                    <m:r>
                      <m:t>i</m:t>
                    </m:r>
                  </m:sub>
                </m:sSub>
                <m:r>
                  <m:t>)</m:t>
                </m:r>
              </m:e>
            </m:d>
          </m:e>
        </m:d>
        <m:r>
          <m:t>,</m:t>
        </m:r>
        <m:sSub>
          <m:sSubPr>
            <m:ctrlPr/>
          </m:sSubPr>
          <m:e>
            <m:r>
              <m:t>x</m:t>
            </m:r>
          </m:e>
          <m:sub>
            <m:r>
              <m:t>i</m:t>
            </m:r>
          </m:sub>
        </m:sSub>
        <m:r>
          <m:t>=</m:t>
        </m:r>
        <m:f>
          <m:fPr>
            <m:ctrlPr/>
          </m:fPr>
          <m:num>
            <m:r>
              <m:t>h</m:t>
            </m:r>
            <m:sSub>
              <m:sSubPr>
                <m:ctrlPr/>
              </m:sSubPr>
              <m:e>
                <m:r>
                  <m:t>ν</m:t>
                </m:r>
              </m:e>
              <m:sub>
                <m:r>
                  <m:t>i</m:t>
                </m:r>
              </m:sub>
            </m:sSub>
          </m:num>
          <m:den>
            <m:sSub>
              <m:sSubPr>
                <m:ctrlPr/>
              </m:sSubPr>
              <m:e>
                <m:r>
                  <m:t>k</m:t>
                </m:r>
              </m:e>
              <m:sub>
                <m:r>
                  <m:t>B</m:t>
                </m:r>
              </m:sub>
            </m:sSub>
            <m:r>
              <m:t>T</m:t>
            </m:r>
          </m:den>
        </m:f>
      </m:oMath>
      <w:r>
        <w:rPr>
          <w:rFonts w:ascii="Times New Roman" w:hAnsi="Times New Roman"/>
          <w:i w:val="0"/>
        </w:rPr>
        <w:tab/>
      </w:r>
      <w:r>
        <w:rPr>
          <w:rFonts w:ascii="Times New Roman" w:hAnsi="Times New Roman" w:hint="eastAsia"/>
          <w:i w:val="0"/>
        </w:rPr>
        <w:t>(8)</w:t>
      </w:r>
    </w:p>
    <w:p w14:paraId="7A5BE106" w14:textId="77777777" w:rsidR="00583B77" w:rsidRPr="00BB6A5C" w:rsidRDefault="00583B77" w:rsidP="00583B77">
      <w:pPr>
        <w:rPr>
          <w:color w:val="000000" w:themeColor="text1"/>
        </w:rPr>
      </w:pPr>
      <w:r w:rsidRPr="00BB6A5C">
        <w:rPr>
          <w:color w:val="000000" w:themeColor="text1"/>
        </w:rPr>
        <w:t>The total quasi-harmonic conformational entropy was obtained by summing over all modes:</w:t>
      </w:r>
    </w:p>
    <w:p w14:paraId="31D49D04" w14:textId="20E5C543" w:rsidR="00583B77" w:rsidRPr="00BB6A5C" w:rsidRDefault="00583B77" w:rsidP="00583B77">
      <w:pPr>
        <w:pStyle w:val="ae"/>
        <w:rPr>
          <w:rFonts w:ascii="Times New Roman" w:hAnsi="Times New Roman"/>
        </w:rPr>
      </w:pPr>
      <w:r>
        <w:rPr>
          <w:rFonts w:ascii="Times New Roman" w:hAnsi="Times New Roman"/>
          <w:i w:val="0"/>
        </w:rPr>
        <w:tab/>
      </w:r>
      <m:oMath>
        <m:sSub>
          <m:sSubPr>
            <m:ctrlPr/>
          </m:sSubPr>
          <m:e>
            <m:r>
              <m:t>S</m:t>
            </m:r>
          </m:e>
          <m:sub>
            <m:r>
              <m:t>QH</m:t>
            </m:r>
          </m:sub>
        </m:sSub>
        <m:r>
          <m:t>=</m:t>
        </m:r>
        <m:nary>
          <m:naryPr>
            <m:chr m:val="∑"/>
            <m:limLoc m:val="undOvr"/>
            <m:grow m:val="1"/>
            <m:supHide m:val="1"/>
            <m:ctrlPr/>
          </m:naryPr>
          <m:sub>
            <m:r>
              <m:t>i</m:t>
            </m:r>
          </m:sub>
          <m:sup/>
          <m:e>
            <m:sSub>
              <m:sSubPr>
                <m:ctrlPr/>
              </m:sSubPr>
              <m:e>
                <m:r>
                  <m:t>S</m:t>
                </m:r>
              </m:e>
              <m:sub>
                <m:r>
                  <m:t>i</m:t>
                </m:r>
              </m:sub>
            </m:sSub>
          </m:e>
        </m:nary>
      </m:oMath>
      <w:r>
        <w:rPr>
          <w:rFonts w:ascii="Times New Roman" w:hAnsi="Times New Roman"/>
          <w:i w:val="0"/>
        </w:rPr>
        <w:tab/>
      </w:r>
      <w:r>
        <w:rPr>
          <w:rFonts w:ascii="Times New Roman" w:hAnsi="Times New Roman" w:hint="eastAsia"/>
          <w:i w:val="0"/>
        </w:rPr>
        <w:t>(9)</w:t>
      </w:r>
    </w:p>
    <w:p w14:paraId="4498636A" w14:textId="77777777" w:rsidR="00583B77" w:rsidRDefault="00583B77" w:rsidP="00583B77">
      <w:pPr>
        <w:rPr>
          <w:vertAlign w:val="superscript"/>
        </w:rPr>
      </w:pPr>
      <w:r w:rsidRPr="00BB6A5C">
        <w:rPr>
          <w:color w:val="000000" w:themeColor="text1"/>
        </w:rPr>
        <w:t xml:space="preserve">The final entropy values were likewise reported in </w:t>
      </w:r>
      <w:r w:rsidRPr="00E750BA">
        <w:t>J·mol</w:t>
      </w:r>
      <w:r w:rsidRPr="00E750BA">
        <w:rPr>
          <w:vertAlign w:val="superscript"/>
        </w:rPr>
        <w:t>-1</w:t>
      </w:r>
      <w:r w:rsidRPr="00E750BA">
        <w:t>·K</w:t>
      </w:r>
      <w:r w:rsidRPr="00E750BA">
        <w:rPr>
          <w:vertAlign w:val="superscript"/>
        </w:rPr>
        <w:t>-1</w:t>
      </w:r>
    </w:p>
    <w:p w14:paraId="645011B9" w14:textId="77777777" w:rsidR="006E4978" w:rsidRPr="00583B77" w:rsidRDefault="006E4978">
      <w:pPr>
        <w:ind w:firstLine="480"/>
      </w:pPr>
    </w:p>
    <w:sectPr w:rsidR="006E4978" w:rsidRPr="00583B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6C90" w14:textId="77777777" w:rsidR="008D796D" w:rsidRDefault="008D796D" w:rsidP="00314D66">
      <w:pPr>
        <w:spacing w:line="240" w:lineRule="auto"/>
      </w:pPr>
      <w:r>
        <w:separator/>
      </w:r>
    </w:p>
  </w:endnote>
  <w:endnote w:type="continuationSeparator" w:id="0">
    <w:p w14:paraId="431331AD" w14:textId="77777777" w:rsidR="008D796D" w:rsidRDefault="008D796D" w:rsidP="00314D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D782" w14:textId="77777777" w:rsidR="008D796D" w:rsidRDefault="008D796D" w:rsidP="00314D66">
      <w:pPr>
        <w:spacing w:line="240" w:lineRule="auto"/>
      </w:pPr>
      <w:r>
        <w:separator/>
      </w:r>
    </w:p>
  </w:footnote>
  <w:footnote w:type="continuationSeparator" w:id="0">
    <w:p w14:paraId="3F253B5F" w14:textId="77777777" w:rsidR="008D796D" w:rsidRDefault="008D796D" w:rsidP="00314D6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9D"/>
    <w:rsid w:val="00026A72"/>
    <w:rsid w:val="000D7D53"/>
    <w:rsid w:val="001E1AE0"/>
    <w:rsid w:val="00314D66"/>
    <w:rsid w:val="00430154"/>
    <w:rsid w:val="00583B77"/>
    <w:rsid w:val="006E4978"/>
    <w:rsid w:val="006F69C8"/>
    <w:rsid w:val="007B0B81"/>
    <w:rsid w:val="008D796D"/>
    <w:rsid w:val="00C30D9D"/>
    <w:rsid w:val="00CD0D8A"/>
    <w:rsid w:val="00D42C45"/>
    <w:rsid w:val="00E7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95592"/>
  <w15:chartTrackingRefBased/>
  <w15:docId w15:val="{FCB49A0E-8644-4520-86E0-282829CE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B77"/>
    <w:pPr>
      <w:widowControl w:val="0"/>
      <w:spacing w:line="360" w:lineRule="auto"/>
      <w:jc w:val="both"/>
    </w:pPr>
    <w:rPr>
      <w:rFonts w:ascii="Times New Roman" w:eastAsia="宋体" w:hAnsi="Times New Roman" w:cs="Times New Roman"/>
      <w:sz w:val="24"/>
      <w:szCs w:val="24"/>
    </w:rPr>
  </w:style>
  <w:style w:type="paragraph" w:styleId="1">
    <w:name w:val="heading 1"/>
    <w:basedOn w:val="a"/>
    <w:next w:val="a"/>
    <w:link w:val="10"/>
    <w:uiPriority w:val="9"/>
    <w:qFormat/>
    <w:rsid w:val="00C30D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30D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0D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0D9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30D9D"/>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30D9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30D9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30D9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30D9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0D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30D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0D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0D9D"/>
    <w:rPr>
      <w:rFonts w:cstheme="majorBidi"/>
      <w:color w:val="0F4761" w:themeColor="accent1" w:themeShade="BF"/>
      <w:sz w:val="28"/>
      <w:szCs w:val="28"/>
    </w:rPr>
  </w:style>
  <w:style w:type="character" w:customStyle="1" w:styleId="50">
    <w:name w:val="标题 5 字符"/>
    <w:basedOn w:val="a0"/>
    <w:link w:val="5"/>
    <w:uiPriority w:val="9"/>
    <w:semiHidden/>
    <w:rsid w:val="00C30D9D"/>
    <w:rPr>
      <w:rFonts w:cstheme="majorBidi"/>
      <w:color w:val="0F4761" w:themeColor="accent1" w:themeShade="BF"/>
      <w:sz w:val="24"/>
      <w:szCs w:val="24"/>
    </w:rPr>
  </w:style>
  <w:style w:type="character" w:customStyle="1" w:styleId="60">
    <w:name w:val="标题 6 字符"/>
    <w:basedOn w:val="a0"/>
    <w:link w:val="6"/>
    <w:uiPriority w:val="9"/>
    <w:semiHidden/>
    <w:rsid w:val="00C30D9D"/>
    <w:rPr>
      <w:rFonts w:cstheme="majorBidi"/>
      <w:b/>
      <w:bCs/>
      <w:color w:val="0F4761" w:themeColor="accent1" w:themeShade="BF"/>
      <w:sz w:val="24"/>
      <w:szCs w:val="24"/>
    </w:rPr>
  </w:style>
  <w:style w:type="character" w:customStyle="1" w:styleId="70">
    <w:name w:val="标题 7 字符"/>
    <w:basedOn w:val="a0"/>
    <w:link w:val="7"/>
    <w:uiPriority w:val="9"/>
    <w:semiHidden/>
    <w:rsid w:val="00C30D9D"/>
    <w:rPr>
      <w:rFonts w:cstheme="majorBidi"/>
      <w:b/>
      <w:bCs/>
      <w:color w:val="595959" w:themeColor="text1" w:themeTint="A6"/>
      <w:sz w:val="24"/>
      <w:szCs w:val="24"/>
    </w:rPr>
  </w:style>
  <w:style w:type="character" w:customStyle="1" w:styleId="80">
    <w:name w:val="标题 8 字符"/>
    <w:basedOn w:val="a0"/>
    <w:link w:val="8"/>
    <w:uiPriority w:val="9"/>
    <w:semiHidden/>
    <w:rsid w:val="00C30D9D"/>
    <w:rPr>
      <w:rFonts w:cstheme="majorBidi"/>
      <w:color w:val="595959" w:themeColor="text1" w:themeTint="A6"/>
      <w:sz w:val="24"/>
      <w:szCs w:val="24"/>
    </w:rPr>
  </w:style>
  <w:style w:type="character" w:customStyle="1" w:styleId="90">
    <w:name w:val="标题 9 字符"/>
    <w:basedOn w:val="a0"/>
    <w:link w:val="9"/>
    <w:uiPriority w:val="9"/>
    <w:semiHidden/>
    <w:rsid w:val="00C30D9D"/>
    <w:rPr>
      <w:rFonts w:eastAsiaTheme="majorEastAsia" w:cstheme="majorBidi"/>
      <w:color w:val="595959" w:themeColor="text1" w:themeTint="A6"/>
      <w:sz w:val="24"/>
      <w:szCs w:val="24"/>
    </w:rPr>
  </w:style>
  <w:style w:type="paragraph" w:styleId="a3">
    <w:name w:val="Title"/>
    <w:basedOn w:val="a"/>
    <w:next w:val="a"/>
    <w:link w:val="a4"/>
    <w:uiPriority w:val="10"/>
    <w:qFormat/>
    <w:rsid w:val="00C30D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D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D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D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D9D"/>
    <w:pPr>
      <w:spacing w:before="160" w:after="160"/>
      <w:jc w:val="center"/>
    </w:pPr>
    <w:rPr>
      <w:i/>
      <w:iCs/>
      <w:color w:val="404040" w:themeColor="text1" w:themeTint="BF"/>
    </w:rPr>
  </w:style>
  <w:style w:type="character" w:customStyle="1" w:styleId="a8">
    <w:name w:val="引用 字符"/>
    <w:basedOn w:val="a0"/>
    <w:link w:val="a7"/>
    <w:uiPriority w:val="29"/>
    <w:rsid w:val="00C30D9D"/>
    <w:rPr>
      <w:rFonts w:ascii="Times New Roman" w:eastAsia="宋体" w:hAnsi="Times New Roman" w:cs="Times New Roman"/>
      <w:i/>
      <w:iCs/>
      <w:color w:val="404040" w:themeColor="text1" w:themeTint="BF"/>
      <w:sz w:val="24"/>
      <w:szCs w:val="24"/>
    </w:rPr>
  </w:style>
  <w:style w:type="paragraph" w:styleId="a9">
    <w:name w:val="List Paragraph"/>
    <w:basedOn w:val="a"/>
    <w:uiPriority w:val="34"/>
    <w:qFormat/>
    <w:rsid w:val="00C30D9D"/>
    <w:pPr>
      <w:ind w:left="720"/>
      <w:contextualSpacing/>
    </w:pPr>
  </w:style>
  <w:style w:type="character" w:styleId="aa">
    <w:name w:val="Intense Emphasis"/>
    <w:basedOn w:val="a0"/>
    <w:uiPriority w:val="21"/>
    <w:qFormat/>
    <w:rsid w:val="00C30D9D"/>
    <w:rPr>
      <w:i/>
      <w:iCs/>
      <w:color w:val="0F4761" w:themeColor="accent1" w:themeShade="BF"/>
    </w:rPr>
  </w:style>
  <w:style w:type="paragraph" w:styleId="ab">
    <w:name w:val="Intense Quote"/>
    <w:basedOn w:val="a"/>
    <w:next w:val="a"/>
    <w:link w:val="ac"/>
    <w:uiPriority w:val="30"/>
    <w:qFormat/>
    <w:rsid w:val="00C3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0D9D"/>
    <w:rPr>
      <w:rFonts w:ascii="Times New Roman" w:eastAsia="宋体" w:hAnsi="Times New Roman" w:cs="Times New Roman"/>
      <w:i/>
      <w:iCs/>
      <w:color w:val="0F4761" w:themeColor="accent1" w:themeShade="BF"/>
      <w:sz w:val="24"/>
      <w:szCs w:val="24"/>
    </w:rPr>
  </w:style>
  <w:style w:type="character" w:styleId="ad">
    <w:name w:val="Intense Reference"/>
    <w:basedOn w:val="a0"/>
    <w:uiPriority w:val="32"/>
    <w:qFormat/>
    <w:rsid w:val="00C30D9D"/>
    <w:rPr>
      <w:b/>
      <w:bCs/>
      <w:smallCaps/>
      <w:color w:val="0F4761" w:themeColor="accent1" w:themeShade="BF"/>
      <w:spacing w:val="5"/>
    </w:rPr>
  </w:style>
  <w:style w:type="paragraph" w:customStyle="1" w:styleId="ae">
    <w:name w:val="公式居中"/>
    <w:basedOn w:val="a"/>
    <w:qFormat/>
    <w:rsid w:val="00583B77"/>
    <w:pPr>
      <w:tabs>
        <w:tab w:val="center" w:pos="4150"/>
        <w:tab w:val="right" w:pos="8301"/>
      </w:tabs>
    </w:pPr>
    <w:rPr>
      <w:rFonts w:ascii="Cambria Math" w:hAnsi="Cambria Math"/>
      <w:i/>
      <w:szCs w:val="22"/>
    </w:rPr>
  </w:style>
  <w:style w:type="paragraph" w:styleId="af">
    <w:name w:val="header"/>
    <w:basedOn w:val="a"/>
    <w:link w:val="af0"/>
    <w:uiPriority w:val="99"/>
    <w:unhideWhenUsed/>
    <w:rsid w:val="00314D6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314D66"/>
    <w:rPr>
      <w:rFonts w:ascii="Times New Roman" w:eastAsia="宋体" w:hAnsi="Times New Roman" w:cs="Times New Roman"/>
      <w:sz w:val="18"/>
      <w:szCs w:val="18"/>
    </w:rPr>
  </w:style>
  <w:style w:type="paragraph" w:styleId="af1">
    <w:name w:val="footer"/>
    <w:basedOn w:val="a"/>
    <w:link w:val="af2"/>
    <w:uiPriority w:val="99"/>
    <w:unhideWhenUsed/>
    <w:rsid w:val="00314D6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314D6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H</dc:creator>
  <cp:keywords/>
  <dc:description/>
  <cp:lastModifiedBy>D H</cp:lastModifiedBy>
  <cp:revision>3</cp:revision>
  <dcterms:created xsi:type="dcterms:W3CDTF">2026-05-25T03:09:00Z</dcterms:created>
  <dcterms:modified xsi:type="dcterms:W3CDTF">2026-05-25T03:23:00Z</dcterms:modified>
</cp:coreProperties>
</file>