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72D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0" w:afterAutospacing="0"/>
        <w:ind w:left="0" w:right="0"/>
        <w:jc w:val="center"/>
        <w:rPr>
          <w:b/>
          <w:bCs/>
          <w:color w:val="1A1A2E"/>
          <w:spacing w:val="120"/>
          <w:sz w:val="36"/>
          <w:szCs w:val="36"/>
        </w:rPr>
      </w:pPr>
      <w:r>
        <w:rPr>
          <w:b/>
          <w:bCs/>
          <w:i w:val="0"/>
          <w:iCs w:val="0"/>
          <w:caps w:val="0"/>
          <w:color w:val="1A1A2E"/>
          <w:spacing w:val="120"/>
          <w:sz w:val="36"/>
          <w:szCs w:val="36"/>
          <w:bdr w:val="none" w:color="auto" w:sz="0" w:space="0"/>
          <w:shd w:val="clear" w:fill="FFFFFF"/>
        </w:rPr>
        <w:t>税务风险扫描工作底稿</w:t>
      </w:r>
    </w:p>
    <w:p w14:paraId="724FF2B2">
      <w:pPr>
        <w:keepNext w:val="0"/>
        <w:keepLines w:val="0"/>
        <w:widowControl/>
        <w:suppressLineNumbers w:val="0"/>
        <w:pBdr>
          <w:top w:val="none" w:color="auto" w:sz="0" w:space="0"/>
          <w:left w:val="none" w:color="auto" w:sz="0" w:space="0"/>
          <w:bottom w:val="double" w:color="1A1A2E" w:sz="6" w:space="0"/>
          <w:right w:val="none" w:color="auto" w:sz="0" w:space="0"/>
        </w:pBdr>
        <w:shd w:val="clear" w:fill="FFFFFF"/>
        <w:spacing w:before="0" w:beforeAutospacing="0" w:after="0" w:afterAutospacing="0" w:line="36" w:lineRule="atLeast"/>
        <w:ind w:left="0" w:right="0" w:firstLine="0"/>
        <w:jc w:val="center"/>
        <w:rPr>
          <w:rFonts w:ascii="微软雅黑" w:hAnsi="微软雅黑" w:eastAsia="微软雅黑" w:cs="微软雅黑"/>
          <w:i w:val="0"/>
          <w:iCs w:val="0"/>
          <w:caps w:val="0"/>
          <w:color w:val="555555"/>
          <w:spacing w:val="0"/>
          <w:sz w:val="21"/>
          <w:szCs w:val="21"/>
        </w:rPr>
      </w:pPr>
      <w:r>
        <w:rPr>
          <w:rFonts w:hint="eastAsia" w:ascii="微软雅黑" w:hAnsi="微软雅黑" w:eastAsia="微软雅黑" w:cs="微软雅黑"/>
          <w:i w:val="0"/>
          <w:iCs w:val="0"/>
          <w:caps w:val="0"/>
          <w:color w:val="555555"/>
          <w:spacing w:val="0"/>
          <w:kern w:val="0"/>
          <w:sz w:val="21"/>
          <w:szCs w:val="21"/>
          <w:bdr w:val="none" w:color="auto" w:sz="0" w:space="0"/>
          <w:shd w:val="clear" w:fill="FFFFFF"/>
          <w:lang w:val="en-US" w:eastAsia="zh-CN" w:bidi="ar"/>
        </w:rPr>
        <w:t>被检查企业：深圳海更数字传媒有限公司</w:t>
      </w:r>
      <w:r>
        <w:rPr>
          <w:rFonts w:hint="eastAsia" w:ascii="微软雅黑" w:hAnsi="微软雅黑" w:eastAsia="微软雅黑" w:cs="微软雅黑"/>
          <w:i w:val="0"/>
          <w:iCs w:val="0"/>
          <w:caps w:val="0"/>
          <w:color w:val="555555"/>
          <w:spacing w:val="0"/>
          <w:kern w:val="0"/>
          <w:sz w:val="21"/>
          <w:szCs w:val="21"/>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555555"/>
          <w:spacing w:val="0"/>
          <w:kern w:val="0"/>
          <w:sz w:val="21"/>
          <w:szCs w:val="21"/>
          <w:bdr w:val="none" w:color="auto" w:sz="0" w:space="0"/>
          <w:shd w:val="clear" w:fill="FFFFFF"/>
          <w:lang w:val="en-US" w:eastAsia="zh-CN" w:bidi="ar"/>
        </w:rPr>
        <w:t>统一社会信用代码：91440300MA5H824G7M</w:t>
      </w:r>
      <w:r>
        <w:rPr>
          <w:rFonts w:hint="eastAsia" w:ascii="微软雅黑" w:hAnsi="微软雅黑" w:eastAsia="微软雅黑" w:cs="微软雅黑"/>
          <w:i w:val="0"/>
          <w:iCs w:val="0"/>
          <w:caps w:val="0"/>
          <w:color w:val="555555"/>
          <w:spacing w:val="0"/>
          <w:kern w:val="0"/>
          <w:sz w:val="21"/>
          <w:szCs w:val="21"/>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555555"/>
          <w:spacing w:val="0"/>
          <w:kern w:val="0"/>
          <w:sz w:val="21"/>
          <w:szCs w:val="21"/>
          <w:bdr w:val="none" w:color="auto" w:sz="0" w:space="0"/>
          <w:shd w:val="clear" w:fill="FFFFFF"/>
          <w:lang w:val="en-US" w:eastAsia="zh-CN" w:bidi="ar"/>
        </w:rPr>
        <w:t>检查期间：2025-01 至 2025-12</w:t>
      </w:r>
      <w:r>
        <w:rPr>
          <w:rFonts w:hint="eastAsia" w:ascii="微软雅黑" w:hAnsi="微软雅黑" w:eastAsia="微软雅黑" w:cs="微软雅黑"/>
          <w:i w:val="0"/>
          <w:iCs w:val="0"/>
          <w:caps w:val="0"/>
          <w:color w:val="555555"/>
          <w:spacing w:val="0"/>
          <w:kern w:val="0"/>
          <w:sz w:val="21"/>
          <w:szCs w:val="21"/>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555555"/>
          <w:spacing w:val="0"/>
          <w:kern w:val="0"/>
          <w:sz w:val="21"/>
          <w:szCs w:val="21"/>
          <w:bdr w:val="none" w:color="auto" w:sz="0" w:space="0"/>
          <w:shd w:val="clear" w:fill="FFFFFF"/>
          <w:lang w:val="en-US" w:eastAsia="zh-CN" w:bidi="ar"/>
        </w:rPr>
        <w:t>报告日期：2026年10月08日 00时07分</w:t>
      </w:r>
    </w:p>
    <w:p w14:paraId="204D21AB">
      <w:pPr>
        <w:keepNext w:val="0"/>
        <w:keepLines w:val="0"/>
        <w:widowControl/>
        <w:suppressLineNumbers w:val="0"/>
        <w:pBdr>
          <w:top w:val="single" w:color="1E3A8A" w:sz="12" w:space="12"/>
          <w:left w:val="single" w:color="1E3A8A" w:sz="12" w:space="13"/>
          <w:bottom w:val="single" w:color="1E3A8A" w:sz="12" w:space="12"/>
          <w:right w:val="single" w:color="1E3A8A" w:sz="12" w:space="13"/>
        </w:pBdr>
        <w:shd w:val="clear" w:fill="EFF6FF"/>
        <w:spacing w:before="0" w:beforeAutospacing="0" w:after="360" w:afterAutospacing="0" w:line="28" w:lineRule="atLeast"/>
        <w:ind w:left="0" w:right="0" w:firstLine="0"/>
        <w:jc w:val="left"/>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kern w:val="0"/>
          <w:sz w:val="21"/>
          <w:szCs w:val="21"/>
          <w:bdr w:val="none" w:color="auto" w:sz="0" w:space="0"/>
          <w:shd w:val="clear" w:fill="EFF6FF"/>
          <w:lang w:val="en-US" w:eastAsia="zh-CN" w:bidi="ar"/>
        </w:rPr>
        <w:t>根据本轮税务风险检查工作安排，现对被检查企业提交并成功读取的财税资料实施检查，并将检查范围、实施程序、查明事实、税务影响、处理意见及后续复查要求报告如下。</w:t>
      </w:r>
    </w:p>
    <w:p w14:paraId="643DFA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20" w:beforeAutospacing="0" w:after="420" w:afterAutospacing="0"/>
        <w:ind w:left="0" w:right="0" w:firstLine="0"/>
        <w:jc w:val="left"/>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instrText xml:space="preserve"> HYPERLINK "http://127.0.0.1:8001/" \l "company-conclusion" </w:instrText>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separate"/>
      </w:r>
      <w:r>
        <w:rPr>
          <w:rStyle w:val="9"/>
          <w:rFonts w:hint="eastAsia" w:ascii="微软雅黑" w:hAnsi="微软雅黑" w:eastAsia="微软雅黑" w:cs="微软雅黑"/>
          <w:i w:val="0"/>
          <w:iCs w:val="0"/>
          <w:caps w:val="0"/>
          <w:color w:val="1A1A2E"/>
          <w:spacing w:val="0"/>
          <w:sz w:val="21"/>
          <w:szCs w:val="21"/>
          <w:u w:val="none"/>
          <w:bdr w:val="none" w:color="auto" w:sz="0" w:space="0"/>
          <w:shd w:val="clear" w:fill="FFFFFF"/>
        </w:rPr>
        <w:t>一、检查情况总述与总体结论</w:t>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1A1A2E"/>
          <w:spacing w:val="0"/>
          <w:kern w:val="0"/>
          <w:sz w:val="21"/>
          <w:szCs w:val="21"/>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instrText xml:space="preserve"> HYPERLINK "http://127.0.0.1:8001/" \l "company-problems" </w:instrText>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separate"/>
      </w:r>
      <w:r>
        <w:rPr>
          <w:rStyle w:val="9"/>
          <w:rFonts w:hint="eastAsia" w:ascii="微软雅黑" w:hAnsi="微软雅黑" w:eastAsia="微软雅黑" w:cs="微软雅黑"/>
          <w:i w:val="0"/>
          <w:iCs w:val="0"/>
          <w:caps w:val="0"/>
          <w:color w:val="1A1A2E"/>
          <w:spacing w:val="0"/>
          <w:sz w:val="21"/>
          <w:szCs w:val="21"/>
          <w:u w:val="none"/>
          <w:bdr w:val="none" w:color="auto" w:sz="0" w:space="0"/>
          <w:shd w:val="clear" w:fill="FFFFFF"/>
        </w:rPr>
        <w:t>二、本轮风险检查确认的具体问题（含各项的资料缺口与待澄清问题）</w:t>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1A1A2E"/>
          <w:spacing w:val="0"/>
          <w:kern w:val="0"/>
          <w:sz w:val="21"/>
          <w:szCs w:val="21"/>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instrText xml:space="preserve"> HYPERLINK "http://127.0.0.1:8001/" \l "company-scope-note" </w:instrText>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separate"/>
      </w:r>
      <w:r>
        <w:rPr>
          <w:rStyle w:val="9"/>
          <w:rFonts w:hint="eastAsia" w:ascii="微软雅黑" w:hAnsi="微软雅黑" w:eastAsia="微软雅黑" w:cs="微软雅黑"/>
          <w:i w:val="0"/>
          <w:iCs w:val="0"/>
          <w:caps w:val="0"/>
          <w:color w:val="1A1A2E"/>
          <w:spacing w:val="0"/>
          <w:sz w:val="21"/>
          <w:szCs w:val="21"/>
          <w:u w:val="none"/>
          <w:bdr w:val="none" w:color="auto" w:sz="0" w:space="0"/>
          <w:shd w:val="clear" w:fill="FFFFFF"/>
        </w:rPr>
        <w:t>三、本报告的覆盖范围声明（仅基于已上传资料）</w:t>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1A1A2E"/>
          <w:spacing w:val="0"/>
          <w:kern w:val="0"/>
          <w:sz w:val="21"/>
          <w:szCs w:val="21"/>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instrText xml:space="preserve"> HYPERLINK "http://127.0.0.1:8001/" \l "company-recheck" </w:instrText>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separate"/>
      </w:r>
      <w:r>
        <w:rPr>
          <w:rStyle w:val="9"/>
          <w:rFonts w:hint="eastAsia" w:ascii="微软雅黑" w:hAnsi="微软雅黑" w:eastAsia="微软雅黑" w:cs="微软雅黑"/>
          <w:i w:val="0"/>
          <w:iCs w:val="0"/>
          <w:caps w:val="0"/>
          <w:color w:val="1A1A2E"/>
          <w:spacing w:val="0"/>
          <w:sz w:val="21"/>
          <w:szCs w:val="21"/>
          <w:u w:val="none"/>
          <w:bdr w:val="none" w:color="auto" w:sz="0" w:space="0"/>
          <w:shd w:val="clear" w:fill="FFFFFF"/>
        </w:rPr>
        <w:t>四、整改验收与下一轮复查标准</w:t>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1A1A2E"/>
          <w:spacing w:val="0"/>
          <w:kern w:val="0"/>
          <w:sz w:val="21"/>
          <w:szCs w:val="21"/>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instrText xml:space="preserve"> HYPERLINK "http://127.0.0.1:8001/" \l "company-statement" </w:instrText>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separate"/>
      </w:r>
      <w:r>
        <w:rPr>
          <w:rStyle w:val="9"/>
          <w:rFonts w:hint="eastAsia" w:ascii="微软雅黑" w:hAnsi="微软雅黑" w:eastAsia="微软雅黑" w:cs="微软雅黑"/>
          <w:i w:val="0"/>
          <w:iCs w:val="0"/>
          <w:caps w:val="0"/>
          <w:color w:val="1A1A2E"/>
          <w:spacing w:val="0"/>
          <w:sz w:val="21"/>
          <w:szCs w:val="21"/>
          <w:u w:val="none"/>
          <w:bdr w:val="none" w:color="auto" w:sz="0" w:space="0"/>
          <w:shd w:val="clear" w:fill="FFFFFF"/>
        </w:rPr>
        <w:t>五、报告性质和使用说明</w:t>
      </w:r>
      <w:r>
        <w:rPr>
          <w:rFonts w:hint="eastAsia" w:ascii="微软雅黑" w:hAnsi="微软雅黑" w:eastAsia="微软雅黑" w:cs="微软雅黑"/>
          <w:i w:val="0"/>
          <w:iCs w:val="0"/>
          <w:caps w:val="0"/>
          <w:color w:val="1A1A2E"/>
          <w:spacing w:val="0"/>
          <w:kern w:val="0"/>
          <w:sz w:val="21"/>
          <w:szCs w:val="21"/>
          <w:u w:val="none"/>
          <w:bdr w:val="none" w:color="auto" w:sz="0" w:space="0"/>
          <w:shd w:val="clear" w:fill="FFFFFF"/>
          <w:lang w:val="en-US" w:eastAsia="zh-CN" w:bidi="ar"/>
        </w:rPr>
        <w:fldChar w:fldCharType="end"/>
      </w:r>
    </w:p>
    <w:p w14:paraId="47758127">
      <w:pPr>
        <w:pStyle w:val="3"/>
        <w:keepNext w:val="0"/>
        <w:keepLines w:val="0"/>
        <w:widowControl/>
        <w:suppressLineNumbers w:val="0"/>
        <w:pBdr>
          <w:top w:val="none" w:color="auto" w:sz="0" w:space="0"/>
          <w:left w:val="none" w:color="auto" w:sz="0" w:space="0"/>
          <w:bottom w:val="single" w:color="1A1A2E" w:sz="12" w:space="6"/>
          <w:right w:val="none" w:color="auto" w:sz="0" w:space="0"/>
        </w:pBdr>
        <w:shd w:val="clear" w:fill="FFFFFF"/>
        <w:spacing w:before="480" w:beforeAutospacing="0" w:after="240" w:afterAutospacing="0"/>
        <w:ind w:left="0" w:right="0" w:firstLine="0"/>
        <w:jc w:val="left"/>
        <w:rPr>
          <w:rFonts w:hint="eastAsia" w:ascii="微软雅黑" w:hAnsi="微软雅黑" w:eastAsia="微软雅黑" w:cs="微软雅黑"/>
          <w:b/>
          <w:bCs/>
          <w:i w:val="0"/>
          <w:iCs w:val="0"/>
          <w:caps w:val="0"/>
          <w:color w:val="1A1A2E"/>
          <w:spacing w:val="30"/>
          <w:sz w:val="25"/>
          <w:szCs w:val="25"/>
        </w:rPr>
      </w:pPr>
      <w:r>
        <w:rPr>
          <w:rFonts w:hint="eastAsia" w:ascii="微软雅黑" w:hAnsi="微软雅黑" w:eastAsia="微软雅黑" w:cs="微软雅黑"/>
          <w:b/>
          <w:bCs/>
          <w:i w:val="0"/>
          <w:iCs w:val="0"/>
          <w:caps w:val="0"/>
          <w:color w:val="1A1A2E"/>
          <w:spacing w:val="30"/>
          <w:sz w:val="25"/>
          <w:szCs w:val="25"/>
          <w:bdr w:val="none" w:color="auto" w:sz="0" w:space="0"/>
          <w:shd w:val="clear" w:fill="FFFFFF"/>
        </w:rPr>
        <w:t>一、检查情况总述与总体结论</w:t>
      </w:r>
    </w:p>
    <w:p w14:paraId="6F37337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64748B"/>
          <w:spacing w:val="0"/>
          <w:sz w:val="21"/>
          <w:szCs w:val="21"/>
        </w:rPr>
      </w:pPr>
      <w:r>
        <w:rPr>
          <w:rFonts w:hint="eastAsia" w:ascii="微软雅黑" w:hAnsi="微软雅黑" w:eastAsia="微软雅黑" w:cs="微软雅黑"/>
          <w:i w:val="0"/>
          <w:iCs w:val="0"/>
          <w:caps w:val="0"/>
          <w:color w:val="64748B"/>
          <w:spacing w:val="0"/>
          <w:sz w:val="21"/>
          <w:szCs w:val="21"/>
          <w:bdr w:val="none" w:color="auto" w:sz="0" w:space="0"/>
          <w:shd w:val="clear" w:fill="FFFFFF"/>
        </w:rPr>
        <w:t>编制声明：本轮已重新读取全部资料并重新计算，按“资料合规性核实 → 多源交叉比对 → 资金流向顺藤摸瓜追查 → 行业基准对标 → 规则与红线扫描 → 证据链闭合度评估”六步程序实施检查，以下为本轮复算结论。</w:t>
      </w:r>
    </w:p>
    <w:p w14:paraId="2BB28B6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企业整体风险综合评价：本轮结论受资料条件限制：必查资料共 14 类，实际提供 8 类、缺失 6 类（缺失清单与各自影响见本章「检查必查资料齐备性」及后面的受阻检查记录），部分检查程序因此未能完成。故以下结论是「现有资料条件下的风险画像」，不等于对企业涉税情况的完整结论，补齐资料后须重新判断。在资料受限的前提下，该企业的整体税务风险等级为「较高」（等级判据：本轮高风险 2 项、中风险 9 项；所列各项均为待补充资料事项，待补充资料后逐项定性）；风险高度集中于「税费申报」与「其他」两个领域，二者合计 11 项、占全部 16 项涉嫌风险事项的 69%。结合资料与核算管理尚不完备、多项异常线索指向具体涉嫌方向的实际情况，本轮对该企业纳税遵从的总体评价为：在已提交资料范围内呈现较高风险敞口，但主观故意性质尚不能认定，须以补充资料与核实为前提，再行判断其纳税义务履行的真实状况。</w:t>
      </w:r>
    </w:p>
    <w:p w14:paraId="253892A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检查范围与结果概览：本轮依据已上传的 12 类资料（102 份）实施检查，共识别并列示 16 项涉嫌风险事项，均存在资料层面的差异或异常线索。涉及税种（共9类）：企业所得税8项、增值税6项、个人所得税2项、社会保险费1项、印花税1项、城市维护建设税1项、教育费附加1项、地方教育附加1项、文化事业建设费1项（上述为「事项—税种关联次数」，一项可涉及多个税种，非事项数）。可能涉及的涉嫌方向包括：虚列人员、隐匿收入、隐瞒收入、虚增成本、转移利润、虚抵等。</w:t>
      </w:r>
    </w:p>
    <w:p w14:paraId="49123B9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行业口径：本轮按销项发票品名指向的「广告传媒」口径测算（来源：销项发票品名推断）。</w:t>
      </w:r>
    </w:p>
    <w:p w14:paraId="6659FE9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按风险性质归纳：收入完整性 1 项（银行收款大于申报收入）；发票与交易真实性 2 项（红字冲销与作废发票比例异常、数字特征异常）；成本费用真实性 1 项（成本列支的资金与负债证据不足）；工资社保与个税 1 项（工资表人数与社保参保人数不符）；税费申报 7 项（税前扣除限额超限未纳税调整、印花税计税依据不足、附加税费计税依据与增值税不匹配等）；其他 4 项（多税种联动稽查风险画像（收入、票账差异、资金）、同一交易对手同时出现在客户与供应商清单、固定资产取得、投用与折旧不匹配等）。</w:t>
      </w:r>
    </w:p>
    <w:p w14:paraId="266B434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风险等级评定：风险等级按潜在税额、涉及金额、证据缺口、是否涉及虚开或偷税、补充资料紧迫性五项综合排序（整体等级见本章首段「企业整体风险综合评价」，本段不复述）；各风险等级事项列示如下。</w:t>
      </w:r>
    </w:p>
    <w:p w14:paraId="74734F5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高风险 2 项：红字冲销与作废发票比例异常；多税种联动稽查风险画像（收入、票账差异、资金）。</w:t>
      </w:r>
    </w:p>
    <w:p w14:paraId="521C0A8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中风险 9 项：工资表人数与社保参保人数不符；银行收款大于申报收入；税前扣除限额超限未纳税调整；数字特征异常；印花税计税依据不足；附加税费计税依据与增值税不匹配；企业所得税贡献率偏低（对应风险指标：长期亏损仍持续经营：收入或成本不实；本项未认定到该指标的任何一条构成要件，也未就亏损这一前提作出认定）；同一交易对手同时出现在客户与供应商清单；增值税申报进项税额与进项发票税额月度差异。</w:t>
      </w:r>
    </w:p>
    <w:p w14:paraId="49497DE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低风险 3 项：固定资产取得、投用与折旧不匹配；向非居民支付境内所得未履行源泉扣缴；广告/娱乐服务未申报文化事业建设费。</w:t>
      </w:r>
    </w:p>
    <w:p w14:paraId="62F7197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已列明（证据不足，不参与风险等级排序）2 项：成本列支的资金与负债证据不足；股权转让未申报个人所得税。</w:t>
      </w:r>
    </w:p>
    <w:p w14:paraId="6A49C04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对企业纳税遵从情况的总体看法：本轮已逐项列明检查依据、可能涉及的涉嫌方向与需补资料；本轮各项均需补充外部证据后方可定性；风险等级与优先顺序仅表示补充资料紧迫性与潜在税务影响，不表示已经认定违法。主观故意方面：本轮不作认定——现有资料不足以判断上述差异系管理疏漏、核算差错，还是存在主观故意；须经补充资料与核实后另行判断。</w:t>
      </w:r>
    </w:p>
    <w:p w14:paraId="5CEA161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另有 6 项不属于风险疑点，而是因未收到相应资料、导致相关检查无法完成的检查受限记录，分别是：合同文件、资产负债表、利润表、企业所得税申报表、个税申报表、其他税种申报表；原因是检查所需资料未提供，不是已查出问题。它与上面列示的 16 项风险事项口径不同、不相互计入（本报告的风险事项合计 16 项，不因本段而增减）。补齐上述资料后，受影响的检查程序将重新执行；本段只表示本轮检查范围受限，不表示已经发生相应违法。</w:t>
      </w:r>
    </w:p>
    <w:p w14:paraId="70BC550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请企业负责人先按上述风险程度与优先顺序组织处理，并按要求补齐资料；完成真实更正和资料补充后，发起新一轮全量复查，继续核对原问题是否处理完成，以及补充资料是否带出新的关联问题。</w:t>
      </w:r>
    </w:p>
    <w:p w14:paraId="2B0F9E6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监管态度与后续处理建议（分级分类）：重点关注：对高风险事项（证据相对集中、涉及隐匿收入或虚开发票方向），建议列为后续优先检查事项；补充资料核实：对中风险事项，建议限期要求企业补充合同、物流、资金、入库等外部证据，逐项排除疑点；已列明事项：对证据不足事项，建议先行补充资料，不宜在证据补齐前作出处理结论；限期补正资料：对因资料缺失未能实施的检查，建议限期要求企业补齐后再行检查；提示提醒：对低风险事项，建议以提示提醒方式要求企业自行规范与整改。</w:t>
      </w:r>
    </w:p>
    <w:p w14:paraId="128F2DC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需要说明：本部分为工作建议，不构成税务处理、行政处罚或移送决定；是否达到移送标准，应在证据补齐并依法核实后另行判断。</w:t>
      </w:r>
    </w:p>
    <w:p w14:paraId="10475C0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150" w:afterAutospacing="0"/>
        <w:ind w:left="0" w:right="0" w:firstLine="0"/>
        <w:rPr>
          <w:rFonts w:hint="eastAsia" w:ascii="微软雅黑" w:hAnsi="微软雅黑" w:eastAsia="微软雅黑" w:cs="微软雅黑"/>
          <w:b/>
          <w:bCs/>
          <w:i w:val="0"/>
          <w:iCs w:val="0"/>
          <w:caps w:val="0"/>
          <w:color w:val="1A1A2E"/>
          <w:spacing w:val="0"/>
          <w:sz w:val="21"/>
          <w:szCs w:val="21"/>
        </w:rPr>
      </w:pPr>
      <w:r>
        <w:rPr>
          <w:rFonts w:hint="eastAsia" w:ascii="微软雅黑" w:hAnsi="微软雅黑" w:eastAsia="微软雅黑" w:cs="微软雅黑"/>
          <w:b/>
          <w:bCs/>
          <w:i w:val="0"/>
          <w:iCs w:val="0"/>
          <w:caps w:val="0"/>
          <w:color w:val="1A1A2E"/>
          <w:spacing w:val="0"/>
          <w:sz w:val="21"/>
          <w:szCs w:val="21"/>
          <w:bdr w:val="none" w:color="auto" w:sz="0" w:space="0"/>
          <w:shd w:val="clear" w:fill="FFFFFF"/>
        </w:rPr>
        <w:t>本轮检查必查资料齐备性</w:t>
      </w:r>
    </w:p>
    <w:p w14:paraId="589A739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本轮检查必查资料共 14 类，本轮已提供 8 类、缺失 6 类。资料不齐全：以下缺失将影响相应风险方向的检查（详见缺失清单）。本企业业态为服务型，天然无实物货物流转（该业态不适用：进销存分析、物料清单映射、加工费专项、水电能耗分析、存货周转、货物流核实），故下列资料不属于必查项，不因未提供而计入缺失：物料清单、产成品明细账、入库单、入库验收单、出入库单、出库单、出库单与领用单、存货台账、存货明细账、存货盘点表、完工入库单、承运合同、投料单、物流单据、物流单据与承运记录、盘点表、盘点表与毁损鉴定报告、过磅单、过磅单与入库验收单、运输与保险单据、运输单据、运输合同、进销存台账、领料单。</w:t>
      </w:r>
    </w:p>
    <w:p w14:paraId="010B77B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已提供资料：银行流水、销项发票、进项发票、记账凭证、工资表、社保明细、科目余额表、增值税申报表。</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866"/>
        <w:gridCol w:w="10014"/>
        <w:gridCol w:w="8821"/>
      </w:tblGrid>
      <w:tr w14:paraId="4CAFD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F8FAFC"/>
            <w:noWrap/>
            <w:tcMar>
              <w:top w:w="120" w:type="dxa"/>
              <w:left w:w="150" w:type="dxa"/>
              <w:bottom w:w="120" w:type="dxa"/>
              <w:right w:w="150" w:type="dxa"/>
            </w:tcMar>
            <w:vAlign w:val="center"/>
          </w:tcPr>
          <w:p w14:paraId="47F8BD97">
            <w:pPr>
              <w:keepNext w:val="0"/>
              <w:keepLines w:val="0"/>
              <w:widowControl/>
              <w:suppressLineNumbers w:val="0"/>
              <w:spacing w:before="0" w:beforeAutospacing="0" w:after="0" w:afterAutospacing="0"/>
              <w:ind w:left="0" w:right="0"/>
              <w:jc w:val="left"/>
              <w:rPr>
                <w:b/>
                <w:bCs/>
                <w:color w:val="374151"/>
                <w:sz w:val="19"/>
                <w:szCs w:val="19"/>
              </w:rPr>
            </w:pPr>
            <w:r>
              <w:rPr>
                <w:rFonts w:ascii="宋体" w:hAnsi="宋体" w:eastAsia="宋体" w:cs="宋体"/>
                <w:b/>
                <w:bCs/>
                <w:color w:val="374151"/>
                <w:kern w:val="0"/>
                <w:sz w:val="19"/>
                <w:szCs w:val="19"/>
                <w:bdr w:val="none" w:color="auto" w:sz="0" w:space="0"/>
                <w:lang w:val="en-US" w:eastAsia="zh-CN" w:bidi="ar"/>
              </w:rPr>
              <w:t>缺失资料</w:t>
            </w:r>
          </w:p>
        </w:tc>
        <w:tc>
          <w:tcPr>
            <w:tcW w:w="0" w:type="auto"/>
            <w:tcBorders>
              <w:top w:val="single" w:color="E2E8F0" w:sz="6" w:space="0"/>
              <w:left w:val="single" w:color="E2E8F0" w:sz="6" w:space="0"/>
              <w:bottom w:val="single" w:color="E2E8F0" w:sz="6" w:space="0"/>
              <w:right w:val="single" w:color="E2E8F0" w:sz="6" w:space="0"/>
            </w:tcBorders>
            <w:shd w:val="clear" w:color="auto" w:fill="F8FAFC"/>
            <w:noWrap/>
            <w:tcMar>
              <w:top w:w="120" w:type="dxa"/>
              <w:left w:w="150" w:type="dxa"/>
              <w:bottom w:w="120" w:type="dxa"/>
              <w:right w:w="150" w:type="dxa"/>
            </w:tcMar>
            <w:vAlign w:val="center"/>
          </w:tcPr>
          <w:p w14:paraId="0DA354B0">
            <w:pPr>
              <w:keepNext w:val="0"/>
              <w:keepLines w:val="0"/>
              <w:widowControl/>
              <w:suppressLineNumbers w:val="0"/>
              <w:spacing w:before="0" w:beforeAutospacing="0" w:after="0" w:afterAutospacing="0"/>
              <w:ind w:left="0" w:right="0"/>
              <w:jc w:val="left"/>
              <w:rPr>
                <w:b/>
                <w:bCs/>
                <w:color w:val="374151"/>
                <w:sz w:val="19"/>
                <w:szCs w:val="19"/>
              </w:rPr>
            </w:pPr>
            <w:r>
              <w:rPr>
                <w:rFonts w:ascii="宋体" w:hAnsi="宋体" w:eastAsia="宋体" w:cs="宋体"/>
                <w:b/>
                <w:bCs/>
                <w:color w:val="374151"/>
                <w:kern w:val="0"/>
                <w:sz w:val="19"/>
                <w:szCs w:val="19"/>
                <w:bdr w:val="none" w:color="auto" w:sz="0" w:space="0"/>
                <w:lang w:val="en-US" w:eastAsia="zh-CN" w:bidi="ar"/>
              </w:rPr>
              <w:t>将影响的风险检查方面</w:t>
            </w:r>
          </w:p>
        </w:tc>
        <w:tc>
          <w:tcPr>
            <w:tcW w:w="0" w:type="auto"/>
            <w:tcBorders>
              <w:top w:val="single" w:color="E2E8F0" w:sz="6" w:space="0"/>
              <w:left w:val="single" w:color="E2E8F0" w:sz="6" w:space="0"/>
              <w:bottom w:val="single" w:color="E2E8F0" w:sz="6" w:space="0"/>
              <w:right w:val="single" w:color="E2E8F0" w:sz="6" w:space="0"/>
            </w:tcBorders>
            <w:shd w:val="clear" w:color="auto" w:fill="F8FAFC"/>
            <w:noWrap/>
            <w:tcMar>
              <w:top w:w="120" w:type="dxa"/>
              <w:left w:w="150" w:type="dxa"/>
              <w:bottom w:w="120" w:type="dxa"/>
              <w:right w:w="150" w:type="dxa"/>
            </w:tcMar>
            <w:vAlign w:val="center"/>
          </w:tcPr>
          <w:p w14:paraId="659F1BDB">
            <w:pPr>
              <w:keepNext w:val="0"/>
              <w:keepLines w:val="0"/>
              <w:widowControl/>
              <w:suppressLineNumbers w:val="0"/>
              <w:spacing w:before="0" w:beforeAutospacing="0" w:after="0" w:afterAutospacing="0"/>
              <w:ind w:left="0" w:right="0"/>
              <w:jc w:val="left"/>
              <w:rPr>
                <w:b/>
                <w:bCs/>
                <w:color w:val="374151"/>
                <w:sz w:val="19"/>
                <w:szCs w:val="19"/>
              </w:rPr>
            </w:pPr>
            <w:r>
              <w:rPr>
                <w:rFonts w:ascii="宋体" w:hAnsi="宋体" w:eastAsia="宋体" w:cs="宋体"/>
                <w:b/>
                <w:bCs/>
                <w:color w:val="374151"/>
                <w:kern w:val="0"/>
                <w:sz w:val="19"/>
                <w:szCs w:val="19"/>
                <w:bdr w:val="none" w:color="auto" w:sz="0" w:space="0"/>
                <w:lang w:val="en-US" w:eastAsia="zh-CN" w:bidi="ar"/>
              </w:rPr>
              <w:t>补救要求</w:t>
            </w:r>
          </w:p>
        </w:tc>
      </w:tr>
      <w:tr w14:paraId="1C5C0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77FBD28C">
            <w:pPr>
              <w:keepNext w:val="0"/>
              <w:keepLines w:val="0"/>
              <w:widowControl/>
              <w:suppressLineNumbers w:val="0"/>
              <w:spacing w:before="0" w:beforeAutospacing="0" w:after="0" w:afterAutospacing="0"/>
              <w:ind w:left="0" w:right="0"/>
              <w:jc w:val="left"/>
              <w:rPr>
                <w:b/>
                <w:bCs/>
                <w:color w:val="991B1B"/>
                <w:sz w:val="19"/>
                <w:szCs w:val="19"/>
              </w:rPr>
            </w:pPr>
            <w:r>
              <w:rPr>
                <w:rFonts w:ascii="宋体" w:hAnsi="宋体" w:eastAsia="宋体" w:cs="宋体"/>
                <w:b/>
                <w:bCs/>
                <w:color w:val="991B1B"/>
                <w:kern w:val="0"/>
                <w:sz w:val="19"/>
                <w:szCs w:val="19"/>
                <w:bdr w:val="none" w:color="auto" w:sz="0" w:space="0"/>
                <w:lang w:val="en-US" w:eastAsia="zh-CN" w:bidi="ar"/>
              </w:rPr>
              <w:t>合同文件</w:t>
            </w:r>
          </w:p>
        </w:tc>
        <w:tc>
          <w:tcPr>
            <w:tcW w:w="0" w:type="auto"/>
            <w:tcBorders>
              <w:top w:val="single" w:color="E2E8F0" w:sz="6" w:space="0"/>
              <w:left w:val="single" w:color="E2E8F0" w:sz="6" w:space="0"/>
              <w:bottom w:val="single" w:color="E2E8F0" w:sz="6" w:space="0"/>
              <w:right w:val="single" w:color="E2E8F0" w:sz="6" w:space="0"/>
            </w:tcBorders>
            <w:shd w:val="clear"/>
            <w:noWrap/>
            <w:tcMar>
              <w:top w:w="120" w:type="dxa"/>
              <w:left w:w="150" w:type="dxa"/>
              <w:bottom w:w="120" w:type="dxa"/>
              <w:right w:w="150" w:type="dxa"/>
            </w:tcMar>
            <w:vAlign w:val="center"/>
          </w:tcPr>
          <w:p w14:paraId="509BEEC7">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业务真实性、五流一致、关联交易与定价、履约与结算匹配</w:t>
            </w:r>
          </w:p>
        </w:tc>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463F4EE6">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提供购销与服务合同，否则交易实质无法核实。</w:t>
            </w:r>
          </w:p>
        </w:tc>
      </w:tr>
      <w:tr w14:paraId="2B8E1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080AA75C">
            <w:pPr>
              <w:keepNext w:val="0"/>
              <w:keepLines w:val="0"/>
              <w:widowControl/>
              <w:suppressLineNumbers w:val="0"/>
              <w:spacing w:before="0" w:beforeAutospacing="0" w:after="0" w:afterAutospacing="0"/>
              <w:ind w:left="0" w:right="0"/>
              <w:jc w:val="left"/>
              <w:rPr>
                <w:b/>
                <w:bCs/>
                <w:color w:val="991B1B"/>
                <w:sz w:val="19"/>
                <w:szCs w:val="19"/>
              </w:rPr>
            </w:pPr>
            <w:r>
              <w:rPr>
                <w:rFonts w:ascii="宋体" w:hAnsi="宋体" w:eastAsia="宋体" w:cs="宋体"/>
                <w:b/>
                <w:bCs/>
                <w:color w:val="991B1B"/>
                <w:kern w:val="0"/>
                <w:sz w:val="19"/>
                <w:szCs w:val="19"/>
                <w:bdr w:val="none" w:color="auto" w:sz="0" w:space="0"/>
                <w:lang w:val="en-US" w:eastAsia="zh-CN" w:bidi="ar"/>
              </w:rPr>
              <w:t>资产负债表</w:t>
            </w:r>
          </w:p>
        </w:tc>
        <w:tc>
          <w:tcPr>
            <w:tcW w:w="0" w:type="auto"/>
            <w:tcBorders>
              <w:top w:val="single" w:color="E2E8F0" w:sz="6" w:space="0"/>
              <w:left w:val="single" w:color="E2E8F0" w:sz="6" w:space="0"/>
              <w:bottom w:val="single" w:color="E2E8F0" w:sz="6" w:space="0"/>
              <w:right w:val="single" w:color="E2E8F0" w:sz="6" w:space="0"/>
            </w:tcBorders>
            <w:shd w:val="clear"/>
            <w:noWrap/>
            <w:tcMar>
              <w:top w:w="120" w:type="dxa"/>
              <w:left w:w="150" w:type="dxa"/>
              <w:bottom w:w="120" w:type="dxa"/>
              <w:right w:w="150" w:type="dxa"/>
            </w:tcMar>
            <w:vAlign w:val="center"/>
          </w:tcPr>
          <w:p w14:paraId="5A7FE138">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资产负债结构异常、长期挂账往来款、净资产与申报勾稽</w:t>
            </w:r>
          </w:p>
        </w:tc>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6DABBF00">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提供资产负债表，否则资产端与权益端风险无法检查。</w:t>
            </w:r>
          </w:p>
        </w:tc>
      </w:tr>
      <w:tr w14:paraId="7F73A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3B23EAFE">
            <w:pPr>
              <w:keepNext w:val="0"/>
              <w:keepLines w:val="0"/>
              <w:widowControl/>
              <w:suppressLineNumbers w:val="0"/>
              <w:spacing w:before="0" w:beforeAutospacing="0" w:after="0" w:afterAutospacing="0"/>
              <w:ind w:left="0" w:right="0"/>
              <w:jc w:val="left"/>
              <w:rPr>
                <w:b/>
                <w:bCs/>
                <w:color w:val="991B1B"/>
                <w:sz w:val="19"/>
                <w:szCs w:val="19"/>
              </w:rPr>
            </w:pPr>
            <w:r>
              <w:rPr>
                <w:rFonts w:ascii="宋体" w:hAnsi="宋体" w:eastAsia="宋体" w:cs="宋体"/>
                <w:b/>
                <w:bCs/>
                <w:color w:val="991B1B"/>
                <w:kern w:val="0"/>
                <w:sz w:val="19"/>
                <w:szCs w:val="19"/>
                <w:bdr w:val="none" w:color="auto" w:sz="0" w:space="0"/>
                <w:lang w:val="en-US" w:eastAsia="zh-CN" w:bidi="ar"/>
              </w:rPr>
              <w:t>利润表</w:t>
            </w:r>
          </w:p>
        </w:tc>
        <w:tc>
          <w:tcPr>
            <w:tcW w:w="0" w:type="auto"/>
            <w:tcBorders>
              <w:top w:val="single" w:color="E2E8F0" w:sz="6" w:space="0"/>
              <w:left w:val="single" w:color="E2E8F0" w:sz="6" w:space="0"/>
              <w:bottom w:val="single" w:color="E2E8F0" w:sz="6" w:space="0"/>
              <w:right w:val="single" w:color="E2E8F0" w:sz="6" w:space="0"/>
            </w:tcBorders>
            <w:shd w:val="clear"/>
            <w:noWrap/>
            <w:tcMar>
              <w:top w:w="120" w:type="dxa"/>
              <w:left w:w="150" w:type="dxa"/>
              <w:bottom w:w="120" w:type="dxa"/>
              <w:right w:w="150" w:type="dxa"/>
            </w:tcMar>
            <w:vAlign w:val="center"/>
          </w:tcPr>
          <w:p w14:paraId="25EBA76D">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成本费用结构、毛利率异常、期间费用合理性、两税收入差异</w:t>
            </w:r>
          </w:p>
        </w:tc>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5880F88A">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提供利润表，否则利润构成与收入成本配比无法检查。</w:t>
            </w:r>
          </w:p>
        </w:tc>
      </w:tr>
      <w:tr w14:paraId="01F00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371F0E23">
            <w:pPr>
              <w:keepNext w:val="0"/>
              <w:keepLines w:val="0"/>
              <w:widowControl/>
              <w:suppressLineNumbers w:val="0"/>
              <w:spacing w:before="0" w:beforeAutospacing="0" w:after="0" w:afterAutospacing="0"/>
              <w:ind w:left="0" w:right="0"/>
              <w:jc w:val="left"/>
              <w:rPr>
                <w:b/>
                <w:bCs/>
                <w:color w:val="991B1B"/>
                <w:sz w:val="19"/>
                <w:szCs w:val="19"/>
              </w:rPr>
            </w:pPr>
            <w:r>
              <w:rPr>
                <w:rFonts w:ascii="宋体" w:hAnsi="宋体" w:eastAsia="宋体" w:cs="宋体"/>
                <w:b/>
                <w:bCs/>
                <w:color w:val="991B1B"/>
                <w:kern w:val="0"/>
                <w:sz w:val="19"/>
                <w:szCs w:val="19"/>
                <w:bdr w:val="none" w:color="auto" w:sz="0" w:space="0"/>
                <w:lang w:val="en-US" w:eastAsia="zh-CN" w:bidi="ar"/>
              </w:rPr>
              <w:t>企业所得税申报表</w:t>
            </w:r>
          </w:p>
        </w:tc>
        <w:tc>
          <w:tcPr>
            <w:tcW w:w="0" w:type="auto"/>
            <w:tcBorders>
              <w:top w:val="single" w:color="E2E8F0" w:sz="6" w:space="0"/>
              <w:left w:val="single" w:color="E2E8F0" w:sz="6" w:space="0"/>
              <w:bottom w:val="single" w:color="E2E8F0" w:sz="6" w:space="0"/>
              <w:right w:val="single" w:color="E2E8F0" w:sz="6" w:space="0"/>
            </w:tcBorders>
            <w:shd w:val="clear"/>
            <w:noWrap/>
            <w:tcMar>
              <w:top w:w="120" w:type="dxa"/>
              <w:left w:w="150" w:type="dxa"/>
              <w:bottom w:w="120" w:type="dxa"/>
              <w:right w:w="150" w:type="dxa"/>
            </w:tcMar>
            <w:vAlign w:val="center"/>
          </w:tcPr>
          <w:p w14:paraId="54CE45AF">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扣除限额与纳税调整、亏损弥补合规、暂估成本税前扣除、两税收入差异</w:t>
            </w:r>
          </w:p>
        </w:tc>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6598174D">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提供企业所得税申报表，否则所得税侧风险无法检查。</w:t>
            </w:r>
          </w:p>
        </w:tc>
      </w:tr>
      <w:tr w14:paraId="2C13E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50E0C3A4">
            <w:pPr>
              <w:keepNext w:val="0"/>
              <w:keepLines w:val="0"/>
              <w:widowControl/>
              <w:suppressLineNumbers w:val="0"/>
              <w:spacing w:before="0" w:beforeAutospacing="0" w:after="0" w:afterAutospacing="0"/>
              <w:ind w:left="0" w:right="0"/>
              <w:jc w:val="left"/>
              <w:rPr>
                <w:b/>
                <w:bCs/>
                <w:color w:val="991B1B"/>
                <w:sz w:val="19"/>
                <w:szCs w:val="19"/>
              </w:rPr>
            </w:pPr>
            <w:r>
              <w:rPr>
                <w:rFonts w:ascii="宋体" w:hAnsi="宋体" w:eastAsia="宋体" w:cs="宋体"/>
                <w:b/>
                <w:bCs/>
                <w:color w:val="991B1B"/>
                <w:kern w:val="0"/>
                <w:sz w:val="19"/>
                <w:szCs w:val="19"/>
                <w:bdr w:val="none" w:color="auto" w:sz="0" w:space="0"/>
                <w:lang w:val="en-US" w:eastAsia="zh-CN" w:bidi="ar"/>
              </w:rPr>
              <w:t>个税申报表</w:t>
            </w:r>
          </w:p>
        </w:tc>
        <w:tc>
          <w:tcPr>
            <w:tcW w:w="0" w:type="auto"/>
            <w:tcBorders>
              <w:top w:val="single" w:color="E2E8F0" w:sz="6" w:space="0"/>
              <w:left w:val="single" w:color="E2E8F0" w:sz="6" w:space="0"/>
              <w:bottom w:val="single" w:color="E2E8F0" w:sz="6" w:space="0"/>
              <w:right w:val="single" w:color="E2E8F0" w:sz="6" w:space="0"/>
            </w:tcBorders>
            <w:shd w:val="clear"/>
            <w:noWrap/>
            <w:tcMar>
              <w:top w:w="120" w:type="dxa"/>
              <w:left w:w="150" w:type="dxa"/>
              <w:bottom w:w="120" w:type="dxa"/>
              <w:right w:w="150" w:type="dxa"/>
            </w:tcMar>
            <w:vAlign w:val="center"/>
          </w:tcPr>
          <w:p w14:paraId="51499A8C">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个税扣缴合规、劳务报酬代扣、工资拆分线索</w:t>
            </w:r>
          </w:p>
        </w:tc>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64ADFD9D">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提供个人所得税扣缴申报表，否则扣缴义务履行情况无法检查。</w:t>
            </w:r>
          </w:p>
        </w:tc>
      </w:tr>
      <w:tr w14:paraId="138A6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6D3577BC">
            <w:pPr>
              <w:keepNext w:val="0"/>
              <w:keepLines w:val="0"/>
              <w:widowControl/>
              <w:suppressLineNumbers w:val="0"/>
              <w:spacing w:before="0" w:beforeAutospacing="0" w:after="0" w:afterAutospacing="0"/>
              <w:ind w:left="0" w:right="0"/>
              <w:jc w:val="left"/>
              <w:rPr>
                <w:b/>
                <w:bCs/>
                <w:color w:val="991B1B"/>
                <w:sz w:val="19"/>
                <w:szCs w:val="19"/>
              </w:rPr>
            </w:pPr>
            <w:r>
              <w:rPr>
                <w:rFonts w:ascii="宋体" w:hAnsi="宋体" w:eastAsia="宋体" w:cs="宋体"/>
                <w:b/>
                <w:bCs/>
                <w:color w:val="991B1B"/>
                <w:kern w:val="0"/>
                <w:sz w:val="19"/>
                <w:szCs w:val="19"/>
                <w:bdr w:val="none" w:color="auto" w:sz="0" w:space="0"/>
                <w:lang w:val="en-US" w:eastAsia="zh-CN" w:bidi="ar"/>
              </w:rPr>
              <w:t>其他税种申报表</w:t>
            </w:r>
          </w:p>
        </w:tc>
        <w:tc>
          <w:tcPr>
            <w:tcW w:w="0" w:type="auto"/>
            <w:tcBorders>
              <w:top w:val="single" w:color="E2E8F0" w:sz="6" w:space="0"/>
              <w:left w:val="single" w:color="E2E8F0" w:sz="6" w:space="0"/>
              <w:bottom w:val="single" w:color="E2E8F0" w:sz="6" w:space="0"/>
              <w:right w:val="single" w:color="E2E8F0" w:sz="6" w:space="0"/>
            </w:tcBorders>
            <w:shd w:val="clear"/>
            <w:noWrap/>
            <w:tcMar>
              <w:top w:w="120" w:type="dxa"/>
              <w:left w:w="150" w:type="dxa"/>
              <w:bottom w:w="120" w:type="dxa"/>
              <w:right w:w="150" w:type="dxa"/>
            </w:tcMar>
            <w:vAlign w:val="center"/>
          </w:tcPr>
          <w:p w14:paraId="24B4B6C4">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印花税漏报、房产税漏报、城建税及附加附征、其他财产行为税</w:t>
            </w:r>
          </w:p>
        </w:tc>
        <w:tc>
          <w:tcPr>
            <w:tcW w:w="0" w:type="auto"/>
            <w:tcBorders>
              <w:top w:val="single" w:color="E2E8F0" w:sz="6" w:space="0"/>
              <w:left w:val="single" w:color="E2E8F0" w:sz="6" w:space="0"/>
              <w:bottom w:val="single" w:color="E2E8F0" w:sz="6" w:space="0"/>
              <w:right w:val="single" w:color="E2E8F0" w:sz="6" w:space="0"/>
            </w:tcBorders>
            <w:shd w:val="clear" w:color="auto" w:fill="FFFFFF"/>
            <w:noWrap/>
            <w:tcMar>
              <w:top w:w="120" w:type="dxa"/>
              <w:left w:w="150" w:type="dxa"/>
              <w:bottom w:w="120" w:type="dxa"/>
              <w:right w:w="150" w:type="dxa"/>
            </w:tcMar>
            <w:vAlign w:val="center"/>
          </w:tcPr>
          <w:p w14:paraId="534B42B5">
            <w:pPr>
              <w:keepNext w:val="0"/>
              <w:keepLines w:val="0"/>
              <w:widowControl/>
              <w:suppressLineNumbers w:val="0"/>
              <w:spacing w:before="0" w:beforeAutospacing="0" w:after="0" w:afterAutospacing="0"/>
              <w:ind w:left="0" w:right="0"/>
              <w:jc w:val="left"/>
              <w:rPr>
                <w:color w:val="374151"/>
                <w:sz w:val="19"/>
                <w:szCs w:val="19"/>
              </w:rPr>
            </w:pPr>
            <w:r>
              <w:rPr>
                <w:rFonts w:ascii="宋体" w:hAnsi="宋体" w:eastAsia="宋体" w:cs="宋体"/>
                <w:color w:val="374151"/>
                <w:kern w:val="0"/>
                <w:sz w:val="19"/>
                <w:szCs w:val="19"/>
                <w:bdr w:val="none" w:color="auto" w:sz="0" w:space="0"/>
                <w:lang w:val="en-US" w:eastAsia="zh-CN" w:bidi="ar"/>
              </w:rPr>
              <w:t>提供印花税、房产税等申报表，否则财产行为税风险无法检查。</w:t>
            </w:r>
          </w:p>
        </w:tc>
      </w:tr>
    </w:tbl>
    <w:p w14:paraId="7DAEBDE4">
      <w:pPr>
        <w:pStyle w:val="3"/>
        <w:keepNext w:val="0"/>
        <w:keepLines w:val="0"/>
        <w:widowControl/>
        <w:suppressLineNumbers w:val="0"/>
        <w:pBdr>
          <w:top w:val="none" w:color="auto" w:sz="0" w:space="0"/>
          <w:left w:val="none" w:color="auto" w:sz="0" w:space="0"/>
          <w:bottom w:val="single" w:color="1A1A2E" w:sz="12" w:space="6"/>
          <w:right w:val="none" w:color="auto" w:sz="0" w:space="0"/>
        </w:pBdr>
        <w:shd w:val="clear" w:fill="FFFFFF"/>
        <w:spacing w:before="480" w:beforeAutospacing="0" w:after="240" w:afterAutospacing="0"/>
        <w:ind w:left="0" w:right="0" w:firstLine="0"/>
        <w:jc w:val="left"/>
        <w:rPr>
          <w:rFonts w:hint="eastAsia" w:ascii="微软雅黑" w:hAnsi="微软雅黑" w:eastAsia="微软雅黑" w:cs="微软雅黑"/>
          <w:b/>
          <w:bCs/>
          <w:i w:val="0"/>
          <w:iCs w:val="0"/>
          <w:caps w:val="0"/>
          <w:color w:val="1A1A2E"/>
          <w:spacing w:val="30"/>
          <w:sz w:val="25"/>
          <w:szCs w:val="25"/>
        </w:rPr>
      </w:pPr>
      <w:r>
        <w:rPr>
          <w:rFonts w:hint="eastAsia" w:ascii="微软雅黑" w:hAnsi="微软雅黑" w:eastAsia="微软雅黑" w:cs="微软雅黑"/>
          <w:b/>
          <w:bCs/>
          <w:i w:val="0"/>
          <w:iCs w:val="0"/>
          <w:caps w:val="0"/>
          <w:color w:val="1A1A2E"/>
          <w:spacing w:val="30"/>
          <w:sz w:val="25"/>
          <w:szCs w:val="25"/>
          <w:bdr w:val="none" w:color="auto" w:sz="0" w:space="0"/>
          <w:shd w:val="clear" w:fill="FFFFFF"/>
        </w:rPr>
        <w:t>二、本轮风险检查确认的具体问题（税务红线疑点）</w:t>
      </w:r>
    </w:p>
    <w:p w14:paraId="69B470A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本部分按</w:t>
      </w: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税务红线</w:t>
      </w:r>
      <w:r>
        <w:rPr>
          <w:rFonts w:hint="eastAsia" w:ascii="微软雅黑" w:hAnsi="微软雅黑" w:eastAsia="微软雅黑" w:cs="微软雅黑"/>
          <w:i w:val="0"/>
          <w:iCs w:val="0"/>
          <w:caps w:val="0"/>
          <w:color w:val="1A1A2E"/>
          <w:spacing w:val="0"/>
          <w:sz w:val="21"/>
          <w:szCs w:val="21"/>
          <w:bdr w:val="none" w:color="auto" w:sz="0" w:space="0"/>
          <w:shd w:val="clear" w:fill="FFFFFF"/>
        </w:rPr>
        <w:t>组织。每一条说明：涉及的风险事项、发现的依据、已取得的资料与待补充的资料、本项结论及理由，以及需企业提供的资料与说明。</w:t>
      </w:r>
    </w:p>
    <w:p w14:paraId="596048B7">
      <w:pPr>
        <w:pStyle w:val="5"/>
        <w:keepNext w:val="0"/>
        <w:keepLines w:val="0"/>
        <w:widowControl/>
        <w:suppressLineNumbers w:val="0"/>
        <w:pBdr>
          <w:top w:val="none" w:color="auto" w:sz="0" w:space="0"/>
          <w:left w:val="single" w:color="1D4ED8" w:sz="18" w:space="9"/>
          <w:bottom w:val="none" w:color="auto" w:sz="0" w:space="0"/>
          <w:right w:val="none" w:color="auto" w:sz="0" w:space="0"/>
        </w:pBdr>
        <w:shd w:val="clear" w:fill="EEF2FF"/>
        <w:spacing w:before="120" w:beforeAutospacing="0" w:after="120" w:afterAutospacing="0" w:line="30"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EEF2FF"/>
        </w:rPr>
        <w:t>主线研判：本轮共 16 项风险事项（高风险 2 项、中风险 9 项、低风险 3 项、已列明 2 项）。按事项数量、风险等级、证据地位与潜在税额影响综合排序，本轮最可能的问题方向为：①「税费申报」7 项，代表事项：税前扣除限额超限未纳税调整；②「其他」4 项（含高风险 1 项），代表事项：多税种联动稽查风险画像（收入、票账差异、资金）；③「发票与交易真实性」2 项（含高风险 1 项），代表事项：红字冲销与作废发票比例异常。可能涉及的涉嫌方向包括：虚列人员、隐匿收入、隐瞒收入、虚增成本、转移利润、虚抵等。据此，建议按上述顺序优先组织核实与整改。</w:t>
      </w:r>
    </w:p>
    <w:p w14:paraId="7F72E0D1">
      <w:pPr>
        <w:pStyle w:val="5"/>
        <w:keepNext w:val="0"/>
        <w:keepLines w:val="0"/>
        <w:widowControl/>
        <w:suppressLineNumbers w:val="0"/>
        <w:pBdr>
          <w:top w:val="none" w:color="auto" w:sz="0" w:space="0"/>
          <w:left w:val="single" w:color="F59E0B" w:sz="18" w:space="9"/>
          <w:bottom w:val="none" w:color="auto" w:sz="0" w:space="0"/>
          <w:right w:val="none" w:color="auto" w:sz="0" w:space="0"/>
        </w:pBdr>
        <w:shd w:val="clear" w:fill="FFF7ED"/>
        <w:spacing w:before="120" w:beforeAutospacing="0" w:after="120" w:afterAutospacing="0" w:line="30"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7ED"/>
        </w:rPr>
        <w:t>本轮潜在税额敞口（测算）</w:t>
      </w:r>
      <w:r>
        <w:rPr>
          <w:rFonts w:hint="eastAsia" w:ascii="微软雅黑" w:hAnsi="微软雅黑" w:eastAsia="微软雅黑" w:cs="微软雅黑"/>
          <w:i w:val="0"/>
          <w:iCs w:val="0"/>
          <w:caps w:val="0"/>
          <w:color w:val="1A1A2E"/>
          <w:spacing w:val="0"/>
          <w:sz w:val="21"/>
          <w:szCs w:val="21"/>
          <w:bdr w:val="none" w:color="auto" w:sz="0" w:space="0"/>
          <w:shd w:val="clear" w:fill="FFF7ED"/>
        </w:rPr>
        <w:t xml:space="preserve">：合计约 </w:t>
      </w:r>
      <w:r>
        <w:rPr>
          <w:rStyle w:val="8"/>
          <w:rFonts w:hint="eastAsia" w:ascii="微软雅黑" w:hAnsi="微软雅黑" w:eastAsia="微软雅黑" w:cs="微软雅黑"/>
          <w:i w:val="0"/>
          <w:iCs w:val="0"/>
          <w:caps w:val="0"/>
          <w:color w:val="1A1A2E"/>
          <w:spacing w:val="0"/>
          <w:sz w:val="21"/>
          <w:szCs w:val="21"/>
          <w:bdr w:val="none" w:color="auto" w:sz="0" w:space="0"/>
          <w:shd w:val="clear" w:fill="FFF7ED"/>
        </w:rPr>
        <w:t>105,606.89 元</w:t>
      </w:r>
      <w:r>
        <w:rPr>
          <w:rFonts w:hint="eastAsia" w:ascii="微软雅黑" w:hAnsi="微软雅黑" w:eastAsia="微软雅黑" w:cs="微软雅黑"/>
          <w:i w:val="0"/>
          <w:iCs w:val="0"/>
          <w:caps w:val="0"/>
          <w:color w:val="1A1A2E"/>
          <w:spacing w:val="0"/>
          <w:sz w:val="21"/>
          <w:szCs w:val="21"/>
          <w:bdr w:val="none" w:color="auto" w:sz="0" w:space="0"/>
          <w:shd w:val="clear" w:fill="FFF7ED"/>
        </w:rPr>
        <w:t>（企业所得税 105,606.89 元；个人所得税 0.00 元；社会保险费 0.00 元）。已量化 2 项、未量化 14 项（合计 16 项），未量化项在检查记录中尚无明确金额，须补资料后测算。</w:t>
      </w:r>
      <w:r>
        <w:rPr>
          <w:rFonts w:hint="eastAsia" w:ascii="微软雅黑" w:hAnsi="微软雅黑" w:eastAsia="微软雅黑" w:cs="微软雅黑"/>
          <w:i w:val="0"/>
          <w:iCs w:val="0"/>
          <w:caps w:val="0"/>
          <w:color w:val="1A1A2E"/>
          <w:spacing w:val="0"/>
          <w:sz w:val="21"/>
          <w:szCs w:val="21"/>
          <w:bdr w:val="none" w:color="auto" w:sz="0" w:space="0"/>
          <w:shd w:val="clear" w:fill="FFF7ED"/>
        </w:rPr>
        <w:br w:type="textWrapping"/>
      </w:r>
      <w:r>
        <w:rPr>
          <w:rFonts w:hint="eastAsia" w:ascii="微软雅黑" w:hAnsi="微软雅黑" w:eastAsia="微软雅黑" w:cs="微软雅黑"/>
          <w:i w:val="0"/>
          <w:iCs w:val="0"/>
          <w:caps w:val="0"/>
          <w:color w:val="64748B"/>
          <w:spacing w:val="0"/>
          <w:sz w:val="18"/>
          <w:szCs w:val="18"/>
          <w:bdr w:val="none" w:color="auto" w:sz="0" w:space="0"/>
          <w:shd w:val="clear" w:fill="FFF7ED"/>
        </w:rPr>
        <w:t>【口径声明】潜在税额敞口为按适用税率的粗略测算（税率语境见各项明细），仅供评估量级，不构成核定，也不等于应补税额。① 含税口径：锚定语境标注为「价税合计／含税」的，已按适用税率价税分离为不含税后再测算；未标注含税的按不含税处理，两者不可混比。② 增值税部分**未考虑**进项留抵、已转出进项税额与留抵抵减，亦未区分是否实际造成少缴，故为**上界**。③ 企业所得税部分**未考虑**亏损弥补与以前年度结转，故为**上界**。④ **未考虑**附加税减半征收、小微企业等税收优惠；企业所得税若按小型微利口径估算，本轮**未取得**从业人数、资产总额、应纳税所得额，**未验证**是否符合小型微利企业条件（三条件须同时满足）。⑤ 红字冲销／作废发票类按销项全额估算上限，**未扣减**对应蓝字发票与已冲回部分。⑥ 各事项间金额可能重叠（同一笔款项可能被多个疑点引用），敞口合计为最坏情形上界，**不可逐项相加用于缴款**。⑦ 未量化的项表示检查记录中尚无明确金额，需要补资料后测算。</w:t>
      </w:r>
    </w:p>
    <w:p w14:paraId="20137A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疑点1：红字冲销与作废发票比例异常</w:t>
      </w:r>
      <w:r>
        <w:rPr>
          <w:rFonts w:ascii="宋体" w:hAnsi="宋体" w:eastAsia="宋体" w:cs="宋体"/>
          <w:b/>
          <w:bCs/>
          <w:color w:val="FFFFFF"/>
          <w:kern w:val="0"/>
          <w:sz w:val="18"/>
          <w:szCs w:val="18"/>
          <w:bdr w:val="none" w:color="auto" w:sz="0" w:space="0"/>
          <w:shd w:val="clear" w:fill="B91C1C"/>
          <w:lang w:val="en-US" w:eastAsia="zh-CN" w:bidi="ar"/>
        </w:rPr>
        <w:t>办理顺序：第一项</w:t>
      </w:r>
    </w:p>
    <w:p w14:paraId="7B67ACAA">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通过红冲调节销项税额、配合受票方虚开后冲回。从本次上传资料来看，本企业本项已查明的风险；未认定到构成要件的可能性中等，但能补全尚缺的3项资料来排除此项税务风险嫌疑。本项涉税嫌疑，涉及增值税；潜在税额影响：未量化（缺明确金额，须补资料后测算）。</w:t>
      </w:r>
    </w:p>
    <w:p w14:paraId="0C5BD9EC">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0E7BC1A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2C5340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本项之所以列入检查，是因为出现了以下情况：红冲/作废发票情形（共13笔）（本表 13 行，涉及 10 个对象，按方向分列（不跨方向加总）：销项发票 4 行、金额合计 1,015,900.00 元；进项发票 9 行、金额合计 269,550.57 元）。本项对应的风险指标是红字冲销与作废发票比例异常——凡出现上述情形即纳入检查范围；是否成立，另按本项构成要件逐条核对（见下）。</w:t>
      </w:r>
    </w:p>
    <w:p w14:paraId="3E08470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6DC2E48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46E757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红字冲销与作废发票比例异常认定到任何一条构成要件：账内检出需进一步核实的信号——共13张发票涉及红冲/作废：其中红字发票（红冲）13张、作废0张。下列要件清单是本项对应的判断标准，逐条核对结果见下：</w:t>
      </w:r>
    </w:p>
    <w:p w14:paraId="3F06EF1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本项（红字冲销与作废发票比例异常）：经核对，本企业未涉及任何一条构成要件（仅已单独核对且符合情形的要件计入）；本项共 7 条构成要件：已单独核对 0 条（符合情形 0 条、未发现符合 0 条、有信号但未达数值门槛 0 条）；未形成核对结论 4 条（资料已取得但缺对应核对证据，不作未发现符合认定）；未单独核对 3 条（独立数据源本轮未取得，均不计入涉及）。</w:t>
      </w:r>
    </w:p>
    <w:p w14:paraId="55EA0AF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存在红字发票或作废发票（红冲行为）——这项属于现象/前提条，存在即成立，不设比例阈值；占比只作证据（未形成核对结论（资料已取得但缺本要件的对应核对证据，不作未发现符合认定）；独立数据源：销项发票、进项发票｜已有）</w:t>
      </w:r>
    </w:p>
    <w:p w14:paraId="0CB948A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红冲发生在月末、季末或申报期前后等敏感时点（未形成核对结论（资料已取得但缺本要件的对应核对证据，不作未发现符合认定）；独立数据源：销项发票、进项发票｜已有）</w:t>
      </w:r>
    </w:p>
    <w:p w14:paraId="7B690E3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红冲无对应退货单、折让协议等合法事由（未单独核对（独立数据源本轮未取得）；独立数据源：退货单、折让协议、拒收证明｜缺失）</w:t>
      </w:r>
    </w:p>
    <w:p w14:paraId="1DAE701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红字发票缺《红字发票信息确认单》，或与被冲减蓝字发票不配平（无对应蓝票、购方或金额不符、非一正一负配平）（未单独核对（独立数据源本轮未取得）；独立数据源：红字发票信息确认单、销项发票、进项发票、被冲减蓝字发票｜须核对）</w:t>
      </w:r>
    </w:p>
    <w:p w14:paraId="45EC84F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存在跨年度红冲，或单张红冲金额高于同期蓝票水平（可能跨期调节收入、冲减上年度利润）（未形成核对结论（资料已取得但缺本要件的对应核对证据，不作未发现符合认定）；独立数据源：销项发票、进项发票｜已有）</w:t>
      </w:r>
    </w:p>
    <w:p w14:paraId="2279B8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⑥ 频繁作废发票后重新开具以调节税额或隐瞒真实交易（未形成核对结论（资料已取得但缺本要件的对应核对证据，不作未发现符合认定）；独立数据源：销项发票、进项发票｜已有）</w:t>
      </w:r>
    </w:p>
    <w:p w14:paraId="0A54146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⑦ 不属于下列正当情形：开票信息填写错误当月作废重开；客户退货或销售折让（有协议支撑）；跨期价格调整与结算差异（未单独核对（独立数据源本轮未取得）；独立数据源：开票错误更正说明、退货单、折让协议｜须核对）</w:t>
      </w:r>
    </w:p>
    <w:p w14:paraId="048C21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发票管理办法》第二十一条（不得虚开发票）（2023年修订；国务院令第764号（2023年7月20日修订），现行有效）；《发票管理办法》第三十五条（虚开罚则）；《增值税专用发票使用规定》（引用较早，具体适用需要按业务发生期间取得官方有效文本并由有权人员复核）（版本未登记，须核对现行有效文本）。</w:t>
      </w:r>
    </w:p>
    <w:p w14:paraId="2600397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8595"/>
        <w:gridCol w:w="4602"/>
        <w:gridCol w:w="1204"/>
        <w:gridCol w:w="6277"/>
      </w:tblGrid>
      <w:tr w14:paraId="5CB96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07DC54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BCBFB7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01980A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0273F9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2B14FB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77A34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796824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6B872B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存在红字发票或作废发票（红冲行为）——这项属于现象/前提条，存在即成立，不设比例阈值；占比只作证据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77F833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FDB9B8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9A0FE9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20716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B4D900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CB3E08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红冲发生在月末、季末或申报期前后等敏感时点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F8F251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0BE8F0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5D7F60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1D265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0CBF9E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21093E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红冲无对应退货单、折让协议等合法事由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23BB9E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退货单、折让协议、拒收证明</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3A331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6BF939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19B2C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9A05B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826DE1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红字发票缺《红字发票信息确认单》，或与被冲减蓝字发票不配平（无对应蓝票、购方或金额不符、非一正一负配平）</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691574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红字发票信息确认单、销项发票、进项发票、被冲减蓝字发票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E2EF64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530734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3AD0A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3773AA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DE3CF6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存在跨年度红冲，或单张红冲金额高于同期蓝票水平（可能跨期调节收入、冲减上年度利润）</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46E3B2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DE5987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943D5E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4723D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66B1EE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第6条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B394F9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频繁作废发票后重新开具以调节税额或隐瞒真实交易</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E97FFA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38C061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ED7FC2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6776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F5D9A3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第7条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DD4DB5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不属于下列正当情形：开票信息填写错误当月作废重开；客户退货或销售折让（有协议支撑）；跨期价格调整与结算差异</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BAE6A8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开票错误更正说明、退货单、折让协议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94E85E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848370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750B20F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24E6D31F">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200733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销项发票（含红字标识）中统计红字与作废发票金额、占比、时间分布，看到销项红字/作废1,015,900.00元，占同期销项蓝字开票额12.6%（分子=销项红字/作废价税合计，分母=剔除红字后的销项价税合计8,050,908.58元），另有取得侧（进项）红字/作废9张合计269,550.57元，属购方侧红冲，不参与销项占比；第2步从红冲发票（本轮未提供）中核对是否有退货单、折让协议、拒收证明，看到红字发票备注/状态中未见退货、折让等合法事由；第3步从银行流水中核对红冲是否对应退款，看到本环节未产出对题读数（所需资料已在本轮提供，属检查程序待完善项）。第3环所需资料已在本轮提供、但该环节未产出可展示数据（属检查程序待完善项，不计入资料缺失，不影响资料齐备性判断）。</w:t>
      </w:r>
    </w:p>
    <w:p w14:paraId="3D45E3C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红冲/作废发票情形（共13笔）</w:t>
      </w:r>
    </w:p>
    <w:p w14:paraId="570B6023">
      <w:pPr>
        <w:pStyle w:val="5"/>
        <w:keepNext w:val="0"/>
        <w:keepLines w:val="0"/>
        <w:widowControl/>
        <w:suppressLineNumbers w:val="0"/>
        <w:pBdr>
          <w:top w:val="none" w:color="auto" w:sz="0" w:space="0"/>
          <w:left w:val="single" w:color="94A3B8" w:sz="18" w:space="7"/>
          <w:bottom w:val="none" w:color="auto" w:sz="0" w:space="0"/>
          <w:right w:val="none" w:color="auto" w:sz="0" w:space="0"/>
        </w:pBdr>
        <w:shd w:val="clear" w:fill="F8FAFC"/>
        <w:spacing w:before="90" w:beforeAutospacing="0" w:after="30" w:afterAutospacing="0" w:line="28" w:lineRule="atLeast"/>
        <w:ind w:left="0" w:right="0" w:firstLine="420"/>
        <w:jc w:val="both"/>
        <w:rPr>
          <w:color w:val="475569"/>
          <w:sz w:val="18"/>
          <w:szCs w:val="18"/>
        </w:rPr>
      </w:pPr>
      <w:r>
        <w:rPr>
          <w:color w:val="475569"/>
          <w:sz w:val="18"/>
          <w:szCs w:val="18"/>
          <w:bdr w:val="none" w:color="auto" w:sz="0" w:space="0"/>
          <w:shd w:val="clear" w:fill="F8FAFC"/>
        </w:rPr>
        <w:t>口径说明：本表列出的是该风险事项所依据的基础逐笔明细（全量）；正文与构成要件中写明的人数/笔数是按构成要件筛选后的结果，两者口径不同，判断具体涉及范围时以正文数字为准。</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62"/>
        <w:gridCol w:w="2674"/>
        <w:gridCol w:w="2820"/>
        <w:gridCol w:w="1200"/>
        <w:gridCol w:w="1023"/>
        <w:gridCol w:w="13322"/>
      </w:tblGrid>
      <w:tr w14:paraId="5C5B2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1A7216A">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D74BE80">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凭证/单据标识</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D343C6A">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对方单位</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267820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日期</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E17DB4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来源资料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C496C0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说明</w:t>
            </w:r>
          </w:p>
        </w:tc>
      </w:tr>
      <w:tr w14:paraId="45DB9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F0255C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4321D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发票号25952000000096267625</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D390BC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北京博川文化传媒有限公司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53B41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2025-05-19</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78925D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74124D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发票号25952000000096267625｜红冲｜价税合计-233,200.00元｜被红冲蓝字数电发票号码：25952000000096798612 红字发票信息确认单编号：44030725051001117191</w:t>
            </w:r>
          </w:p>
        </w:tc>
      </w:tr>
      <w:tr w14:paraId="325D7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430BAE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EB1D5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发票号25952000000157248249</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C0D99F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广州天与空广告有限公司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3B9D9D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42A101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F814E8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发票号25952000000157248249｜红冲｜价税合计-259,000.00元｜被红冲蓝字数电发票号码：25952000000157547009 红字发票信息确认单编号：44030725081000300399</w:t>
            </w:r>
          </w:p>
        </w:tc>
      </w:tr>
      <w:tr w14:paraId="6CB5C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68DFAC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79EC0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发票号25952000000218890051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7A6C02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沙暴文化传播（北京）有限公司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3D9679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37A0AA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3F82F0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发票号25952000000218890051｜红冲｜价税合计-420,700.00元｜被红冲蓝字数电发票号码：25952000000215222521 红字发票信息确认单编号：44030725101001526292</w:t>
            </w:r>
          </w:p>
        </w:tc>
      </w:tr>
      <w:tr w14:paraId="73256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A2A8D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01E828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发票号25952000000264758493</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D70414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南京运途信息科技有限公司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555840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2025-12-09</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FD1F79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9B9B02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发票号25952000000264758493｜红冲｜价税合计-103,000.00元｜被红冲蓝字数电发票号码：25952000000265024449 红字发票信息确认单编号：44030725121003821126</w:t>
            </w:r>
          </w:p>
        </w:tc>
      </w:tr>
      <w:tr w14:paraId="622B1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9AA9E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6C33E1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发票号25442000000022997297</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95E89B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广州尔木餐饮管理有限公司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724E7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2025-01-11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5636DB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2CAB26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发票号25442000000022997297｜红冲｜价税合计-9,860.00元｜被红冲蓝字数电票号码：25442000000021997647 红字发票信息确认单编号：44010625011003201370</w:t>
            </w:r>
          </w:p>
        </w:tc>
      </w:tr>
      <w:tr w14:paraId="4A2F2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10F37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C81B72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发票号25442000000023019101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C216BD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广州尔木餐饮管理有限公司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F50BFE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2025-01-11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27B769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83D61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发票号25442000000023019101｜红冲｜价税合计-9,855.00元｜被红冲蓝字数电票号码：25442000000021997161 红字发票信息确认单编号：44010625011003101368</w:t>
            </w:r>
          </w:p>
        </w:tc>
      </w:tr>
      <w:tr w14:paraId="4B145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87ED11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7D1E1E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发票号25322000000117720935</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24AD8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南京伟高电子通信设备有限公司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BDF3F5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2025-03-18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5A83B5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E41A54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发票号25322000000117720935｜红冲｜价税合计-14,969.62元｜被红冲蓝字数电票号码：25322000000117841784 红字发票信息确认单编号：32010225031001208628</w:t>
            </w:r>
          </w:p>
        </w:tc>
      </w:tr>
      <w:tr w14:paraId="3D115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E6356B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053B29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发票号25322000000117651162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241589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南京伟高电子通信设备有限公司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3D6349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2025-03-18</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14C83B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E548E2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发票号25322000000117651162｜红冲｜价税合计-5,000.00元｜被红冲蓝字数电票号码：25322000000117920302 红字发票信息确认单编号：32010225031001408440</w:t>
            </w:r>
          </w:p>
        </w:tc>
      </w:tr>
      <w:tr w14:paraId="61466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CAE790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9</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EB764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发票号25327000000981182221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9F89C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苏州程会玩国际旅行社有限公司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49F2E6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2025-08-17</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2FFF7F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8691F7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发票号25327000000981182221｜红冲｜价税合计-1,036.80元｜被红冲蓝字数电发票号码：25327000000972834585 红字发票信息确认单编号：32172125081000677901</w:t>
            </w:r>
          </w:p>
        </w:tc>
      </w:tr>
      <w:tr w14:paraId="7ADC3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18E508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10</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5C0B5A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发票号25312000000314321527</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2BB3F0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上海睿钰文化传播有限公司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286DB1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2025-09-29</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BFCEB0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72E2A8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发票号25312000000314321527｜红冲｜价税合计-140,000.00元｜被红冲蓝字数电发票号码：25312000000314318769 红字发票信息确认单编号：31010925091002400692</w:t>
            </w:r>
          </w:p>
        </w:tc>
      </w:tr>
      <w:tr w14:paraId="5BCBC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2E4C4D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11</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7709E5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发票号25312000000314323838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DDA849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上海睿钰文化传播有限公司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4272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2025-09-29</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C6A64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4B0DF5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发票号25312000000314323838｜红冲｜价税合计-70,000.00元｜被红冲蓝字数电发票号码：25312000000314320417 红字发票信息确认单编号：31010925091002800696</w:t>
            </w:r>
          </w:p>
        </w:tc>
      </w:tr>
      <w:tr w14:paraId="28D0A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F708BC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12</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E85179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发票号25952000000226820553</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3E874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深圳中发源百富餐饮有限公司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F1696E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2025-10-29</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F41F00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143FD0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发票号25952000000226820553｜红冲｜价税合计-1,013.15元｜被红冲蓝字数电发票号码：25957200000020627363 红字发票信息确认单编号：44035125101002564722</w:t>
            </w:r>
          </w:p>
        </w:tc>
      </w:tr>
      <w:tr w14:paraId="56482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9F619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13</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052171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发票号25512000000317299950</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A6D9AA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成都光厂创意科技有限公司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805397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2025-12-25</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C4870B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7EB880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发票号25512000000317299950｜红冲｜价税合计-17,816.00元｜被红冲蓝字数电发票号码：25517000000580908390 红字发票信息确认单编号：51019825121005316022</w:t>
            </w:r>
          </w:p>
        </w:tc>
      </w:tr>
    </w:tbl>
    <w:p w14:paraId="617CF6E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023DCE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4项材料，其中1项已提供同类资料（退款银行流水）、但与本项要求的范围未逐字对应，须确认是否覆盖；确未提供的有3项（退货单、折让协议、拒收证明）。</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60"/>
        <w:gridCol w:w="3109"/>
        <w:gridCol w:w="2922"/>
        <w:gridCol w:w="1243"/>
        <w:gridCol w:w="13367"/>
      </w:tblGrid>
      <w:tr w14:paraId="5627C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1BD301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F836B7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E3D2730">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8AC355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F8112D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10D1E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7A9499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F2EBDF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退货单、折让协议、拒收证明</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9E70D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证明红冲有合法事由</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ED5776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4DF59F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本轮未提供本项所需材料（退货单、折让协议、拒收证明），无法组织本项证据</w:t>
            </w:r>
          </w:p>
        </w:tc>
      </w:tr>
      <w:tr w14:paraId="63E20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F2D98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资金证据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3ECCBA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退款银行流水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B2A895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证明已实际退款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1D1ABE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24A2C9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本项要求退款银行流水，未在已提供资料中逐字见到；清单中有类别相关的银行流水，但二者不是同一份材料，须人工确认已提供资料中是否包含本项所需内容</w:t>
            </w:r>
          </w:p>
        </w:tc>
      </w:tr>
      <w:tr w14:paraId="655FB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B12C91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E8B2A0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开票错误更正说明与原发票复印件</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FDAF0B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开票信息错误导致的作废属正常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FFDD6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82BD08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34260AF0">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439C67B4">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6E36C8F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红字冲销与作废发票比例异常」逐条核对，未认定到任何一条构成要件成立；但本项已从账内资料中查明相关信号，且本项不等于已触碰红线、也不是违法认定。具体认定范围与需补充的资料见本项各段。判断本项是否成立，要看这几项标准是否同时满足：存在红字发票或作废发票（红冲行为）——这项属于现象/前提条，存在即成立，不设比例阈值；占比只作证据；红冲发生在月末、季末或申报期前后等敏感时点；红冲无对应退货单、折让协议等合法事由；红字发票缺《红字发票信息确认单》，或与被冲减蓝字发票不配平（无对应蓝票、购方或金额不符、非一正一负配平）；存在跨年度红冲，或单张红冲金额高于同期蓝票水平（可能跨期调节收入、冲减上年度利润）；频繁作废发票后重新开具以调节税额或隐瞒真实交易；不属于下列正当情形：开票信息填写错误当月作废重开；客户退货或销售折让（有协议支撑）；跨期价格调整与结算差异。本轮从所报资料中直接核对到的事实是：共13张发票涉及红冲/作废：其中红字发票（红冲）13张、作废0张。本项检查共3环，其中第3环因本轮未取得该环节所需资料，未取得数据（各环实际读到的数据见上一段明细表）。就资料来说，支撑材料严重不足，核心材料缺失（名称逐字对应已提供0项；另有1项已提供同类资料、范围须人工确认；尚缺：退货单、折让协议、拒收证明（属合同文件类）；企业尚未提交正当理由的书面证明，现有资料不足以排除本项涉嫌风险）。企业如果认为这不成立，通常可以说明：开票信息填写错误当月作废重开；客户退货或销售折让（有协议支撑）；跨期价格调整与结算差异。但这些说明能不能采信，要看有没有书面协议和原始单据，口头解释不能作为认定依据。综合以上，本项结论是疑似逐条要件尚未认定成立（结论只到「账内已读到与该风险指向一致的信号」这一层），判断可信度约65%（中等）。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w:t>
      </w:r>
    </w:p>
    <w:p w14:paraId="6C7CB95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6455FA0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40A575A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通过红冲调节销项税额、配合受票方虚开后冲回的风险（涉及增值税）。主管税务机关可依《税收征收管理法》第三十二条加收滞纳金；构成偷税、抗税、骗税的，依第六十三条等规定追缴税款、滞纳金并处罚款。是否构成偷税、以及是否移送，须由税务机关依法调查认定。</w:t>
      </w:r>
    </w:p>
    <w:p w14:paraId="0C13D8D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57E057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在验证前不能认定本项成立：本项的直接证据尚为「缺失」，属前置条件未满足。</w:t>
      </w:r>
    </w:p>
    <w:p w14:paraId="046F4C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66943B3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358F375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直接证据：退货单、折让协议、拒收证明　</w:t>
      </w:r>
      <w:r>
        <w:rPr>
          <w:rFonts w:ascii="宋体" w:hAnsi="宋体" w:eastAsia="宋体" w:cs="宋体"/>
          <w:color w:val="64748B"/>
          <w:kern w:val="0"/>
          <w:sz w:val="18"/>
          <w:szCs w:val="18"/>
          <w:bdr w:val="none" w:color="auto" w:sz="0" w:space="0"/>
          <w:shd w:val="clear" w:fill="F5F3FF"/>
          <w:lang w:val="en-US" w:eastAsia="zh-CN" w:bidi="ar"/>
        </w:rPr>
        <w:t>现状：缺失；证明目的：证明红冲有合法事由</w:t>
      </w:r>
    </w:p>
    <w:p w14:paraId="0E0FF23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「退货单、折让协议、拒收证明」本轮未提供，是支撑链上最弱的一环；缺它就无法认定本项成立 —— 只能列为「资料未齐、不作认定」。</w:t>
      </w:r>
    </w:p>
    <w:p w14:paraId="079059B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「退货单、折让协议、拒收证明」补齐后，若显示相关业务真实、口径一致 ⇒ 本项不成立（可自证清白）。</w:t>
      </w:r>
    </w:p>
    <w:p w14:paraId="77211F9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12BE9E9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资金证据：退款银行流水　</w:t>
      </w:r>
      <w:r>
        <w:rPr>
          <w:rFonts w:ascii="宋体" w:hAnsi="宋体" w:eastAsia="宋体" w:cs="宋体"/>
          <w:color w:val="64748B"/>
          <w:kern w:val="0"/>
          <w:sz w:val="18"/>
          <w:szCs w:val="18"/>
          <w:bdr w:val="none" w:color="auto" w:sz="0" w:space="0"/>
          <w:shd w:val="clear" w:fill="F5F3FF"/>
          <w:lang w:val="en-US" w:eastAsia="zh-CN" w:bidi="ar"/>
        </w:rPr>
        <w:t>现状：须核对；证明目的：证明已实际退款</w:t>
      </w:r>
    </w:p>
    <w:p w14:paraId="3AE551D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「退款银行流水」本轮未逐字见到，只是「同类资料已提供」；若「退款银行流水」其实不含本项所需内容，本项的这一支撑即为空。</w:t>
      </w:r>
    </w:p>
    <w:p w14:paraId="72AD57A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经核对，已提供的同类资料中确实包含本项所需内容且口径一致 ⇒ 支撑成立；若确认不包含 ⇒ 本项应退回「资料不足、不作认定」。</w:t>
      </w:r>
    </w:p>
    <w:p w14:paraId="321BE35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7085846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反证：开票错误更正说明与原发票复印件　</w:t>
      </w:r>
      <w:r>
        <w:rPr>
          <w:rFonts w:ascii="宋体" w:hAnsi="宋体" w:eastAsia="宋体" w:cs="宋体"/>
          <w:color w:val="64748B"/>
          <w:kern w:val="0"/>
          <w:sz w:val="18"/>
          <w:szCs w:val="18"/>
          <w:bdr w:val="none" w:color="auto" w:sz="0" w:space="0"/>
          <w:shd w:val="clear" w:fill="F5F3FF"/>
          <w:lang w:val="en-US" w:eastAsia="zh-CN" w:bidi="ar"/>
        </w:rPr>
        <w:t>现状：待企业提交；证明目的：开票信息错误导致的作废属正常</w:t>
      </w:r>
    </w:p>
    <w:p w14:paraId="4D8DC42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情形与「退货单、折让协议、拒收证明」相同（待企业提交）；不再重复同一段自我反驳。</w:t>
      </w:r>
    </w:p>
    <w:p w14:paraId="47D5B37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同上：该情形一旦核对通过，「开票错误更正说明与原发票复印件」这一条的支撑即成立。</w:t>
      </w:r>
    </w:p>
    <w:p w14:paraId="6D7EDC5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0C7C0B2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材料齐全程度（取值 0.0）</w:t>
      </w:r>
    </w:p>
    <w:p w14:paraId="2FD13B8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5A6E2A8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2B8E761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54FCE07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7553DCA7">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退货单、折让协议、拒收证明</w:t>
      </w:r>
    </w:p>
    <w:p w14:paraId="2680AB10">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7F6D5B86">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6B73B23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2. 开票错误更正说明与原发票复印件</w:t>
      </w:r>
    </w:p>
    <w:p w14:paraId="68FA0B29">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13546FCD">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52E2B6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疑点2：多税种联动稽查风险画像（收入、票账差异、资金）</w:t>
      </w:r>
    </w:p>
    <w:p w14:paraId="7F48A522">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从本次上传资料来看，本企业本项已查明的风险的可能性低，且所需资料已齐备，可作初步判断。</w:t>
      </w:r>
    </w:p>
    <w:p w14:paraId="2FA5EAA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41A1E48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032D617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在已上传资料中出现了以下情况：本项不是独立事实，而是下列各业务环节的信号**同时出现**后合成的联动信号（任一环节单独出现只作提示；多环节同时异常才提示多税种联动稽查）：· 收入环节——银行收款大于申报收入：存在账外收入嫌疑（中风险）：银行收款与销项开票金额月度差异（共59笔）（本表 59 行，涉及 22 个对象，金额合计 6,483,932.64 元）；个人账户收取经营性款项：公私混同隐匿收入（须核对）：本轮未提供自然人自有账户（私户）的流水（已读到的是对公账户一侧的收付记录，两者不是同一侧资料），故无法核实该差额是否经私户支付（差额亦可能为跨期计提、非工资性支出结算等），据实不作私户认定；其他应付款大额长期挂账：隐匿收入或账外资金（低风险）：其他应付款大额长期挂账（共132笔）（本表 132 行，涉及 36 个对象，金额合计 4,678,118.37 元）。· 票账差异环节——成本列支的资金与负债证据不足：真实性须核对（须核对）：表1 主营成本总额，按供应商分布（合计 4,513,064.91 元，来源：采购发票，主营业务成本类）（本表 36 行，金额合计 2,724,926.66 元）。· 资金环节——资金回流：付款后经个人账户回流（须核对）：资金回流与公私混同检测（共3笔）（本表 3 行，另有 1 行为汇总结算行（不计入笔数与金额），涉及 2 个对象，金额合计 2,075,822.56 元）；公转私大额频繁支出：变相分配与个税风险（须核对）：需外部数据核实：对私资金往来对象实名与性质（共1笔）（本表 1 行，涉及 1 个对象，金额合计 600,000.00 元）；银行流水余额滚动关系不一致：资金流水勾稽断裂（须核对）：银行存款支出方对等逐月不匹配（2025-01）（共132笔）（本表 132 行，涉及 36 个对象，金额合计 4,678,118.37 元）。</w:t>
      </w:r>
    </w:p>
    <w:p w14:paraId="61EE5D6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7F2836C8">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252ADF9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经检查，本项涉及的风险事项为「多税种联动稽查风险画像（收入、票账差异、资金）」，风险等级 高风险。本项不是独立事实，而是下列各业务环节的信号**同时出现**后合成的联动信号（任一环节单独出现只作提示；多环节同时异常才提示多税种联动稽查）：· 收入环节——银行收款大于申报收入：存在账外收入嫌疑（中风险）：银行收款与销项开票金额月度差异（共59笔）（本表 59 行，涉及 22 个对象，金额合计 6,483,932.64 元）；个人账户收取经营性款项：公私混同隐匿收入（须核对）：本轮未提供自然人自有账户（私户）的流水（已读到的是对公账户一侧的收付记录，两者不是同一侧资料），故无法核实该差额是否经私户支付（差额亦可能为跨期计提、非工资性支出结算等），据实不作私户认定；其他应付款大额长期挂账：隐匿收入或账外资金（低风险）：其他应付款大额长期挂账（共132笔）（本表 132 行，涉及 36 个对象，金额合计 4,678,118.37 元）。· 票账差异环节——成本列支的资金与负债证据不足：真实性须核对（须核对）：表1 主营成本总额，按供应商分布（合计 4,513,064.91 元，来源：采购发票，主营业务成本类）（本表 36 行，金额合计 2,724,926.66 元）。· 资金环节——资金回流：付款后经个人账户回流（须核对）：资金回流与公私混同检测（共3笔）（本表 3 行，另有 1 行为汇总结算行（不计入笔数与金额），涉及 2 个对象，金额合计 2,075,822.56 元）；公转私大额频繁支出：变相分配与个税风险（须核对）：需外部数据核实：对私资金往来对象实名与性质（共1笔）（本表 1 行，涉及 1 个对象，金额合计 600,000.00 元）；银行流水余额滚动关系不一致：资金流水勾稽断裂（须核对）：银行存款支出方对等逐月不匹配（2025-01）（共132笔）（本表 132 行，涉及 36 个对象，金额合计 4,678,118.37 元）。本项与以下 5 个子项属同一风险族「资金流与公私混同」，子项不再单独计数，差异点：银行流水余额滚动关系不一致：资金流水勾稽断裂（须核对）；待核线索：资金回流与公私混同检测（须核对）；公转私大额频繁支出：变相分配与个税风险（须核对）；同一资金对手方存在大额双向收付（低风险）；资金回流与公私混同检测（低风险）。</w:t>
      </w:r>
    </w:p>
    <w:p w14:paraId="30CFB0E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0D5B2C0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60F7A0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本项不是独立事实，而是下列各业务环节的信号**同时出现**后合成的联动信号（任一环节单独出现只作提示；多环节同时异常才提示多税种联动稽查）：· 收入环节——银行收款大于申报收入：存在账外收入嫌疑（中风险）：银行收款与销项开票金额月度差异（共59笔）（本表 59 行，涉及 22 个对象，金额合计 6,483,932.64 元）；个人账户收取经营性款项：公私混同隐匿收入（须核对）：本轮未提供自然人自有账户（私户）的流水（已读到的是对公账户一侧的收付记录，两者不是同一侧资料），故无法核实该差额是否经私户支付（差额亦可能为跨期计提、非工资性支出结算等），据实不作私户认定；其他应付款大额长期挂账：隐匿收入或账外资金（低风险）：其他应付款大额长期挂账（共132笔）（本表 132 行，涉及 36 个对象，金额合计 4,678,118.37 元）。· 票账差异环节——成本列支的资金与负债证据不足：真实性须核对（须核对）：表1 主营成本总额，按供应商分布（合计 4,513,064.91 元，来源：采购发票，主营业务成本类）（本表 36 行，金额合计 2,724,926.66 元）。· 资金环节——资金回流：付款后经个人账户回流（须核对）：资金回流与公私混同检测（共3笔）（本表 3 行，另有 1 行为汇总结算行（不计入笔数与金额），涉及 2 个对象，金额合计 2,075,822.56 元）；公转私大额频繁支出：变相分配与个税风险（须核对）：需外部数据核实：对私资金往来对象实名与性质（共1笔）（本表 1 行，涉及 1 个对象，金额合计 600,000.00 元）；银行流水余额滚动关系不一致：资金流水勾稽断裂（须核对）：银行存款支出方对等逐月不匹配（2025-01）（共132笔）（本表 132 行，涉及 36 个对象，金额合计 4,678,118.37 元）。组合涉及税种：个人所得税、企业所得税、增值税。</w:t>
      </w:r>
    </w:p>
    <w:p w14:paraId="5270CF86">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4FFB2A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本项资料齐备度见报告「资料完备度」说明。尚缺：跨税种联动检查：个人所得税；跨税种联动检查：企业所得税；跨税种联动检查：增值税。</w:t>
      </w:r>
    </w:p>
    <w:p w14:paraId="3389E2A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3C42B1AE">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5FFE37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本项（多税种联动稽查风险画像（收入、票账差）：本项属**已查明的风险**，等级 高风险；其结论以已上传资料的可复核证据为限，涉及定性的部分须由风险检查员结合企业举证与外部数据核实。</w:t>
      </w:r>
    </w:p>
    <w:p w14:paraId="1F9AE947">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五、需企业提供的资料与说明</w:t>
      </w:r>
    </w:p>
    <w:p w14:paraId="66B2C0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要把这一项查清楚，需要：跨税种联动检查：个人所得税；跨税种联动检查：企业所得税；跨税种联动检查：增值税</w:t>
      </w:r>
    </w:p>
    <w:p w14:paraId="5DC34AD0">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90" w:afterAutospacing="0" w:line="29" w:lineRule="atLeast"/>
        <w:ind w:left="0" w:right="0"/>
        <w:jc w:val="left"/>
        <w:rPr>
          <w:b/>
          <w:bCs/>
          <w:color w:val="854D0E"/>
          <w:sz w:val="20"/>
          <w:szCs w:val="20"/>
        </w:rPr>
      </w:pPr>
      <w:r>
        <w:rPr>
          <w:rFonts w:ascii="宋体" w:hAnsi="宋体" w:eastAsia="宋体" w:cs="宋体"/>
          <w:b/>
          <w:bCs/>
          <w:color w:val="854D0E"/>
          <w:kern w:val="0"/>
          <w:sz w:val="20"/>
          <w:szCs w:val="20"/>
          <w:bdr w:val="none" w:color="auto" w:sz="0" w:space="0"/>
          <w:shd w:val="clear" w:fill="FFFBEB"/>
          <w:lang w:val="en-US" w:eastAsia="zh-CN" w:bidi="ar"/>
        </w:rPr>
        <w:t>本项需企业澄清的问题</w:t>
      </w:r>
    </w:p>
    <w:p w14:paraId="12B26732">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30" w:beforeAutospacing="0" w:after="3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BEB"/>
          <w:lang w:val="en-US" w:eastAsia="zh-CN" w:bidi="ar"/>
        </w:rPr>
        <w:t>关注级别：高</w:t>
      </w:r>
    </w:p>
    <w:p w14:paraId="58C1DC96">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90" w:beforeAutospacing="0" w:after="9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FFBEB"/>
          <w:lang w:val="en-US" w:eastAsia="zh-CN" w:bidi="ar"/>
        </w:rPr>
        <w:t>询问 1：</w:t>
      </w:r>
      <w:r>
        <w:rPr>
          <w:rFonts w:ascii="宋体" w:hAnsi="宋体" w:eastAsia="宋体" w:cs="宋体"/>
          <w:kern w:val="0"/>
          <w:sz w:val="19"/>
          <w:szCs w:val="19"/>
          <w:bdr w:val="none" w:color="auto" w:sz="0" w:space="0"/>
          <w:shd w:val="clear" w:fill="FFFBEB"/>
          <w:lang w:val="en-US" w:eastAsia="zh-CN" w:bidi="ar"/>
        </w:rPr>
        <w:t>跨企业（关联组）资金回流闭环：直接 395,000.00 元、关联 0.00 元。请披露与闭环对手方的关联关系（同一控制人/法定代表人/交叉持股），并说明关联交易的定价是否符合独立交易原则、是否有真实货物流转。</w:t>
      </w:r>
    </w:p>
    <w:p w14:paraId="1688A5E3">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风险检查依据：</w:t>
      </w:r>
      <w:r>
        <w:rPr>
          <w:rFonts w:ascii="宋体" w:hAnsi="宋体" w:eastAsia="宋体" w:cs="宋体"/>
          <w:color w:val="475569"/>
          <w:kern w:val="0"/>
          <w:sz w:val="18"/>
          <w:szCs w:val="18"/>
          <w:bdr w:val="none" w:color="auto" w:sz="0" w:space="0"/>
          <w:shd w:val="clear" w:fill="FFFBEB"/>
          <w:lang w:val="en-US" w:eastAsia="zh-CN" w:bidi="ar"/>
        </w:rPr>
        <w:t>风险检查要点：关联方资金空转常伴随对开/环开发票与虚增成本；金税四期已具备关联企业画像能力。</w:t>
      </w:r>
    </w:p>
    <w:p w14:paraId="33D2B79F">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需补充资料：</w:t>
      </w:r>
      <w:r>
        <w:rPr>
          <w:rFonts w:ascii="宋体" w:hAnsi="宋体" w:eastAsia="宋体" w:cs="宋体"/>
          <w:color w:val="475569"/>
          <w:kern w:val="0"/>
          <w:sz w:val="18"/>
          <w:szCs w:val="18"/>
          <w:bdr w:val="none" w:color="auto" w:sz="0" w:space="0"/>
          <w:shd w:val="clear" w:fill="FFFBEB"/>
          <w:lang w:val="en-US" w:eastAsia="zh-CN" w:bidi="ar"/>
        </w:rPr>
        <w:t>关联企业清单及股权结构图；关联交易合同与定价依据；货物流转凭证</w:t>
      </w:r>
    </w:p>
    <w:p w14:paraId="2650E575">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64748B"/>
          <w:sz w:val="18"/>
          <w:szCs w:val="18"/>
        </w:rPr>
      </w:pPr>
      <w:r>
        <w:rPr>
          <w:rFonts w:ascii="宋体" w:hAnsi="宋体" w:eastAsia="宋体" w:cs="宋体"/>
          <w:color w:val="92400E"/>
          <w:kern w:val="0"/>
          <w:sz w:val="18"/>
          <w:szCs w:val="18"/>
          <w:bdr w:val="none" w:color="auto" w:sz="0" w:space="0"/>
          <w:shd w:val="clear" w:fill="FFFBEB"/>
          <w:lang w:val="en-US" w:eastAsia="zh-CN" w:bidi="ar"/>
        </w:rPr>
        <w:t>系统局限→企业自证：</w:t>
      </w:r>
      <w:r>
        <w:rPr>
          <w:rFonts w:ascii="宋体" w:hAnsi="宋体" w:eastAsia="宋体" w:cs="宋体"/>
          <w:color w:val="64748B"/>
          <w:kern w:val="0"/>
          <w:sz w:val="18"/>
          <w:szCs w:val="18"/>
          <w:bdr w:val="none" w:color="auto" w:sz="0" w:space="0"/>
          <w:shd w:val="clear" w:fill="FFFBEB"/>
          <w:lang w:val="en-US" w:eastAsia="zh-CN" w:bidi="ar"/>
        </w:rPr>
        <w:t>系统依赖跨企业图谱识别关联组，但图谱完整性取决于已上传资料与工商授权；真风险检查员会顺藤摸瓜追查关联方全貌。请企业如实披露全部关联企业，勿遗漏隐性关联。</w:t>
      </w:r>
    </w:p>
    <w:p w14:paraId="0E30EEE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134850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在验证前不能认定本项成立：本项未做证据角色核对，现有结论只建立在数据事实之上。</w:t>
      </w:r>
    </w:p>
    <w:p w14:paraId="0E50CD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最强的反驳是：本项只有数据事实，没有登记需要哪些证据、现状如何；数据事实成立不等于税务违规成立。</w:t>
      </w:r>
    </w:p>
    <w:p w14:paraId="4772423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6336453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证据核对状态　</w:t>
      </w:r>
      <w:r>
        <w:rPr>
          <w:rFonts w:ascii="宋体" w:hAnsi="宋体" w:eastAsia="宋体" w:cs="宋体"/>
          <w:color w:val="64748B"/>
          <w:kern w:val="0"/>
          <w:sz w:val="18"/>
          <w:szCs w:val="18"/>
          <w:bdr w:val="none" w:color="auto" w:sz="0" w:space="0"/>
          <w:shd w:val="clear" w:fill="F5F3FF"/>
          <w:lang w:val="en-US" w:eastAsia="zh-CN" w:bidi="ar"/>
        </w:rPr>
        <w:t>未做证据角色核对（本项非红线来源，无红线证据要求）</w:t>
      </w:r>
    </w:p>
    <w:p w14:paraId="261EC5B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本项没有登记「需要哪些证据、这些证据现状如何」⇒ 无法判断取证是否充分；结论只建立在数据事实之上，而数据事实成立不等于税务违规成立。</w:t>
      </w:r>
    </w:p>
    <w:p w14:paraId="2C62328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按同样的证据核对口径为这类事项补做核对后，若所需证据缺失 ⇒ 本项同样只能列为待补充资料，不能认定。</w:t>
      </w:r>
    </w:p>
    <w:p w14:paraId="4D211E2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本项若按红线口径核对，需要哪些证据、现状如何</w:t>
      </w:r>
    </w:p>
    <w:p w14:paraId="7CB99DF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结论来源（证据地位）　</w:t>
      </w:r>
      <w:r>
        <w:rPr>
          <w:rFonts w:ascii="宋体" w:hAnsi="宋体" w:eastAsia="宋体" w:cs="宋体"/>
          <w:color w:val="64748B"/>
          <w:kern w:val="0"/>
          <w:sz w:val="18"/>
          <w:szCs w:val="18"/>
          <w:bdr w:val="none" w:color="auto" w:sz="0" w:space="0"/>
          <w:shd w:val="clear" w:fill="F5F3FF"/>
          <w:lang w:val="en-US" w:eastAsia="zh-CN" w:bidi="ar"/>
        </w:rPr>
        <w:t>组合风险信号（跨3个业务环节）</w:t>
      </w:r>
    </w:p>
    <w:p w14:paraId="38E2915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本项来源是「组合风险信号」——它是多条线索同时出现后的合成判断，本身不是独立事实；若其中任一环节被合理解释，组合即不成立。</w:t>
      </w:r>
    </w:p>
    <w:p w14:paraId="1235A4C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构成本项的各环节中，只要有环节被合理解释排除 ⇒ 组合信号应相应减弱或撤销。</w:t>
      </w:r>
    </w:p>
    <w:p w14:paraId="1877D4A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构成本项的各环节各自的举证材料（逐环节排除，而非整体否认）</w:t>
      </w:r>
    </w:p>
    <w:p w14:paraId="56911D6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2CE31589">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本项若按红线口径核对，需要哪些证据、现状如何</w:t>
      </w:r>
    </w:p>
    <w:p w14:paraId="71F98CB0">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看什么：本项若按红线口径核对，需要哪些证据、现状如何</w:t>
      </w:r>
    </w:p>
    <w:p w14:paraId="44BDE14A">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推翻条件：按同样的证据核对口径为这类事项补做核对后，若所需证据缺失 ⇒ 本项同样只能列为待补充资料，不能认定。</w:t>
      </w:r>
    </w:p>
    <w:p w14:paraId="4679BA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疑点3：工资表人数与社保参保人数不符</w:t>
      </w:r>
      <w:r>
        <w:rPr>
          <w:rFonts w:ascii="宋体" w:hAnsi="宋体" w:eastAsia="宋体" w:cs="宋体"/>
          <w:b/>
          <w:bCs/>
          <w:color w:val="FFFFFF"/>
          <w:kern w:val="0"/>
          <w:sz w:val="18"/>
          <w:szCs w:val="18"/>
          <w:bdr w:val="none" w:color="auto" w:sz="0" w:space="0"/>
          <w:shd w:val="clear" w:fill="B91C1C"/>
          <w:lang w:val="en-US" w:eastAsia="zh-CN" w:bidi="ar"/>
        </w:rPr>
        <w:t>办理顺序：第二项</w:t>
      </w:r>
    </w:p>
    <w:p w14:paraId="393AD9D6">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虚列人员虚增工资成本，或实际用工未依法参保。从本次上传资料来看，本企业本项已查明的风险；未认定到构成要件的可能性中等，但能补全尚缺的5项资料来排除此项税务风险嫌疑。本项涉税嫌疑，涉及个人所得税、企业所得税、社会保险费；潜在税额影响（测算）：个人所得税≈0.00元、企业所得税≈—元、社会保险费≈—元，合计≈0.00元。</w:t>
      </w:r>
    </w:p>
    <w:p w14:paraId="75C5D52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06EB84C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6A90AB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本项之所以列入检查，是因为出现了以下情况：社保低基数参保（该人工资 30000.00 元、缴费基数 6000.00 元，基数占工资 20.00%）（本表 1 行，涉及 1 个对象，金额合计 30,000.00 元）；工资名册有、社保参保无（工资表 6 人、社保 5 人，差 1 人）（本表 1 行，涉及 1 个对象）。本项对应的风险指标是工资表人数与社保参保人数不符——凡出现上述情形即纳入检查范围；是否成立，另按本项构成要件逐条核对（见下）。</w:t>
      </w:r>
    </w:p>
    <w:p w14:paraId="15BA1BB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3911B86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58AA56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工资表人数与社保参保人数不符认定到任何一条构成要件：账内检出需进一步核实的信号——将工资名册中的每一位员工、每一个月的工资，与社保清单中同人同月的参保记录逐一配对，共6名员工、55组姓名+月份配对记录纳入比对（每个配对项即某员工某月的工资与社保对应关系）。下列要件清单是本项对应的判断标准，逐条核对结果见下：本项与以下 5 个子项属同一风险族「薪酬与用工三源」，子项不再单独计数，差异点：住房公积金未开户、未全员缴存或缴存基数不实（中风险）；公私混同发薪/私户支付薪酬（支付来源不可见死角）（中风险）；社保低基数参保（中风险）；待核线索：公私混同发薪/私户支付薪酬（支付来源不可见死角）（须核对）；个税申报工资与账面工资、社保基数三者不一致（须核对）。</w:t>
      </w:r>
    </w:p>
    <w:p w14:paraId="235C554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本项（工资表人数与社保参保人数不符）：经核对，本企业未涉及任何一条构成要件（仅已单独核对且符合情形的要件计入）；本项共 5 条构成要件：已单独核对 1 条（符合情形 0 条、未发现符合 0 条、有信号但未达数值门槛 1 条）；未形成核对结论 2 条（资料已取得但缺对应核对证据，不作未发现符合认定）；未单独核对 2 条（独立数据源本轮未取得，均不计入涉及）。</w:t>
      </w:r>
    </w:p>
    <w:p w14:paraId="37D938B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工资表列支人数与社保参保人数存在差异（未形成核对结论（资料已取得但缺本要件的对应核对证据，不作未发现符合认定）；独立数据源：工资表、社保明细｜已有）</w:t>
      </w:r>
    </w:p>
    <w:p w14:paraId="102795A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差异人员不属于劳务派遣、退休返聘、实习生、非全日制等依法免缴社保的情形（未单独核对（独立数据源本轮未取得）；独立数据源：工资表、社保明细、劳务派遣协议｜须核对）</w:t>
      </w:r>
    </w:p>
    <w:p w14:paraId="67CBEE4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工资列支总额与从业人数、实际发放记录不匹配（存在无法逐人对应说明的工资列支差额），且无法提供用工与薪酬合理性说明（已单独核对：有信号但未达该要件的数值门槛；独立数据源：工资表、银行流水｜已有）</w:t>
      </w:r>
    </w:p>
    <w:p w14:paraId="1C8D88E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工资表含已离职人员仍列支，疑似虚列工资（未形成核对结论（资料已取得但缺本要件的对应核对证据，不作未发现符合认定）；独立数据源：工资表｜已有）</w:t>
      </w:r>
    </w:p>
    <w:p w14:paraId="2EDFF8D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不属于下列正当情形：退休返聘人员（已享受养老保险待遇，无需再参保）；劳务派遣人员（由派遣单位依法参保）；在校实习生（签订实习协议，未建立劳动关系）；非全日制用工（按小时计酬，可单独参加工伤保险）；当月入职次月参保的合理时间差（30日内办理）（未单独核对（独立数据源本轮未取得）；独立数据源：社保明细、工资表、劳动合同｜须核对）</w:t>
      </w:r>
    </w:p>
    <w:p w14:paraId="571521E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社会保险法》第五十八条：用人单位应当自用工之日起三十日内为其职工向社会保险经办机构申请办理社会保险登记（2018年修正；主席令第二十三号（2018年12月29日修正），现行有效）；《企业所得税法》第八条：企业实际发生的与取得收入有关的、合理的支出准予扣除（2018年修正；主席令第二十三号（2018年12月29日第十三届全国人民代表大会常务委员会第七次会议修正），现行有效）；《税收征收管理法》第六十三条：进行虚假的纳税申报或者不申报，少缴应纳税款的，是偷税（2015年修正；主席令第二十三号（2015年4月24日第十二届全国人民代表大会常务委员会第十四次会议修正），现行有效）。</w:t>
      </w:r>
    </w:p>
    <w:p w14:paraId="3353A413">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12165"/>
        <w:gridCol w:w="3000"/>
        <w:gridCol w:w="1204"/>
        <w:gridCol w:w="4309"/>
      </w:tblGrid>
      <w:tr w14:paraId="55A24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61C999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78E96A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7AD789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D18C58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0DD1DA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32643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C2710E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2B15FC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工资表列支人数与社保参保人数存在差异</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F707DA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工资表、社保明细</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87089C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D89B5B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3EF22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06D8F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D67B45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差异人员不属于劳务派遣、退休返聘、实习生、非全日制等依法免缴社保的情形</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2D12D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工资表、社保明细、劳务派遣协议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2AF13D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2F15AF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501AD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7D40C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12CEC3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工资列支总额与从业人数、实际发放记录不匹配（存在无法逐人对应说明的工资列支差额），且无法提供用工与薪酬合理性说明</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C47CA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工资表、银行流水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D35FB6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03672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已单独核对：有信号但未达该要件的数值门槛</w:t>
            </w:r>
          </w:p>
        </w:tc>
      </w:tr>
      <w:tr w14:paraId="27669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28688A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C789E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工资表含已离职人员仍列支，疑似虚列工资</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D30750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工资表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BD8609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793147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1EDA5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56D4C8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4527CB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退休返聘人员（已享受养老保险待遇，无需再参保）；劳务派遣人员（由派遣单位依法参保）；在校实习生（签订实习协议，未建立劳动关系）；非全日制用工（按小时计酬，可单独参加工伤保险）；当月入职次月参保的合理时间差（30日内办理）</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A9B137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社保明细、工资表、劳动合同</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1A11E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535B2B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7BEEC25C">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425D351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34AE5D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工资表、社保明细中按姓名+月份建立配对关系，逐人逐月双向匹配，看到工资名册列支6人、社保参保5人，人员级未能双向匹配1人（占合并人员范围16.7%），其中仅在工资名册1人；第2步从差异人员清单（本轮未提供）中区分有工资无社保与有社保无工资两类；第3步从劳动合同、劳务派遣协议、退休证（本轮未提供）中检查差异人员是否具备合法豁免身份，看到因缺少资料（劳动合同、劳务派遣协议、劳动合同、劳务派遣协议、退休证、须核对是否已提供：退休证）未取得本环节数据，该部分无法核对；第4步从个税申报表、银行流水中核对工资是否实际发放与申报，看到本环节所需资料中已提供部分、尚缺个税申报表，该环节未能完成核对（属检查程序待完善项，不计入资料缺失）。其中第3环因缺少资料未取得数据，已计入检查受限范围；第4环未取到该环节所需的 个税申报表，未产出可展示数据（属检查程序待完善项，不计入资料缺失，不影响资料齐备性判断）。</w:t>
      </w:r>
    </w:p>
    <w:p w14:paraId="11E0278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工资名册有、社保参保无（工资表 6 人、社保 5 人，差 1 人）</w:t>
      </w:r>
    </w:p>
    <w:p w14:paraId="59034198">
      <w:pPr>
        <w:pStyle w:val="5"/>
        <w:keepNext w:val="0"/>
        <w:keepLines w:val="0"/>
        <w:widowControl/>
        <w:suppressLineNumbers w:val="0"/>
        <w:pBdr>
          <w:top w:val="none" w:color="auto" w:sz="0" w:space="0"/>
          <w:left w:val="single" w:color="94A3B8" w:sz="18" w:space="7"/>
          <w:bottom w:val="none" w:color="auto" w:sz="0" w:space="0"/>
          <w:right w:val="none" w:color="auto" w:sz="0" w:space="0"/>
        </w:pBdr>
        <w:shd w:val="clear" w:fill="F8FAFC"/>
        <w:spacing w:before="90" w:beforeAutospacing="0" w:after="30" w:afterAutospacing="0" w:line="28" w:lineRule="atLeast"/>
        <w:ind w:left="0" w:right="0" w:firstLine="420"/>
        <w:jc w:val="both"/>
        <w:rPr>
          <w:color w:val="475569"/>
          <w:sz w:val="18"/>
          <w:szCs w:val="18"/>
        </w:rPr>
      </w:pPr>
      <w:r>
        <w:rPr>
          <w:color w:val="475569"/>
          <w:sz w:val="18"/>
          <w:szCs w:val="18"/>
          <w:bdr w:val="none" w:color="auto" w:sz="0" w:space="0"/>
          <w:shd w:val="clear" w:fill="F8FAFC"/>
        </w:rPr>
        <w:t>口径说明：本表只列示与本项论点相关的差异记录（共剔除 32 行无差异或重复记录：同一批对象（杨莹）另有 2 张表重复呈现，本处只保留已聚合的那张）；被剔除的记录不是本项证据，逐笔台账仍在本报告工作底稿中可查。</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60"/>
        <w:gridCol w:w="2061"/>
        <w:gridCol w:w="7122"/>
        <w:gridCol w:w="10458"/>
      </w:tblGrid>
      <w:tr w14:paraId="728F3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D84707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6BAEA3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人员</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103C85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工资表内工资合计（元）</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00D53D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说明</w:t>
            </w:r>
          </w:p>
        </w:tc>
      </w:tr>
      <w:tr w14:paraId="13F08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BC88E7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A2909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杨莹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00C551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17,000.00</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A584B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在工资表名册内、未见于社保参保名单</w:t>
            </w:r>
          </w:p>
        </w:tc>
      </w:tr>
    </w:tbl>
    <w:p w14:paraId="36E912C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259208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8项材料，其中2项已提供同类资料（银行代发工资流水、签收记录）、但与本项要求的范围未逐字对应，须确认是否覆盖；确未提供的有6项（劳动合同、用工名册、劳务派遣协议、派遣单位资质、考勤记录、门禁记录）。</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3900"/>
        <w:gridCol w:w="3000"/>
        <w:gridCol w:w="1200"/>
        <w:gridCol w:w="12578"/>
      </w:tblGrid>
      <w:tr w14:paraId="25D01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24469AA">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11CDEC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1C60C7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C26C1F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4605101">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29EF7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B7F4AE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25436D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劳动合同与用工名册</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EC056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确认真实用工关系</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C49D62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C3B03A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本轮未提供本项所需材料（劳动合同、用工名册），无法组织本项证据</w:t>
            </w:r>
          </w:p>
        </w:tc>
      </w:tr>
      <w:tr w14:paraId="2432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F58AF5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C46F88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银行代发工资流水或签收记录</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225BA2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证明工资实际发放到本人</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07E6C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029222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本项要求银行代发工资流水，未在已提供资料中逐字见到；清单中有类别相关的银行流水、工资表，但二者不是同一份材料，须人工确认已提供资料中是否包含本项所需内容</w:t>
            </w:r>
          </w:p>
        </w:tc>
      </w:tr>
      <w:tr w14:paraId="0A61D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50706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D7E73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劳务派遣协议及派遣单位资质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2852CD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派遣人员由派遣单位参保，可豁免</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771C3A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CA38F5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本轮未提供本项所需材料（劳务派遣协议、派遣单位资质），无法组织本项证据</w:t>
            </w:r>
          </w:p>
        </w:tc>
      </w:tr>
      <w:tr w14:paraId="3137B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12B24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CCD1C0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考勤记录与门禁记录</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794F2F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印证人员实际在岗</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563A0B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D175BF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本轮未提供本项所需材料（考勤记录、门禁记录），无法组织本项证据</w:t>
            </w:r>
          </w:p>
        </w:tc>
      </w:tr>
      <w:tr w14:paraId="13F15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E746FB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DDDD45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退休返聘协议、实习协议、非全日制用工协议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4D11DA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具备合法豁免身份的不触本红线</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52509C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3B16D5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12F0760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28C56CB1">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2EC22C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工资表人数与社保参保人数不符」逐条核对，未认定到任何一条构成要件成立；但本项已从账内资料中查明相关信号，且本项不等于已触碰红线、也不是违法认定。具体认定范围与需补充的资料见本项各段。判断本项是否成立，要看这几项标准是否同时满足：工资表列支人数与社保参保人数存在差异；差异人员不属于劳务派遣、退休返聘、实习生、非全日制等依法免缴社保的情形；工资列支总额与从业人数、实际发放记录不匹配（存在无法逐人对应说明的工资列支差额），且无法提供用工与薪酬合理性说明；工资表含已离职人员仍列支，疑似虚列工资；不属于下列正当情形：退休返聘人员（已享受养老保险待遇，无需再参保）；劳务派遣人员（由派遣单位依法参保）；在校实习生（签订实习协议，未建立劳动关系）；非全日制用工（按小时计酬，可单独参加工伤保险）；当月入职次月参保的合理时间差（30日内办理）。本轮从所报资料中直接核对到的事实是：将工资名册中的每一位员工、每一个月的工资，与社保清单中同人同月的参保记录逐一配对，共6名员工、55组姓名+月份配对记录纳入比对（每个配对项即某员工某月的工资与社保对应关系）。本轮实际读取到的资料是：工资表、社保明细。本项检查共4环，其中第3环、第4环因本轮未取得该环节所需资料，未取得数据（各环实际读到的数据见上一段明细表）。就资料来说，支撑材料严重不足，核心材料缺失（名称逐字对应已提供0项；另有2项已提供同类资料、范围须人工确认；尚缺：劳动合同与用工名册、劳务派遣协议及派遣单位资质、考勤记录与门禁记录（属合同文件类）；企业尚未提交正当理由的书面证明，现有资料不足以排除本项涉嫌风险）。企业如果认为这不成立，通常可以说明：退休返聘人员（已享受养老保险待遇，无需再参保）；劳务派遣人员（由派遣单位依法参保）；在校实习生（签订实习协议，未建立劳动关系）。但这些说明能不能采信，要看有没有书面协议和原始单据，口头解释不能作为认定依据。综合以上，本项结论是疑似逐条要件尚未认定成立（结论只到「账内已读到与该风险指向一致的信号」这一层），判断可信度约55%（中等）。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w:t>
      </w:r>
    </w:p>
    <w:p w14:paraId="7763E84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2CEBBF1C">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589B14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虚列人员虚增工资成本，或实际用工未依法参保的风险（涉及个人所得税、企业所得税、社会保险费）。就税款部分：主管税务机关可依《税收征收管理法》第三十二条加收滞纳金；构成偷税、抗税、骗税的，依第六十三条等规定追缴税款、滞纳金并处罚款。是否构成偷税、以及是否移送，须由税务机关依法调查认定；就社会保险费部分：由税务机关依《社会保险法》第八十六条要求限期缴纳或补足，并自欠缴之日起按日加收万分之五滞纳金；逾期仍不缴纳的，可处欠缴数额一倍以上三倍以下罚款。社保费不是税，不适用《税收征收管理法》偷税条款。</w:t>
      </w:r>
    </w:p>
    <w:p w14:paraId="4A217A6B">
      <w:pPr>
        <w:keepNext w:val="0"/>
        <w:keepLines w:val="0"/>
        <w:widowControl/>
        <w:suppressLineNumbers w:val="0"/>
        <w:pBdr>
          <w:top w:val="none" w:color="auto" w:sz="0" w:space="0"/>
          <w:left w:val="single" w:color="C2410C" w:sz="18" w:space="0"/>
          <w:bottom w:val="none" w:color="auto" w:sz="0" w:space="0"/>
          <w:right w:val="none" w:color="auto" w:sz="0" w:space="0"/>
        </w:pBdr>
        <w:shd w:val="clear" w:fill="FFF7ED"/>
        <w:spacing w:before="0" w:beforeAutospacing="0" w:after="75" w:afterAutospacing="0" w:line="28" w:lineRule="atLeast"/>
        <w:ind w:left="0" w:right="0"/>
        <w:jc w:val="left"/>
        <w:rPr>
          <w:b/>
          <w:bCs/>
          <w:color w:val="9A3412"/>
          <w:sz w:val="19"/>
          <w:szCs w:val="19"/>
        </w:rPr>
      </w:pPr>
      <w:r>
        <w:rPr>
          <w:rFonts w:ascii="宋体" w:hAnsi="宋体" w:eastAsia="宋体" w:cs="宋体"/>
          <w:b/>
          <w:bCs/>
          <w:color w:val="9A3412"/>
          <w:kern w:val="0"/>
          <w:sz w:val="19"/>
          <w:szCs w:val="19"/>
          <w:bdr w:val="none" w:color="auto" w:sz="0" w:space="0"/>
          <w:shd w:val="clear" w:fill="FFF7ED"/>
          <w:lang w:val="en-US" w:eastAsia="zh-CN" w:bidi="ar"/>
        </w:rPr>
        <w:t>本项还包含以下风险信号</w:t>
      </w:r>
    </w:p>
    <w:p w14:paraId="48989F35">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工资名册与社会保险人员范围差异</w:t>
      </w:r>
    </w:p>
    <w:p w14:paraId="452F9B4D">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等级：中风险　|　终局：可自证清白</w:t>
      </w:r>
    </w:p>
    <w:p w14:paraId="7EF3C4CF">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围绕「工资名册与社会保险人员范围差异」，核对其所涉及的劳动合同、工资表、社保明细、工资表等资料的真实性与账务、申报处理口径；对确认存在的差错，完成账务更正或申报更正，并留存更正凭证与情况说明；补齐上述资料后重新执行一键分析，由系统复查本事项是否已消除。</w:t>
      </w:r>
    </w:p>
    <w:p w14:paraId="7A4C1CDC">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需补资料：</w:t>
      </w:r>
      <w:r>
        <w:rPr>
          <w:rFonts w:ascii="宋体" w:hAnsi="宋体" w:eastAsia="宋体" w:cs="宋体"/>
          <w:kern w:val="0"/>
          <w:sz w:val="18"/>
          <w:szCs w:val="18"/>
          <w:bdr w:val="none" w:color="auto" w:sz="0" w:space="0"/>
          <w:shd w:val="clear" w:fill="FFF7ED"/>
          <w:lang w:val="en-US" w:eastAsia="zh-CN" w:bidi="ar"/>
        </w:rPr>
        <w:t>劳动合同——证明用工关系与人员身份（退休返聘；劳务派遣；非全日制等）</w:t>
      </w:r>
    </w:p>
    <w:p w14:paraId="063CC1AC">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有工资无社保</w:t>
      </w:r>
    </w:p>
    <w:p w14:paraId="441CFFBE">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等级：高风险　|　终局：证据闭合</w:t>
      </w:r>
    </w:p>
    <w:p w14:paraId="63B689DB">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具体税款、滞纳金、处罚或移送后果须依据适用期间、完整事实、证据和法定程序由有权人员复核。属特殊用工身份的备齐佐证材料后不认定为未参保。；补齐「用工身份」支撑材料：劳动合同 + 工资发放银行流水 + 个税扣缴申报明细，三者人员名单须一致。；在申报口径上完成更正：个税扣缴申报人数、工资表人数、社保参保人数三方对齐；更正后重新执行一键分析，由系统复查原差异是否消除。</w:t>
      </w:r>
    </w:p>
    <w:p w14:paraId="0E181A8E">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需补资料：</w:t>
      </w:r>
      <w:r>
        <w:rPr>
          <w:rFonts w:ascii="宋体" w:hAnsi="宋体" w:eastAsia="宋体" w:cs="宋体"/>
          <w:kern w:val="0"/>
          <w:sz w:val="18"/>
          <w:szCs w:val="18"/>
          <w:bdr w:val="none" w:color="auto" w:sz="0" w:space="0"/>
          <w:shd w:val="clear" w:fill="FFF7ED"/>
          <w:lang w:val="en-US" w:eastAsia="zh-CN" w:bidi="ar"/>
        </w:rPr>
        <w:t>劳动合同——达到提交人工复核条件与性质（判断是否属应保未保；退休返聘；非全日制不适用单位参保）；社保明细——证明这些人员在其他主体或参保地已参保（避免重复认定）；银行流水——证明工资实际发放的对方；金额与时间（核对人员真实性）；纳税申报表——证明个税扣缴申报的人数与金额口径</w:t>
      </w:r>
    </w:p>
    <w:p w14:paraId="20DC81AB">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90" w:afterAutospacing="0" w:line="29" w:lineRule="atLeast"/>
        <w:ind w:left="0" w:right="0"/>
        <w:jc w:val="left"/>
        <w:rPr>
          <w:b/>
          <w:bCs/>
          <w:color w:val="854D0E"/>
          <w:sz w:val="20"/>
          <w:szCs w:val="20"/>
        </w:rPr>
      </w:pPr>
      <w:r>
        <w:rPr>
          <w:rFonts w:ascii="宋体" w:hAnsi="宋体" w:eastAsia="宋体" w:cs="宋体"/>
          <w:b/>
          <w:bCs/>
          <w:color w:val="854D0E"/>
          <w:kern w:val="0"/>
          <w:sz w:val="20"/>
          <w:szCs w:val="20"/>
          <w:bdr w:val="none" w:color="auto" w:sz="0" w:space="0"/>
          <w:shd w:val="clear" w:fill="FFFBEB"/>
          <w:lang w:val="en-US" w:eastAsia="zh-CN" w:bidi="ar"/>
        </w:rPr>
        <w:t>本项需企业澄清的问题</w:t>
      </w:r>
    </w:p>
    <w:p w14:paraId="67150BBC">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30" w:beforeAutospacing="0" w:after="3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BEB"/>
          <w:lang w:val="en-US" w:eastAsia="zh-CN" w:bidi="ar"/>
        </w:rPr>
        <w:t>关注级别：高</w:t>
      </w:r>
    </w:p>
    <w:p w14:paraId="6B48A3FA">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90" w:beforeAutospacing="0" w:after="9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FFBEB"/>
          <w:lang w:val="en-US" w:eastAsia="zh-CN" w:bidi="ar"/>
        </w:rPr>
        <w:t>询问 1：</w:t>
      </w:r>
      <w:r>
        <w:rPr>
          <w:rFonts w:ascii="宋体" w:hAnsi="宋体" w:eastAsia="宋体" w:cs="宋体"/>
          <w:kern w:val="0"/>
          <w:sz w:val="19"/>
          <w:szCs w:val="19"/>
          <w:bdr w:val="none" w:color="auto" w:sz="0" w:space="0"/>
          <w:shd w:val="clear" w:fill="FFFBEB"/>
          <w:lang w:val="en-US" w:eastAsia="zh-CN" w:bidi="ar"/>
        </w:rPr>
        <w:t>银行流水显示有 1,082,000.00 元通过自然人（个人）账户收取。请说明这些款项的性质：是销售回款、代垫借款、往来款，还是股东/员工借款？每一种性质请提供对应证据。</w:t>
      </w:r>
    </w:p>
    <w:p w14:paraId="1831CAD4">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风险检查依据：</w:t>
      </w:r>
      <w:r>
        <w:rPr>
          <w:rFonts w:ascii="宋体" w:hAnsi="宋体" w:eastAsia="宋体" w:cs="宋体"/>
          <w:color w:val="475569"/>
          <w:kern w:val="0"/>
          <w:sz w:val="18"/>
          <w:szCs w:val="18"/>
          <w:bdr w:val="none" w:color="auto" w:sz="0" w:space="0"/>
          <w:shd w:val="clear" w:fill="FFFBEB"/>
          <w:lang w:val="en-US" w:eastAsia="zh-CN" w:bidi="ar"/>
        </w:rPr>
        <w:t>风险检查要点：个人账户收营业款项，是账外经营、隐瞒收入的高频入口；定性偷税故意还是正常往来，取决于款项真实用途与是否对应未申报收入。</w:t>
      </w:r>
    </w:p>
    <w:p w14:paraId="6119C788">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需补充资料：</w:t>
      </w:r>
      <w:r>
        <w:rPr>
          <w:rFonts w:ascii="宋体" w:hAnsi="宋体" w:eastAsia="宋体" w:cs="宋体"/>
          <w:color w:val="475569"/>
          <w:kern w:val="0"/>
          <w:sz w:val="18"/>
          <w:szCs w:val="18"/>
          <w:bdr w:val="none" w:color="auto" w:sz="0" w:space="0"/>
          <w:shd w:val="clear" w:fill="FFFBEB"/>
          <w:lang w:val="en-US" w:eastAsia="zh-CN" w:bidi="ar"/>
        </w:rPr>
        <w:t>借款合同（含利率、期限、还款计划）；代垫/往来款协议及对方确认函；若属销售回款：对应未开票收入的补开票与补申报底稿；收款个人账户持有人与公司的关系说明</w:t>
      </w:r>
    </w:p>
    <w:p w14:paraId="4FBAB151">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64748B"/>
          <w:sz w:val="18"/>
          <w:szCs w:val="18"/>
        </w:rPr>
      </w:pPr>
      <w:r>
        <w:rPr>
          <w:rFonts w:ascii="宋体" w:hAnsi="宋体" w:eastAsia="宋体" w:cs="宋体"/>
          <w:color w:val="92400E"/>
          <w:kern w:val="0"/>
          <w:sz w:val="18"/>
          <w:szCs w:val="18"/>
          <w:bdr w:val="none" w:color="auto" w:sz="0" w:space="0"/>
          <w:shd w:val="clear" w:fill="FFFBEB"/>
          <w:lang w:val="en-US" w:eastAsia="zh-CN" w:bidi="ar"/>
        </w:rPr>
        <w:t>系统局限→企业自证：</w:t>
      </w:r>
      <w:r>
        <w:rPr>
          <w:rFonts w:ascii="宋体" w:hAnsi="宋体" w:eastAsia="宋体" w:cs="宋体"/>
          <w:color w:val="64748B"/>
          <w:kern w:val="0"/>
          <w:sz w:val="18"/>
          <w:szCs w:val="18"/>
          <w:bdr w:val="none" w:color="auto" w:sz="0" w:space="0"/>
          <w:shd w:val="clear" w:fill="FFFBEB"/>
          <w:lang w:val="en-US" w:eastAsia="zh-CN" w:bidi="ar"/>
        </w:rPr>
        <w:t>系统只能识别『个人名账户收款』这一形态，无法判定资金真实性质；真风险检查员会询问法定代表人/财务负责人并调取个人账户流水。请企业主动说明性质并留痕，避免被认定为账外收入。</w:t>
      </w:r>
    </w:p>
    <w:p w14:paraId="4A69742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5B8F1D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在验证前不能认定本项成立：本项的直接证据尚为「缺失」，属前置条件未满足。</w:t>
      </w:r>
    </w:p>
    <w:p w14:paraId="5DEB66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44B8224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3677FAB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直接证据：劳动合同与用工名册　</w:t>
      </w:r>
      <w:r>
        <w:rPr>
          <w:rFonts w:ascii="宋体" w:hAnsi="宋体" w:eastAsia="宋体" w:cs="宋体"/>
          <w:color w:val="64748B"/>
          <w:kern w:val="0"/>
          <w:sz w:val="18"/>
          <w:szCs w:val="18"/>
          <w:bdr w:val="none" w:color="auto" w:sz="0" w:space="0"/>
          <w:shd w:val="clear" w:fill="F5F3FF"/>
          <w:lang w:val="en-US" w:eastAsia="zh-CN" w:bidi="ar"/>
        </w:rPr>
        <w:t>现状：缺失；证明目的：确认真实用工关系</w:t>
      </w:r>
    </w:p>
    <w:p w14:paraId="5B01281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「劳动合同与用工名册」本轮未提供，是支撑链上最弱的一环；缺它就无法认定本项成立 —— 只能列为「资料未齐、不作认定」。</w:t>
      </w:r>
    </w:p>
    <w:p w14:paraId="0FD2BEF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「劳动合同与用工名册」补齐后，若显示相关业务真实、口径一致 ⇒ 本项不成立（可自证清白）。</w:t>
      </w:r>
    </w:p>
    <w:p w14:paraId="530AE9A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668D2D7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直接证据：银行代发工资流水或签收记录　</w:t>
      </w:r>
      <w:r>
        <w:rPr>
          <w:rFonts w:ascii="宋体" w:hAnsi="宋体" w:eastAsia="宋体" w:cs="宋体"/>
          <w:color w:val="64748B"/>
          <w:kern w:val="0"/>
          <w:sz w:val="18"/>
          <w:szCs w:val="18"/>
          <w:bdr w:val="none" w:color="auto" w:sz="0" w:space="0"/>
          <w:shd w:val="clear" w:fill="F5F3FF"/>
          <w:lang w:val="en-US" w:eastAsia="zh-CN" w:bidi="ar"/>
        </w:rPr>
        <w:t>现状：须核对；证明目的：证明工资实际发放到本人</w:t>
      </w:r>
    </w:p>
    <w:p w14:paraId="5B9B2E8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「银行代发工资流水或签收记录」本轮未逐字见到，只是「同类资料已提供」；若「银行代发工资流水或签收记录」其实不含本项所需内容，本项的这一支撑即为空。</w:t>
      </w:r>
    </w:p>
    <w:p w14:paraId="569A81E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经核对，已提供的同类资料中确实包含本项所需内容且口径一致 ⇒ 支撑成立；若确认不包含 ⇒ 本项应退回「资料不足、不作认定」。</w:t>
      </w:r>
    </w:p>
    <w:p w14:paraId="6183E18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2972840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直接证据：劳务派遣协议及派遣单位资质　</w:t>
      </w:r>
      <w:r>
        <w:rPr>
          <w:rFonts w:ascii="宋体" w:hAnsi="宋体" w:eastAsia="宋体" w:cs="宋体"/>
          <w:color w:val="64748B"/>
          <w:kern w:val="0"/>
          <w:sz w:val="18"/>
          <w:szCs w:val="18"/>
          <w:bdr w:val="none" w:color="auto" w:sz="0" w:space="0"/>
          <w:shd w:val="clear" w:fill="F5F3FF"/>
          <w:lang w:val="en-US" w:eastAsia="zh-CN" w:bidi="ar"/>
        </w:rPr>
        <w:t>现状：缺失；证明目的：派遣人员由派遣单位参保，可豁免</w:t>
      </w:r>
    </w:p>
    <w:p w14:paraId="2E21CC9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情形与「劳动合同与用工名册」相同（缺失）；不再重复同一段自我反驳。</w:t>
      </w:r>
    </w:p>
    <w:p w14:paraId="247EB12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同上：该情形一旦核对通过，「劳务派遣协议及派遣单位资质」这一条的支撑即成立。</w:t>
      </w:r>
    </w:p>
    <w:p w14:paraId="5A75194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0365B04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间接证据：考勤记录与门禁记录　</w:t>
      </w:r>
      <w:r>
        <w:rPr>
          <w:rFonts w:ascii="宋体" w:hAnsi="宋体" w:eastAsia="宋体" w:cs="宋体"/>
          <w:color w:val="64748B"/>
          <w:kern w:val="0"/>
          <w:sz w:val="18"/>
          <w:szCs w:val="18"/>
          <w:bdr w:val="none" w:color="auto" w:sz="0" w:space="0"/>
          <w:shd w:val="clear" w:fill="F5F3FF"/>
          <w:lang w:val="en-US" w:eastAsia="zh-CN" w:bidi="ar"/>
        </w:rPr>
        <w:t>现状：缺失；证明目的：印证人员实际在岗</w:t>
      </w:r>
    </w:p>
    <w:p w14:paraId="27754C2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情形与「劳动合同与用工名册」相同（缺失）；不再重复同一段自我反驳。</w:t>
      </w:r>
    </w:p>
    <w:p w14:paraId="2202BE2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同上：该情形一旦核对通过，「考勤记录与门禁记录」这一条的支撑即成立。</w:t>
      </w:r>
    </w:p>
    <w:p w14:paraId="67B38F8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5FFE556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反证：退休返聘协议、实习协议、非全日制用工协议　</w:t>
      </w:r>
      <w:r>
        <w:rPr>
          <w:rFonts w:ascii="宋体" w:hAnsi="宋体" w:eastAsia="宋体" w:cs="宋体"/>
          <w:color w:val="64748B"/>
          <w:kern w:val="0"/>
          <w:sz w:val="18"/>
          <w:szCs w:val="18"/>
          <w:bdr w:val="none" w:color="auto" w:sz="0" w:space="0"/>
          <w:shd w:val="clear" w:fill="F5F3FF"/>
          <w:lang w:val="en-US" w:eastAsia="zh-CN" w:bidi="ar"/>
        </w:rPr>
        <w:t>现状：待企业提交；证明目的：具备合法豁免身份的不触本红线</w:t>
      </w:r>
    </w:p>
    <w:p w14:paraId="6E99565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情形与「劳动合同与用工名册」相同（待企业提交）；不再重复同一段自我反驳。</w:t>
      </w:r>
    </w:p>
    <w:p w14:paraId="798CEA5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同上：该情形一旦核对通过，「退休返聘协议、实习协议、非全日制用工协议」这一条的支撑即成立。</w:t>
      </w:r>
    </w:p>
    <w:p w14:paraId="089F905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5582CCC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涉案金额　</w:t>
      </w:r>
      <w:r>
        <w:rPr>
          <w:rFonts w:ascii="宋体" w:hAnsi="宋体" w:eastAsia="宋体" w:cs="宋体"/>
          <w:color w:val="64748B"/>
          <w:kern w:val="0"/>
          <w:sz w:val="18"/>
          <w:szCs w:val="18"/>
          <w:bdr w:val="none" w:color="auto" w:sz="0" w:space="0"/>
          <w:shd w:val="clear" w:fill="F5F3FF"/>
          <w:lang w:val="en-US" w:eastAsia="zh-CN" w:bidi="ar"/>
        </w:rPr>
        <w:t>约 17,000.00 元</w:t>
      </w:r>
    </w:p>
    <w:p w14:paraId="61DE79A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金额是按「工资名册有、社保参保无（工资表 「工资表内工资合计（元）」」这一口径算出来的；若口径变化（含税/不含税、期间口径、是否与其他疑点重叠），金额随之变化。</w:t>
      </w:r>
    </w:p>
    <w:p w14:paraId="6E7FE39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按另一口径复算后金额显著变化，或与他项重复计算 ⇒ 本项金额应相应调整。</w:t>
      </w:r>
    </w:p>
    <w:p w14:paraId="7D49460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该金额的取出所需要的数据口径与逐笔明细（可否独立复算）</w:t>
      </w:r>
    </w:p>
    <w:p w14:paraId="34A4FBD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材料齐全程度（取值 0.0）</w:t>
      </w:r>
    </w:p>
    <w:p w14:paraId="15B4C71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393B4F6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1BB838B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02B6331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24C0607E">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劳动合同与用工名册</w:t>
      </w:r>
    </w:p>
    <w:p w14:paraId="50AF1A58">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16B5DED4">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5CBF2FD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2. 劳务派遣协议及派遣单位资质</w:t>
      </w:r>
    </w:p>
    <w:p w14:paraId="22A3D97C">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5316D9A9">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230B9ABF">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3. 考勤记录与门禁记录</w:t>
      </w:r>
    </w:p>
    <w:p w14:paraId="0F9CD36E">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59DDA281">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29F85AA9">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4. 退休返聘协议、实习协议、非全日制用工协议</w:t>
      </w:r>
    </w:p>
    <w:p w14:paraId="4081666D">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568A8EA0">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785683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疑点4：银行收款大于申报收入：存在账外收入嫌疑</w:t>
      </w:r>
      <w:r>
        <w:rPr>
          <w:rFonts w:ascii="宋体" w:hAnsi="宋体" w:eastAsia="宋体" w:cs="宋体"/>
          <w:b/>
          <w:bCs/>
          <w:color w:val="FFFFFF"/>
          <w:kern w:val="0"/>
          <w:sz w:val="18"/>
          <w:szCs w:val="18"/>
          <w:bdr w:val="none" w:color="auto" w:sz="0" w:space="0"/>
          <w:shd w:val="clear" w:fill="B91C1C"/>
          <w:lang w:val="en-US" w:eastAsia="zh-CN" w:bidi="ar"/>
        </w:rPr>
        <w:t>办理顺序：第三项</w:t>
      </w:r>
    </w:p>
    <w:p w14:paraId="5D1EBD7D">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隐匿收入、账外经营、少计销项税额。从本次上传资料来看，本企业本项已查明的风险；未认定到构成要件的可能性中等，但能补全尚缺的3项资料来排除此项税务风险嫌疑。本项涉税嫌疑，涉及增值税、企业所得税；潜在税额影响：未量化（缺明确金额，须补资料后测算）。</w:t>
      </w:r>
    </w:p>
    <w:p w14:paraId="1A3009B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40FD0C88">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6E67C5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本项之所以列入检查，是因为出现了以下情况：银行收款与销项开票金额月度差异（共59笔）（本表 59 行，涉及 22 个对象，金额合计 6,483,932.64 元）；主营业务收入收款印证核实（共47笔）（本表 47 行，涉及 20 个对象，金额合计 6,203,186.94 元）。本项对应的风险指标是银行收款大于申报收入：存在账外收入嫌疑——凡出现上述情形即纳入检查范围；是否成立，另按本项构成要件逐条核对（见下）。</w:t>
      </w:r>
    </w:p>
    <w:p w14:paraId="22F33EC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7C8E52CC">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0F0EB3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银行收款大于申报收入：存在账外收入嫌疑认定到任何一条构成要件：账内检出需进一步核实的信号——在9个月中，银行贷方收款与销项发票价税合计的差异同时超过25%和10万元。下列要件清单是本项对应的判断标准，逐条核对结果见下：本项与以下 2 个子项属同一风险族「收入与银行收款」，子项不再单独计数，差异点：未开票收入长期为零：全部收入均开具发票（低风险）；其他应付款大额长期挂账：隐匿收入或账外资金（低风险）。</w:t>
      </w:r>
    </w:p>
    <w:p w14:paraId="5DA9FE9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本项（银行收款大于申报收入：存在账外收入嫌）：经核对，本企业未涉及任何一条构成要件（仅已单独核对且符合情形的要件计入）；本项共 5 条构成要件：已单独核对 1 条（符合情形 0 条、未发现符合 0 条、有信号但未达数值门槛 1 条）；未形成核对结论 1 条（资料已取得但缺对应核对证据，不作未发现符合认定）；未单独核对 3 条（独立数据源本轮未取得，均不计入涉及）。</w:t>
      </w:r>
    </w:p>
    <w:p w14:paraId="05FEB0A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银行账户经营性入账金额与同期申报收入、开票收入存在差异（未形成核对结论（资料已取得但缺本要件的对应核对证据，不作未发现符合认定）；独立数据源：银行流水、增值税申报表、销项发票｜已有）</w:t>
      </w:r>
    </w:p>
    <w:p w14:paraId="57AE7C1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上述差额（申报收入与开票/账面收入差异）占申报收入比例超过行业基准税负率区间上沿（行业基准通用参考值，非税务机关官方口径，仅作线索参照）（已单独核对：有信号但未达该要件的数值门槛；独立数据源：银行流水、增值税申报表、销项发票｜已有）</w:t>
      </w:r>
    </w:p>
    <w:p w14:paraId="54AE828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差额无法由往来款、借款、退款等非收入项目解释（未单独核对（独立数据源本轮未取得）；独立数据源：银行流水、往来科目明细｜须核对）</w:t>
      </w:r>
    </w:p>
    <w:p w14:paraId="32F0DD8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个人账户代收经营款项后转入公司账户但未确认收入，形成账外回流（未单独核对（独立数据源本轮未取得）；独立数据源：银行流水、往来科目明细、销项发票｜须核对）</w:t>
      </w:r>
    </w:p>
    <w:p w14:paraId="29AED5E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不属于下列正当情形：股东或关联方借款入账（有借款合同与还款记录）；代收代付款项（有代付协议与转付凭证）；退款、保证金、押金退回；跨期收款（上期发出商品本期收款，收入已在上期确认）（未单独核对（独立数据源本轮未取得）；独立数据源：银行流水、往来科目明细、销项发票、借款合同｜须核对）</w:t>
      </w:r>
    </w:p>
    <w:p w14:paraId="0BA15D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税收征收管理法》第六十三条第一款：在账簿上少列收入，少缴应纳税款的，是偷税（2015年修正；主席令第二十三号（2015年4月24日第十二届全国人民代表大会常务委员会第十四次会议修正），现行有效）；《增值税暂行条例》第十九条：销售货物或者应税劳务，为收讫销售款项或者取得索取销售款项凭据的当天（2017年修订；国务院令第691号（2017年11月19日《国务院关于废止和修改部分行政法规的决定》修订），现行有效）。</w:t>
      </w:r>
    </w:p>
    <w:p w14:paraId="376E02B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11240"/>
        <w:gridCol w:w="3125"/>
        <w:gridCol w:w="1204"/>
        <w:gridCol w:w="5109"/>
      </w:tblGrid>
      <w:tr w14:paraId="3BB5B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92E3CD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4A3415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52FF60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E091F1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96673E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29021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362502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4AA7D8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银行账户经营性入账金额与同期申报收入、开票收入存在差异</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AD4252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银行流水、增值税申报表、销项发票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7D8682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8AAF5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0FFA4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71A5A2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21715E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上述差额（申报收入与开票/账面收入差异）占申报收入比例超过行业基准税负率区间上沿（行业基准通用参考值，非税务机关官方口径，仅作线索参照）</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36849F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银行流水、增值税申报表、销项发票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6E2DCA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D9A5E2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已单独核对：有信号但未达该要件的数值门槛</w:t>
            </w:r>
          </w:p>
        </w:tc>
      </w:tr>
      <w:tr w14:paraId="5DA26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8774CB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DDCBE1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差额无法由往来款、借款、退款等非收入项目解释</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69E8CF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银行流水、往来科目明细</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A54B8A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BB5E3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59377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B41334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A1957A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个人账户代收经营款项后转入公司账户但未确认收入，形成账外回流</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D1C228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银行流水、往来科目明细、销项发票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0E72C0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5AFD7A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3F6F4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939FF2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DB7F55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不属于下列正当情形：股东或关联方借款入账（有借款合同与还款记录）；代收代付款项（有代付协议与转付凭证）；退款、保证金、押金退回；跨期收款（上期发出商品本期收款，收入已在上期确认）</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02A4F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银行流水、往来科目明细、销项发票、借款合同</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A3BBA1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0637F3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08431CC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03D8F9B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6483AF6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银行流水中剔除同名划转、内部调拨、贷款入账、退款后归集经营性入账，看到9个月银行贷方收款与销项发票金额存在差异（同时超过25%和10万元）；第2步从增值税申报表、销项发票、账面收入中汇总同期申报收入与开票收入；第3步从两者比对（本轮未提供）中计算差额及占比，逐笔分析差额款项性质；第4步从往来科目明细中排除借款、往来款、代收代付等非收入项目，看到本环节未产出对题读数（所需资料已在本轮提供，属检查程序待完善项）。第4环所需资料已在本轮提供、但该环节未产出可展示数据（属检查程序待完善项，不计入资料缺失，不影响资料齐备性判断）。</w:t>
      </w:r>
    </w:p>
    <w:p w14:paraId="35F87447">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银行收款与销项开票金额月度差异（共59笔）</w:t>
      </w:r>
    </w:p>
    <w:p w14:paraId="0A4782A0">
      <w:pPr>
        <w:pStyle w:val="5"/>
        <w:keepNext w:val="0"/>
        <w:keepLines w:val="0"/>
        <w:widowControl/>
        <w:suppressLineNumbers w:val="0"/>
        <w:pBdr>
          <w:top w:val="none" w:color="auto" w:sz="0" w:space="0"/>
          <w:left w:val="single" w:color="94A3B8" w:sz="18" w:space="7"/>
          <w:bottom w:val="none" w:color="auto" w:sz="0" w:space="0"/>
          <w:right w:val="none" w:color="auto" w:sz="0" w:space="0"/>
        </w:pBdr>
        <w:shd w:val="clear" w:fill="F8FAFC"/>
        <w:spacing w:before="90" w:beforeAutospacing="0" w:after="30" w:afterAutospacing="0" w:line="28" w:lineRule="atLeast"/>
        <w:ind w:left="0" w:right="0" w:firstLine="420"/>
        <w:jc w:val="both"/>
        <w:rPr>
          <w:color w:val="475569"/>
          <w:sz w:val="18"/>
          <w:szCs w:val="18"/>
        </w:rPr>
      </w:pPr>
      <w:r>
        <w:rPr>
          <w:color w:val="475569"/>
          <w:sz w:val="18"/>
          <w:szCs w:val="18"/>
          <w:bdr w:val="none" w:color="auto" w:sz="0" w:space="0"/>
          <w:shd w:val="clear" w:fill="F8FAFC"/>
        </w:rPr>
        <w:t>口径说明：本表列出的是该风险事项所依据的基础逐笔明细（全量）；正文与构成要件中写明的人数/笔数是按构成要件筛选后的结果，两者口径不同，判断具体涉及范围时以正文数字为准。 口径说明：本表已按本项口径过滤，剔除 10 行非经营性收款（借款、往来款、还款、退款、贷款、利息、保证金等）——这些是本项差异的**说明项**而非本项证据，需要逐笔说明其性质，故不列作经营性收款明细。被剔除的记录仍在其自身所属事项中列示，此处不重复。</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09"/>
        <w:gridCol w:w="8118"/>
        <w:gridCol w:w="6233"/>
        <w:gridCol w:w="1709"/>
        <w:gridCol w:w="1714"/>
        <w:gridCol w:w="1109"/>
        <w:gridCol w:w="1709"/>
      </w:tblGrid>
      <w:tr w14:paraId="08AD5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B0A2F2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EE9326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凭证/单据标识</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3636AD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对方单位</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EC40D7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日期</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9F1C53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来源资料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2DC44A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说明</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831894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凭证号</w:t>
            </w:r>
          </w:p>
        </w:tc>
      </w:tr>
      <w:tr w14:paraId="3EDCA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B3B6C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DAE74D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95CD78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69B7DA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2989D2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08E30B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51BFCB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20250708</w:t>
            </w:r>
          </w:p>
        </w:tc>
      </w:tr>
      <w:tr w14:paraId="2367A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7995AF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AECE51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B79D25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沙暴文化传播（北京）有限公司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AE4108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20251031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DB6934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98D9C1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10EA8F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20251031</w:t>
            </w:r>
          </w:p>
        </w:tc>
      </w:tr>
      <w:tr w14:paraId="75BD2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68825E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58F26C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25030536-0001-G001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57E861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88FD52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20250806</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E13664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106249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A21040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20250806</w:t>
            </w:r>
          </w:p>
        </w:tc>
      </w:tr>
      <w:tr w14:paraId="5943C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6B732F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C75218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143FA2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B92816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20250402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36A1ED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9B587A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38155F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20250402</w:t>
            </w:r>
          </w:p>
        </w:tc>
      </w:tr>
      <w:tr w14:paraId="4A8B8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DFED60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2E5935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信息服务费刘秋红资源</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427184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北京博川文化传媒有限公司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7707A9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20250615</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7241E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B755C8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A37CB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20250615</w:t>
            </w:r>
          </w:p>
        </w:tc>
      </w:tr>
      <w:tr w14:paraId="6AB94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25B6DE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01FA1B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广告发布费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BF779E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沙暴文化传播（北京）有限公司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F34ADD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20250904</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6047A7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BFC8AA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2C2B84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20250904</w:t>
            </w:r>
          </w:p>
        </w:tc>
      </w:tr>
      <w:tr w14:paraId="53381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B4006E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9</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21DAF8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25030536-0001-G001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063153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8CAFED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20251112</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96082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D2D316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A7C846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20251112</w:t>
            </w:r>
          </w:p>
        </w:tc>
      </w:tr>
      <w:tr w14:paraId="11864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BFA5B5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10</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C3466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运满满MXGP越野摩托赛事搭建执行付款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188D07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南京运途信息科技有限公司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552A1D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4AEC21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CB3E8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065783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20250925</w:t>
            </w:r>
          </w:p>
        </w:tc>
      </w:tr>
      <w:tr w14:paraId="41CB0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944E3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11</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978801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0D934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北京大虫文化传播有限公司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5DC3E8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20250506</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EA09EE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258D09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82F5E3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20250506</w:t>
            </w:r>
          </w:p>
        </w:tc>
      </w:tr>
      <w:tr w14:paraId="71339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110F3D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12</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CB1324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兰马项目款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012223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北京大虫文化传播有限公司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329A92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20250611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4D841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1C62C6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8E3824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20250611</w:t>
            </w:r>
          </w:p>
        </w:tc>
      </w:tr>
      <w:tr w14:paraId="517DE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2B5993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14</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1AC3F2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奇正项目合同款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6C6A6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沄驰（北京）文化传媒有限公司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D88D0A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20250530</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C0CA7F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0AB0A4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7E561E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20250530</w:t>
            </w:r>
          </w:p>
        </w:tc>
      </w:tr>
      <w:tr w14:paraId="4F32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CA5CFE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15</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C7AC89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明星视频采购</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4125CB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华美博扬（深圳）数字科技有限公司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F4054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20250415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736C6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00706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143285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20250415</w:t>
            </w:r>
          </w:p>
        </w:tc>
      </w:tr>
      <w:tr w14:paraId="48B40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98EE20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9CE910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757EE9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7A71FE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20250110</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D473EF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F7D89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EDD12B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20250110</w:t>
            </w:r>
          </w:p>
        </w:tc>
      </w:tr>
      <w:tr w14:paraId="1162E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D15AC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18</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9BB3E4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明星视频</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4B44E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华美博扬（深圳）数字科技有限公司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B56EEE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20250326</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784C18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217742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8E2E1D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20250326</w:t>
            </w:r>
          </w:p>
        </w:tc>
      </w:tr>
      <w:tr w14:paraId="5D16C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E467B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19</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3CC28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D61500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B84050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20250620</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F0DED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F56797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6295CA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20250620</w:t>
            </w:r>
          </w:p>
        </w:tc>
      </w:tr>
      <w:tr w14:paraId="05521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FB24CA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8E2764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结算款HJ2024010</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6949F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深圳市博图数字传媒有限公司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8D3C10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20250313</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9721A6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2C39C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D55F0C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20250313</w:t>
            </w:r>
          </w:p>
        </w:tc>
      </w:tr>
      <w:tr w14:paraId="504F3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CBF35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22</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EF6352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24040226-0002-G001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DA29D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5D7752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20250109</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6015B6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7A751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517634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20250109</w:t>
            </w:r>
          </w:p>
        </w:tc>
      </w:tr>
      <w:tr w14:paraId="0B7BB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A21D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23</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F9944E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结算款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B0188E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深圳市博图数字传媒有限公司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B62A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DC639D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B4A225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A45570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20250705</w:t>
            </w:r>
          </w:p>
        </w:tc>
      </w:tr>
      <w:tr w14:paraId="766D3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AC1446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5E1984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24040226-0002-G001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1F1B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07410E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20250211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519C24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A7E818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69232D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20250211</w:t>
            </w:r>
          </w:p>
        </w:tc>
      </w:tr>
      <w:tr w14:paraId="55E30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1F0BE0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23B321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24040226-0002-G001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6E8DDA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3A46D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20250425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9A3AE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E75212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7F7820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20250425</w:t>
            </w:r>
          </w:p>
        </w:tc>
      </w:tr>
      <w:tr w14:paraId="6B498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9F3C51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C818A9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CADS结汇待支付账户支付其他服务费（上马体博会付款）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D913FC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江苏运满满信息科技有限公司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CF0976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20251216</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5B9BA0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A23208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8063DB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20251216</w:t>
            </w:r>
          </w:p>
        </w:tc>
      </w:tr>
      <w:tr w14:paraId="47D5A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11FFC5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27</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37C6DF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结算款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D84467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深圳市博图数字传媒有限公司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75BEC7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20250828</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EFE895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05BE0C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C85223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20250828</w:t>
            </w:r>
          </w:p>
        </w:tc>
      </w:tr>
      <w:tr w14:paraId="751E2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EE4D4A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28</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7D1BC9D">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19E1AD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李昭阳</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01360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36A174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3059CE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69B1A9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20251028</w:t>
            </w:r>
          </w:p>
        </w:tc>
      </w:tr>
      <w:tr w14:paraId="294A5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68B319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29</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7C52B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24040226-0002-G001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91CB7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4FC9FF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20250303</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2E8C1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7EFF0D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D4CA3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20250303</w:t>
            </w:r>
          </w:p>
        </w:tc>
      </w:tr>
      <w:tr w14:paraId="4BAB8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8F58D8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30</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B000F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主-服</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F15AD4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时趣互动（北京）科技有限公司广州分公司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FA96C5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20250731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397A35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013CA6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4D3FE8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20250731</w:t>
            </w:r>
          </w:p>
        </w:tc>
      </w:tr>
      <w:tr w14:paraId="64275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C7EAD1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31</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399E5A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25010060-0001-G001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D0FF2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173782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20250124</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9437D4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76357F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C75D85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20250124</w:t>
            </w:r>
          </w:p>
        </w:tc>
      </w:tr>
      <w:tr w14:paraId="6F1BF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8A66B7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32</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5342D5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4CCC00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5DB14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20250912</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DD4499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109DB6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A314A5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20250912</w:t>
            </w:r>
          </w:p>
        </w:tc>
      </w:tr>
      <w:tr w14:paraId="02B8B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EC9ED3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33</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FE3E10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主-服</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873382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时趣互动（北京）科技有限公司广州分公司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E51434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20250815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173EB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F4F3A9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DC32B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20250815</w:t>
            </w:r>
          </w:p>
        </w:tc>
      </w:tr>
      <w:tr w14:paraId="0969C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C7099A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34</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5FB748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24040226-0002-G001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249C8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3113C0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20250414</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4CAD1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624D01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01655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20250414</w:t>
            </w:r>
          </w:p>
        </w:tc>
      </w:tr>
      <w:tr w14:paraId="7D861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840B2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35</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BD31E9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7AB84C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233ED3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C616E7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B774C2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78C572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20251222</w:t>
            </w:r>
          </w:p>
        </w:tc>
      </w:tr>
      <w:tr w14:paraId="10BDB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DEAB8D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CEB734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PBI1P8L1PB6IH0ML&gt;&gt;079EA1_推广费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E4A166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西藏奇正藏药营销有限公司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3FEE46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20251118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4CEA7F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E6381F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4B14FC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20251118</w:t>
            </w:r>
          </w:p>
        </w:tc>
      </w:tr>
      <w:tr w14:paraId="1E714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8D1810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37</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652DA70">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AB636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河南志森互动数字科技有限公司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3604A3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8A5FC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AC0A8B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072AA0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20250625</w:t>
            </w:r>
          </w:p>
        </w:tc>
      </w:tr>
      <w:tr w14:paraId="1349A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BA807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38</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A484C3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26C6FF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北京大虫文化传播有限公司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60AE8D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20250902</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3D011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F29F99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2E6368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20250902</w:t>
            </w:r>
          </w:p>
        </w:tc>
      </w:tr>
      <w:tr w14:paraId="2AFE2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E74FEA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39</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2ABF4B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国信-小红书深圳海更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C05AB4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深圳市沿途传媒广告有限公司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1FBBE3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20251016</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D4E04F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43D381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54EA28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20251016</w:t>
            </w:r>
          </w:p>
        </w:tc>
      </w:tr>
      <w:tr w14:paraId="2E788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D2AB68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41</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7625F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25020058-0001-G001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2B8C9A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7D04C0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20250221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E581B3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DED5FB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2F084D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20250221</w:t>
            </w:r>
          </w:p>
        </w:tc>
      </w:tr>
      <w:tr w14:paraId="74112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D21F2B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42</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6D731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8D528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北京大虫文化传播有限公司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D7FF73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20250915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A32B9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FE9D2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B6DA4E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20250915</w:t>
            </w:r>
          </w:p>
        </w:tc>
      </w:tr>
      <w:tr w14:paraId="3182C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74C20A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43</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8C80EF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运满满10月生日车项目付款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E40C4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南京运途信息科技有限公司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7FB8B4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20251205</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D95194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F9A5F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CFE1D3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20251205</w:t>
            </w:r>
          </w:p>
        </w:tc>
      </w:tr>
      <w:tr w14:paraId="34CE2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681AF4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45</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86EA6C7">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DE7B0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北京大虫文化传播有限公司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FA388E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20250524</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F015BD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E75969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9FB4CB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20250524</w:t>
            </w:r>
          </w:p>
        </w:tc>
      </w:tr>
      <w:tr w14:paraId="725A8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F96CF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DBCEA1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司机好感度项目媒体传播第二、三期验收付款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42EA9B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南京运途信息科技有限公司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D43F45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20251103</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125406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3220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CE6DEA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20251103</w:t>
            </w:r>
          </w:p>
        </w:tc>
      </w:tr>
      <w:tr w14:paraId="7C1D0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DD4B49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47</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7F6CC8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SYJS250626000205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269B12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上海链壳科技有限公司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2F62AE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20250811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7620CA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5DE89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B4FE53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20250811</w:t>
            </w:r>
          </w:p>
        </w:tc>
      </w:tr>
      <w:tr w14:paraId="3EC0B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F2B236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48</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23B1D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25050475-0001-G001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D6F706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15663C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20250725</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23676C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AC2B4B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03AA2D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20250725</w:t>
            </w:r>
          </w:p>
        </w:tc>
      </w:tr>
      <w:tr w14:paraId="3DE1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C64319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49</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220FFD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SYJS250728000150</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E1D51D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上海链壳科技有限公司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DB26C1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20250926</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010D1B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760B2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71ACA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20250926</w:t>
            </w:r>
          </w:p>
        </w:tc>
      </w:tr>
      <w:tr w14:paraId="2C744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6849F0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50</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3A0580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ER202504280059-1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E0343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科沃斯机器人股份有限公司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618288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20250514</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800437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E0E9B2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621AA4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20250514</w:t>
            </w:r>
          </w:p>
        </w:tc>
      </w:tr>
      <w:tr w14:paraId="54795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3EF76F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53</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5648EF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SYJS251031000037</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A977E0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上海链壳科技有限公司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C36A9C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20251127</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32A15E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DCF839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E91024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20251127</w:t>
            </w:r>
          </w:p>
        </w:tc>
      </w:tr>
      <w:tr w14:paraId="62EA9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5394C2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54</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9DADB1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运满满生日车项目第一期执行验收付款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89E5A6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南京运途信息科技有限公司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F66EE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20251024</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E71745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CD5C61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6E54F7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20251024</w:t>
            </w:r>
          </w:p>
        </w:tc>
      </w:tr>
      <w:tr w14:paraId="49F0C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F47983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55</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500FC0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SYJS250826000178</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2DEB61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上海链壳科技有限公司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A946A4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20251027</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9EF98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F057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224D5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20251027</w:t>
            </w:r>
          </w:p>
        </w:tc>
      </w:tr>
      <w:tr w14:paraId="1AB01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9097E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28F20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24050161-0001-G001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56E593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54B017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20250103</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F3695E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56DED1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9D607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20250103</w:t>
            </w:r>
          </w:p>
        </w:tc>
      </w:tr>
      <w:tr w14:paraId="5528E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BD0FF2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57</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D6CAA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业务款-24050161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A92A18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D1966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20250618</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5E53E7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D01E2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080B6E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20250618</w:t>
            </w:r>
          </w:p>
        </w:tc>
      </w:tr>
      <w:tr w14:paraId="00ED1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3E5E74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58</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C9E820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退项目服务费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58DD4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悟研（邯郸）文化传媒有限公司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39572B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20251218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BA344D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4DB5BF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8942D8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20251218</w:t>
            </w:r>
          </w:p>
        </w:tc>
      </w:tr>
      <w:tr w14:paraId="6AB48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FF1C69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60</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5F1166B">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5B33CA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初永伟</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D1BCFD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20250519</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970315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4FFDC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FE2A2A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20250519</w:t>
            </w:r>
          </w:p>
        </w:tc>
      </w:tr>
      <w:tr w14:paraId="68073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90C1BB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61</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25FAC3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SYJS251030000121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CC0542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上海链壳科技有限公司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A67B6B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20251229</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183ACB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3F4F03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46D3A6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20251229</w:t>
            </w:r>
          </w:p>
        </w:tc>
      </w:tr>
      <w:tr w14:paraId="76515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570899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62</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13D04B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其他</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A8E99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深圳德源商务服务有限公司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D93A5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20250805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3E22D8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B9FC9C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8758E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20250805</w:t>
            </w:r>
          </w:p>
        </w:tc>
      </w:tr>
      <w:tr w14:paraId="0AA9F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A9FA4D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63</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A25499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退项目服务费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A74F67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悟研（邯郸）文化传媒有限公司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1D1EBA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20251219</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5CD018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4AD189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9CDBDB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20251219</w:t>
            </w:r>
          </w:p>
        </w:tc>
      </w:tr>
      <w:tr w14:paraId="2D943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815B6A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64</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BB6980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79406E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北京日曜体育文化有限公司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2A9644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20250331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4E049C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0C8101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8DAC90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20250331</w:t>
            </w:r>
          </w:p>
        </w:tc>
      </w:tr>
      <w:tr w14:paraId="35E65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EFF841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65</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1E1CDE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24050161-0001-G001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C8BC39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BB40A1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20250703</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154A58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02330D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1BD8D4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20250703</w:t>
            </w:r>
          </w:p>
        </w:tc>
      </w:tr>
      <w:tr w14:paraId="2C739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0E56AD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66</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A9891E4">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2CADEE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应付活期存款息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13F62B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76A4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BE50C9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8C1421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20250921</w:t>
            </w:r>
          </w:p>
        </w:tc>
      </w:tr>
      <w:tr w14:paraId="564F8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22A806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67</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CB5CA0F">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D672B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应付活期存款息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17055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A2D965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AB71C5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8D41A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20250621</w:t>
            </w:r>
          </w:p>
        </w:tc>
      </w:tr>
      <w:tr w14:paraId="4E5FD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0336CF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68</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764FC4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活期存款结息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34A125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应付活期存款息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99E596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9BD0CA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24C4A9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F23C3F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20251221</w:t>
            </w:r>
          </w:p>
        </w:tc>
      </w:tr>
      <w:tr w14:paraId="09618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9CB93B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69</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BFAFEE5">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09524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应付活期存款息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7E9D9C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20250321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62BD74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F8CD07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0798D3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20250321</w:t>
            </w:r>
          </w:p>
        </w:tc>
      </w:tr>
    </w:tbl>
    <w:p w14:paraId="1D52CBC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主营业务收入收款印证核实（共47笔）</w:t>
      </w:r>
    </w:p>
    <w:p w14:paraId="192D3F02">
      <w:pPr>
        <w:pStyle w:val="5"/>
        <w:keepNext w:val="0"/>
        <w:keepLines w:val="0"/>
        <w:widowControl/>
        <w:suppressLineNumbers w:val="0"/>
        <w:pBdr>
          <w:top w:val="none" w:color="auto" w:sz="0" w:space="0"/>
          <w:left w:val="single" w:color="94A3B8" w:sz="18" w:space="7"/>
          <w:bottom w:val="none" w:color="auto" w:sz="0" w:space="0"/>
          <w:right w:val="none" w:color="auto" w:sz="0" w:space="0"/>
        </w:pBdr>
        <w:shd w:val="clear" w:fill="F8FAFC"/>
        <w:spacing w:before="90" w:beforeAutospacing="0" w:after="30" w:afterAutospacing="0" w:line="28" w:lineRule="atLeast"/>
        <w:ind w:left="0" w:right="0" w:firstLine="420"/>
        <w:jc w:val="both"/>
        <w:rPr>
          <w:color w:val="475569"/>
          <w:sz w:val="18"/>
          <w:szCs w:val="18"/>
        </w:rPr>
      </w:pPr>
      <w:r>
        <w:rPr>
          <w:color w:val="475569"/>
          <w:sz w:val="18"/>
          <w:szCs w:val="18"/>
          <w:bdr w:val="none" w:color="auto" w:sz="0" w:space="0"/>
          <w:shd w:val="clear" w:fill="F8FAFC"/>
        </w:rPr>
        <w:t>口径说明：本表列出的是该风险事项所依据的基础逐笔明细（全量）；正文与构成要件中写明的人数/笔数是按构成要件筛选后的结果，两者口径不同，判断具体涉及范围时以正文数字为准。 口径说明：本表已按本项口径过滤，剔除 108 行方向相反的资金记录（本项只看收款）；剔除 6 行非经营性收款（借款、往来款、还款、退款、贷款、利息、保证金等）——这些是本项差异的**说明项**而非本项证据，需要逐笔说明其性质，故不列作经营性收款明细。被剔除的记录仍在其自身所属事项中列示，此处不重复。</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09"/>
        <w:gridCol w:w="8118"/>
        <w:gridCol w:w="6233"/>
        <w:gridCol w:w="1709"/>
        <w:gridCol w:w="1714"/>
        <w:gridCol w:w="1109"/>
        <w:gridCol w:w="1709"/>
      </w:tblGrid>
      <w:tr w14:paraId="697CC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F9734E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314E1BA">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凭证/单据标识</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6CFA44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对方单位</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533BAF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日期</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EE3E790">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来源资料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DC272E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说明</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F4C035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凭证号</w:t>
            </w:r>
          </w:p>
        </w:tc>
      </w:tr>
      <w:tr w14:paraId="3C82C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CE44ED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00934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F25E38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87E6D3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3D010A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22B8AC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B6CE1B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20250708</w:t>
            </w:r>
          </w:p>
        </w:tc>
      </w:tr>
      <w:tr w14:paraId="67440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0FE9BF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82597B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52DAE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沙暴文化传播（北京）有限公司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6C43E5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20251031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8C71EA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160E46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6AB976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20251031</w:t>
            </w:r>
          </w:p>
        </w:tc>
      </w:tr>
      <w:tr w14:paraId="0244E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02A4A9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760608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25030536-0001-G001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8F9D8E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6233BE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20250806</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215E1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DF9FF8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2B8F0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20250806</w:t>
            </w:r>
          </w:p>
        </w:tc>
      </w:tr>
      <w:tr w14:paraId="23194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8BA0D5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558612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9B34E7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731195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20250402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F73EB3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1FF37B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F6AF78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20250402</w:t>
            </w:r>
          </w:p>
        </w:tc>
      </w:tr>
      <w:tr w14:paraId="2A960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DADDE2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2F4C2C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信息服务费刘秋红资源</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5AFFAE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北京博川文化传媒有限公司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4324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20250615</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49FB3C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158766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A467C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20250615</w:t>
            </w:r>
          </w:p>
        </w:tc>
      </w:tr>
      <w:tr w14:paraId="6E8BC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55BE4C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9</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F47C26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广告发布费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1C061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沙暴文化传播（北京）有限公司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3AEAB0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20250904</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FB57C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474B99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751AE1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20250904</w:t>
            </w:r>
          </w:p>
        </w:tc>
      </w:tr>
      <w:tr w14:paraId="13150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BFCEBE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10</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FDE535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25030536-0001-G001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B66996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55430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20251112</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057C3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C6B103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4DFE53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20251112</w:t>
            </w:r>
          </w:p>
        </w:tc>
      </w:tr>
      <w:tr w14:paraId="171E6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A7F050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11</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E23A74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运满满MXGP越野摩托赛事搭建执行付款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E3BC6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南京运途信息科技有限公司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4480AB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B4260A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760296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CEA7F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20250925</w:t>
            </w:r>
          </w:p>
        </w:tc>
      </w:tr>
      <w:tr w14:paraId="52385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C7CE14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12</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A36847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82F5BC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北京大虫文化传播有限公司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54E7FA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20250506</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C5BBAB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5CD4C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6C32B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20250506</w:t>
            </w:r>
          </w:p>
        </w:tc>
      </w:tr>
      <w:tr w14:paraId="74468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01E96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13</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8CCEB7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兰马项目款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BAEB93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北京大虫文化传播有限公司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13EC1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20250611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22F0DA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6C3D0C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05CBAB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20250611</w:t>
            </w:r>
          </w:p>
        </w:tc>
      </w:tr>
      <w:tr w14:paraId="18608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5B0A8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15</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F8157C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奇正项目合同款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B51B3D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沄驰（北京）文化传媒有限公司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6AC7FA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20250530</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D7BB23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AD4E3A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D24EDE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20250530</w:t>
            </w:r>
          </w:p>
        </w:tc>
      </w:tr>
      <w:tr w14:paraId="60718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6DC47D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B728D8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明星视频采购</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D7958E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华美博扬（深圳）数字科技有限公司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4E9F88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20250415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D10D1E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3D5354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C28846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20250415</w:t>
            </w:r>
          </w:p>
        </w:tc>
      </w:tr>
      <w:tr w14:paraId="72ABB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90619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17</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4AA2D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1D800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854B8F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20250110</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4ACA57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B73A8B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49645A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20250110</w:t>
            </w:r>
          </w:p>
        </w:tc>
      </w:tr>
      <w:tr w14:paraId="493C7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2E81E8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19</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255107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明星视频</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D453D2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华美博扬（深圳）数字科技有限公司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6D8876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20250326</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C887DC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D3E2FD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214BF3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20250326</w:t>
            </w:r>
          </w:p>
        </w:tc>
      </w:tr>
      <w:tr w14:paraId="3636D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55CE8E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21</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B23237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177E2A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3B7AD6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20250620</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CE8AA3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38CFE2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239F25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20250620</w:t>
            </w:r>
          </w:p>
        </w:tc>
      </w:tr>
      <w:tr w14:paraId="18319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4E6A4D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22</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659828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结算款HJ2024010</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466335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深圳市博图数字传媒有限公司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2F521C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20250313</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F1DB2B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06A70C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B29DD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20250313</w:t>
            </w:r>
          </w:p>
        </w:tc>
      </w:tr>
      <w:tr w14:paraId="11ECF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B3B94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E0B439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24040226-0002-G001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19BAA7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6D9FE9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20250109</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502D7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035C30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91F916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20250109</w:t>
            </w:r>
          </w:p>
        </w:tc>
      </w:tr>
      <w:tr w14:paraId="20C38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F4A5FB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2CF39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结算款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08B13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深圳市博图数字传媒有限公司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99A41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447812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DA9D22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A57E8C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20250705</w:t>
            </w:r>
          </w:p>
        </w:tc>
      </w:tr>
      <w:tr w14:paraId="39CDF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04B94C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ADFBD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24040226-0002-G001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E79F90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6284E8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20250211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DBC630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7F8E5D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B81F47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20250211</w:t>
            </w:r>
          </w:p>
        </w:tc>
      </w:tr>
      <w:tr w14:paraId="00639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4A49E1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27</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6FF112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24040226-0002-G001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F0AF1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37FF55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20250425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F50E55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5F58E2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77C1DE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20250425</w:t>
            </w:r>
          </w:p>
        </w:tc>
      </w:tr>
      <w:tr w14:paraId="10449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29DEC3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28</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302AA1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CADS结汇待支付账户支付其他服务费（上马体博会付款）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BE4B99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江苏运满满信息科技有限公司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E6AA0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20251216</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2E582F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5CC3A2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A5BBBB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20251216</w:t>
            </w:r>
          </w:p>
        </w:tc>
      </w:tr>
      <w:tr w14:paraId="7E990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BC1E8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31</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E9EC4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结算款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F999BF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深圳市博图数字传媒有限公司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24C467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20250828</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623943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CEF0B0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B1CE4A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20250828</w:t>
            </w:r>
          </w:p>
        </w:tc>
      </w:tr>
      <w:tr w14:paraId="3DD4D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2D31A0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32</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49C9FD7">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913B68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李昭阳</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6BE53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7C3A9A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04E023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30D5E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20251028</w:t>
            </w:r>
          </w:p>
        </w:tc>
      </w:tr>
      <w:tr w14:paraId="211AE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CC870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33</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9B634B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24040226-0002-G001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A2EC5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8E1F92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20250303</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B3C4F5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F643E0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49B6C6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20250303</w:t>
            </w:r>
          </w:p>
        </w:tc>
      </w:tr>
      <w:tr w14:paraId="65E90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159E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6E9DF0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主-服</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3758CC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时趣互动（北京）科技有限公司广州分公司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56580F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20250731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294133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DCECAA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C73F24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20250731</w:t>
            </w:r>
          </w:p>
        </w:tc>
      </w:tr>
      <w:tr w14:paraId="02532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2036D7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45</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759928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25010060-0001-G001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7CAC2C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FB4E83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20250124</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58506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5FD9D1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5A404A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20250124</w:t>
            </w:r>
          </w:p>
        </w:tc>
      </w:tr>
      <w:tr w14:paraId="1D27D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00EF7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48</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2F247D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49FE05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221B40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20250912</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EA809F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34AC70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89EA8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20250912</w:t>
            </w:r>
          </w:p>
        </w:tc>
      </w:tr>
      <w:tr w14:paraId="1F166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6D5FA2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54</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9AF051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E426E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上海蕴世广告传媒有限公司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C0C782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27613A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B78CB1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D3F5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20251222</w:t>
            </w:r>
          </w:p>
        </w:tc>
      </w:tr>
      <w:tr w14:paraId="708DC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BBCDA3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E36DA8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PBI1P8L1PB6IH0ML&gt;&gt;079EA1_推广费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6B8E2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西藏奇正藏药营销有限公司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7D219D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20251118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052BA5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4CEAB6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479CB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20251118</w:t>
            </w:r>
          </w:p>
        </w:tc>
      </w:tr>
      <w:tr w14:paraId="23BB2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98CE89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57</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7681C8C">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7D602B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河南志森互动数字科技有限公司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CFD1F6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EE71E7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103CE0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45B78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20250625</w:t>
            </w:r>
          </w:p>
        </w:tc>
      </w:tr>
      <w:tr w14:paraId="714EB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DA436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60</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B36882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8B1FDA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北京大虫文化传播有限公司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E2E934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20250902</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12BC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4B3323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43976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20250902</w:t>
            </w:r>
          </w:p>
        </w:tc>
      </w:tr>
      <w:tr w14:paraId="35400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415744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64</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B742E4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国信-小红书深圳海更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4E2E3D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深圳市沿途传媒广告有限公司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6CC73D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20251016</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B6ECCC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DD1B3B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A038B4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20251016</w:t>
            </w:r>
          </w:p>
        </w:tc>
      </w:tr>
      <w:tr w14:paraId="23E00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C44CD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94509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25020058-0001-G001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316250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899BA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20250221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48AE90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4F3306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EA1C9E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20250221</w:t>
            </w:r>
          </w:p>
        </w:tc>
      </w:tr>
      <w:tr w14:paraId="6313E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BE727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73</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3DAA76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运满满10月生日车项目付款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BB9388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南京运途信息科技有限公司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92CC57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20251205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621E50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3C5405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7D74E3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20251205</w:t>
            </w:r>
          </w:p>
        </w:tc>
      </w:tr>
      <w:tr w14:paraId="2F10E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D6A36C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76</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35752B6">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4AD4F2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北京大虫文化传播有限公司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CAF8D9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20250524</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2A769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B0708A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C6BEA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20250524</w:t>
            </w:r>
          </w:p>
        </w:tc>
      </w:tr>
      <w:tr w14:paraId="6745A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0DBFA6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82</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42F1C5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25050475-0001-G001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8DD5E7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AEBD80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20250725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314576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08001C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B9943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20250725</w:t>
            </w:r>
          </w:p>
        </w:tc>
      </w:tr>
      <w:tr w14:paraId="707D7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2C3774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89</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9A386E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ER202504280059-1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BC5AB2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科沃斯机器人股份有限公司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81CB6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20250514</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E7A32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0CC8B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7A08B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20250514</w:t>
            </w:r>
          </w:p>
        </w:tc>
      </w:tr>
      <w:tr w14:paraId="3E19D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3FAEF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94</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F6D4BA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SYJS251031000037</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5635D8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上海链壳科技有限公司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77D522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20251127</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1104B7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C4F92F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41EC85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20251127</w:t>
            </w:r>
          </w:p>
        </w:tc>
      </w:tr>
      <w:tr w14:paraId="00DCC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7F77F6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101</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1F2988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运满满生日车项目第一期执行验收付款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249815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南京运途信息科技有限公司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9D7953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20251024</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72A1A4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347C2C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8B6481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20251024</w:t>
            </w:r>
          </w:p>
        </w:tc>
      </w:tr>
      <w:tr w14:paraId="7596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317711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109</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463C3C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24050161-0001-G001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505501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EB68F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20250103</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0D0C78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140A4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C90600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20250103</w:t>
            </w:r>
          </w:p>
        </w:tc>
      </w:tr>
      <w:tr w14:paraId="3E4E2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088C91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115</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88655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退项目服务费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F2F25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悟研（邯郸）文化传媒有限公司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99B77A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20251218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5CAC0D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55AB7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06A08F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20251218</w:t>
            </w:r>
          </w:p>
        </w:tc>
      </w:tr>
      <w:tr w14:paraId="4B7A3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CF75B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117</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75A90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SYJS251030000121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9E2F75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上海链壳科技有限公司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A3119E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20251229</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9C5261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E4CED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42790A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20251229</w:t>
            </w:r>
          </w:p>
        </w:tc>
      </w:tr>
      <w:tr w14:paraId="05B7B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6B6863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120</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FD389A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其他</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A2638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深圳德源商务服务有限公司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13B6A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20250805</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A30A1D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F4E4B7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93C7B0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20250805</w:t>
            </w:r>
          </w:p>
        </w:tc>
      </w:tr>
      <w:tr w14:paraId="69A81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9B7C09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125</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1B5DD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24050161-0001-G001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79D3B3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省广窗外（上海）文化传媒有限公司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0124A9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20250703</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CF2AE2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4A081E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DE6F54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20250703</w:t>
            </w:r>
          </w:p>
        </w:tc>
      </w:tr>
      <w:tr w14:paraId="1AA13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ABCEC0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144</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88D1F06">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4A0F8A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应付活期存款息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209F51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B035E2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9D00F6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A44D07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20250921</w:t>
            </w:r>
          </w:p>
        </w:tc>
      </w:tr>
      <w:tr w14:paraId="7D096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BFA1E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153</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5923120">
            <w:pPr>
              <w:rPr>
                <w:rFonts w:hint="eastAsia" w:ascii="宋体"/>
                <w:color w:val="1A1A2E"/>
                <w:sz w:val="18"/>
                <w:szCs w:val="18"/>
              </w:rPr>
            </w:pP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96F51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应付活期存款息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485FF8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16E0EE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994D8B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174F92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20250621</w:t>
            </w:r>
          </w:p>
        </w:tc>
      </w:tr>
      <w:tr w14:paraId="64F0A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F6A63B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154</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8D1829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活期存款结息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9A2CE6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应付活期存款息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C613E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7AEE2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5FCE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05168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20251221</w:t>
            </w:r>
          </w:p>
        </w:tc>
      </w:tr>
    </w:tbl>
    <w:p w14:paraId="2E385123">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23AA72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3项材料，其中名称逐字对应、已确在手上的有1项（全部银行账户流水（含已销户账户）），目前没有一项材料与本项要求对应；确未提供的有2项（客户对账单、询证函回函）。</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3360"/>
        <w:gridCol w:w="2460"/>
        <w:gridCol w:w="1200"/>
        <w:gridCol w:w="13658"/>
      </w:tblGrid>
      <w:tr w14:paraId="31FCF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F90758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D602D8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568372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654962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8468AB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3DAEC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229D15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09941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全部银行账户流水（含已销户账户）</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41ADBB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完整还原经营收款</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431178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66FCD0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已提供银行流水（本项写作全部银行账户流水（含已销户账户），属同一材料的不同叫法），可作为本项证据；但本项名另含范围/完整性限定全部，属同类不同范围——已提供资料是否覆盖该范围须人工确认。</w:t>
            </w:r>
          </w:p>
        </w:tc>
      </w:tr>
      <w:tr w14:paraId="0EAEF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CDEEE6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D77E57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销售台账、发货记录</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7722F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证明真实销售规模</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3796DF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20E607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本轮未提供本项所需材料（销售台账、发货记录），无法组织本项证据</w:t>
            </w:r>
          </w:p>
        </w:tc>
      </w:tr>
      <w:tr w14:paraId="588F5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0B1E50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E609C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客户对账单与询证函回函</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9B5E4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第三方印证销售金额</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6E28E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CA7718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本轮未提供本项所需材料（客户对账单、询证函回函），无法组织本项证据</w:t>
            </w:r>
          </w:p>
        </w:tc>
      </w:tr>
      <w:tr w14:paraId="4114F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3CCB82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DE6925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借款合同、往来款协议、代收代付凭证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94559E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证明差额款项属非收入性质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A51E24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5DC8B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29EF8FC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58C5E73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1E73D8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银行收款大于申报收入：存在账外收入嫌疑」逐条核对，未认定到任何一条构成要件成立；但本项已从账内资料中查明相关信号，且本项不等于已触碰红线、也不是违法认定。具体认定范围与需补充的资料见本项各段。判断本项是否成立，要看这几项标准是否同时满足：银行账户经营性入账金额与同期申报收入、开票收入存在差异；上述差额（申报收入与开票/账面收入差异）占申报收入比例超过行业基准税负率区间上沿（行业基准通用参考值，非税务机关官方口径，仅作线索参照）；差额无法由往来款、借款、退款等非收入项目解释；个人账户代收经营款项后转入公司账户但未确认收入，形成账外回流；不属于下列正当情形：股东或关联方借款入账（有借款合同与还款记录）；代收代付款项（有代付协议与转付凭证）；退款、保证金、押金退回；跨期收款（上期发出商品本期收款，收入已在上期确认）。本轮从所报资料中直接核对到的事实是：在9个月中，银行贷方收款与销项发票价税合计的差异同时超过25%和10万元。本轮实际读取到的资料是：银行流水、销项发票。本项检查共4环，其中第4环因本轮未取得该环节所需资料，未取得数据（各环实际读到的数据见上一段明细表）。就资料来说，支撑材料严重不足，核心材料缺失（名称逐字对应已提供1项；还缺2项（客户对账单、询证函回函）；企业尚未提交正当理由的书面证明，现有资料不足以排除本项涉嫌风险）。企业如果认为这不成立，通常可以说明：股东或关联方借款入账（有借款合同与还款记录）；代收代付款项（有代付协议与转付凭证）；退款、保证金、押金退回。但这些说明能不能采信，要看有没有书面协议和原始单据，口头解释不能作为认定依据。综合以上，本项结论是疑似逐条要件尚未认定成立（结论只到「账内已读到与该风险指向一致的信号」这一层），判断可信度约67%（中等）。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w:t>
      </w:r>
    </w:p>
    <w:p w14:paraId="13E2944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46C41BBC">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0334D6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隐匿收入、账外经营、少计销项税额的风险（涉及增值税、企业所得税）。主管税务机关可依《税收征收管理法》第三十二条加收滞纳金；构成偷税、抗税、骗税的，依第六十三条等规定追缴税款、滞纳金并处罚款。是否构成偷税、以及是否移送，须由税务机关依法调查认定。</w:t>
      </w:r>
    </w:p>
    <w:p w14:paraId="79875CEE">
      <w:pPr>
        <w:keepNext w:val="0"/>
        <w:keepLines w:val="0"/>
        <w:widowControl/>
        <w:suppressLineNumbers w:val="0"/>
        <w:pBdr>
          <w:top w:val="single" w:color="BFDBFE" w:sz="6" w:space="0"/>
          <w:left w:val="single" w:color="BFDBFE" w:sz="6" w:space="0"/>
          <w:bottom w:val="single" w:color="BFDBFE" w:sz="6" w:space="0"/>
          <w:right w:val="single" w:color="BFDBFE" w:sz="6" w:space="0"/>
        </w:pBdr>
        <w:shd w:val="clear" w:fill="EFF6FF"/>
        <w:spacing w:before="0" w:beforeAutospacing="0" w:after="90" w:afterAutospacing="0"/>
        <w:ind w:left="0" w:right="0"/>
        <w:jc w:val="left"/>
        <w:rPr>
          <w:b/>
          <w:bCs/>
          <w:color w:val="1E40AF"/>
          <w:sz w:val="20"/>
          <w:szCs w:val="20"/>
        </w:rPr>
      </w:pPr>
      <w:r>
        <w:rPr>
          <w:rFonts w:ascii="宋体" w:hAnsi="宋体" w:eastAsia="宋体" w:cs="宋体"/>
          <w:b/>
          <w:bCs/>
          <w:color w:val="1E40AF"/>
          <w:kern w:val="0"/>
          <w:sz w:val="20"/>
          <w:szCs w:val="20"/>
          <w:bdr w:val="none" w:color="auto" w:sz="0" w:space="0"/>
          <w:shd w:val="clear" w:fill="EFF6FF"/>
          <w:lang w:val="en-US" w:eastAsia="zh-CN" w:bidi="ar"/>
        </w:rPr>
        <w:t>本项专项比对：银行流水（资金流）比对</w:t>
      </w:r>
    </w:p>
    <w:p w14:paraId="5A32E1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9" w:lineRule="atLeast"/>
        <w:ind w:left="0" w:right="0" w:firstLine="420"/>
        <w:jc w:val="both"/>
        <w:rPr>
          <w:color w:val="1A1A2E"/>
        </w:rPr>
      </w:pPr>
      <w:r>
        <w:rPr>
          <w:color w:val="1A1A2E"/>
          <w:bdr w:val="none" w:color="auto" w:sz="0" w:space="0"/>
          <w:shd w:val="clear" w:fill="EFF6FF"/>
        </w:rPr>
        <w:t>银行流水收款8,371,659.92元 vs 增值税申报表销售额6,636,800.57元，未开票/账外敞口约1,734,859.35元；对公账户收自自然人1,082,000.00元。</w:t>
      </w:r>
    </w:p>
    <w:p w14:paraId="412482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9" w:lineRule="atLeast"/>
        <w:ind w:left="0" w:right="0" w:firstLine="420"/>
        <w:jc w:val="both"/>
        <w:rPr>
          <w:color w:val="1A1A2E"/>
        </w:rPr>
      </w:pPr>
      <w:r>
        <w:rPr>
          <w:color w:val="1A1A2E"/>
          <w:bdr w:val="none" w:color="auto" w:sz="0" w:space="0"/>
          <w:shd w:val="clear" w:fill="EFF6FF"/>
        </w:rPr>
        <w:t>资金流收款合计：8,371,659.92元（付款合计7,214,019.55元） 申报侧（增值税申报表销售额）：6,636,800.57元 未开票/账外敞口（收款−申报侧）：1,734,859.35元（剔除明显非销售流入后约227,659.35元） 对公收款：7,289,565.39元｜对公账户收自自然人：1,082,000.00元 对公收款中来自非开票客户的金额：161,513.20元 对公账户收自自然人的款项合计 1,082,000.00 元（3 个自然人付款方）；以上为**对公账户一侧**的记录，仅说明公司账户收到哪些自然人的款项。**自然人自有账户（私户）本身的收付流水属另一侧资料，本轮尚未取得，须另核**——故本项不列自然人姓名与个人金额，避免与上述事实冲突。</w:t>
      </w:r>
    </w:p>
    <w:tbl>
      <w:tblPr>
        <w:tblW w:w="2131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769"/>
        <w:gridCol w:w="3545"/>
      </w:tblGrid>
      <w:tr w14:paraId="44A25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5D9F1AA2">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识别到的信号</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6223E595">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说明与核实方向</w:t>
            </w:r>
          </w:p>
        </w:tc>
      </w:tr>
      <w:tr w14:paraId="37133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457C59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银行流水收款8,371,659.92元，高于增值税申报表销售额（6,636,800.57元）约1,734,859.35元</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022A8F0">
            <w:pPr>
              <w:rPr>
                <w:rFonts w:hint="eastAsia" w:ascii="宋体"/>
                <w:color w:val="334155"/>
                <w:sz w:val="18"/>
                <w:szCs w:val="18"/>
              </w:rPr>
            </w:pPr>
          </w:p>
        </w:tc>
      </w:tr>
      <w:tr w14:paraId="5658F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D65049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对公账户收自自然人的款项合计1,082,000.00元（3个自然人付款方）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35E28A9">
            <w:pPr>
              <w:rPr>
                <w:rFonts w:hint="eastAsia" w:ascii="宋体"/>
                <w:color w:val="334155"/>
                <w:sz w:val="18"/>
                <w:szCs w:val="18"/>
              </w:rPr>
            </w:pPr>
          </w:p>
        </w:tc>
      </w:tr>
    </w:tbl>
    <w:p w14:paraId="117490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 w:afterAutospacing="0" w:line="28" w:lineRule="atLeast"/>
        <w:ind w:left="0" w:right="0" w:firstLine="420"/>
        <w:jc w:val="both"/>
        <w:rPr>
          <w:color w:val="1A1A2E"/>
        </w:rPr>
      </w:pPr>
      <w:r>
        <w:rPr>
          <w:rStyle w:val="8"/>
          <w:color w:val="1A1A2E"/>
          <w:bdr w:val="none" w:color="auto" w:sz="0" w:space="0"/>
          <w:shd w:val="clear" w:fill="EFF6FF"/>
        </w:rPr>
        <w:t>比对结论：</w:t>
      </w:r>
      <w:r>
        <w:rPr>
          <w:color w:val="1A1A2E"/>
          <w:bdr w:val="none" w:color="auto" w:sz="0" w:space="0"/>
          <w:shd w:val="clear" w:fill="EFF6FF"/>
        </w:rPr>
        <w:t>存在资金流与申报严重背离，须深入核实</w:t>
      </w:r>
    </w:p>
    <w:p w14:paraId="63DF5A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line="28" w:lineRule="atLeast"/>
        <w:ind w:left="0" w:right="0" w:firstLine="420"/>
        <w:jc w:val="both"/>
        <w:rPr>
          <w:color w:val="1A1A2E"/>
        </w:rPr>
      </w:pPr>
      <w:r>
        <w:rPr>
          <w:rStyle w:val="8"/>
          <w:color w:val="1A1A2E"/>
          <w:bdr w:val="none" w:color="auto" w:sz="0" w:space="0"/>
          <w:shd w:val="clear" w:fill="EFF6FF"/>
        </w:rPr>
        <w:t>下一步：</w:t>
      </w:r>
      <w:r>
        <w:rPr>
          <w:color w:val="1A1A2E"/>
          <w:bdr w:val="none" w:color="auto" w:sz="0" w:space="0"/>
          <w:shd w:val="clear" w:fill="EFF6FF"/>
        </w:rPr>
        <w:t>本轮已量化上述敞口。下一步：①逐笔核实敞口对应交易是否开票申报；②上表所列自然人付款方须区分经营收入与借款/股东往来（自然人自有账户流水另需取得）；③第三方收款匹配订单与发票；④资金回流结合关联企业业务真实性检查。全部需人工取证与定性。</w:t>
      </w:r>
    </w:p>
    <w:p w14:paraId="13CEF2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8" w:lineRule="atLeast"/>
        <w:ind w:left="0" w:right="0" w:firstLine="420"/>
        <w:jc w:val="both"/>
        <w:rPr>
          <w:color w:val="64748B"/>
          <w:sz w:val="18"/>
          <w:szCs w:val="18"/>
        </w:rPr>
      </w:pPr>
      <w:r>
        <w:rPr>
          <w:color w:val="64748B"/>
          <w:sz w:val="18"/>
          <w:szCs w:val="18"/>
          <w:bdr w:val="none" w:color="auto" w:sz="0" w:space="0"/>
          <w:shd w:val="clear" w:fill="EFF6FF"/>
        </w:rPr>
        <w:t>本比对基于银行流水与申报/开票数据，属「待证线索」：流水收款含借款、往来、投资、退税等非销售流入，敞口需逐笔核实交易背景后认定；定性权在风险检查员。</w:t>
      </w:r>
    </w:p>
    <w:p w14:paraId="4D158839">
      <w:pPr>
        <w:keepNext w:val="0"/>
        <w:keepLines w:val="0"/>
        <w:widowControl/>
        <w:suppressLineNumbers w:val="0"/>
        <w:pBdr>
          <w:top w:val="single" w:color="BFDBFE" w:sz="6" w:space="0"/>
          <w:left w:val="single" w:color="BFDBFE" w:sz="6" w:space="0"/>
          <w:bottom w:val="single" w:color="BFDBFE" w:sz="6" w:space="0"/>
          <w:right w:val="single" w:color="BFDBFE" w:sz="6" w:space="0"/>
        </w:pBdr>
        <w:shd w:val="clear" w:fill="EFF6FF"/>
        <w:spacing w:before="0" w:beforeAutospacing="0" w:after="90" w:afterAutospacing="0"/>
        <w:ind w:left="0" w:right="0"/>
        <w:jc w:val="left"/>
        <w:rPr>
          <w:b/>
          <w:bCs/>
          <w:color w:val="1E40AF"/>
          <w:sz w:val="20"/>
          <w:szCs w:val="20"/>
        </w:rPr>
      </w:pPr>
      <w:r>
        <w:rPr>
          <w:rFonts w:ascii="宋体" w:hAnsi="宋体" w:eastAsia="宋体" w:cs="宋体"/>
          <w:b/>
          <w:bCs/>
          <w:color w:val="1E40AF"/>
          <w:kern w:val="0"/>
          <w:sz w:val="20"/>
          <w:szCs w:val="20"/>
          <w:bdr w:val="none" w:color="auto" w:sz="0" w:space="0"/>
          <w:shd w:val="clear" w:fill="EFF6FF"/>
          <w:lang w:val="en-US" w:eastAsia="zh-CN" w:bidi="ar"/>
        </w:rPr>
        <w:t>本项专项比对：收入真实性（账外收入嫌疑）</w:t>
      </w:r>
    </w:p>
    <w:p w14:paraId="7647B6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9" w:lineRule="atLeast"/>
        <w:ind w:left="0" w:right="0" w:firstLine="420"/>
        <w:jc w:val="both"/>
        <w:rPr>
          <w:color w:val="1A1A2E"/>
        </w:rPr>
      </w:pPr>
      <w:r>
        <w:rPr>
          <w:color w:val="1A1A2E"/>
          <w:bdr w:val="none" w:color="auto" w:sz="0" w:space="0"/>
          <w:shd w:val="clear" w:fill="EFF6FF"/>
        </w:rPr>
        <w:t>起点信号成立；维度1：申报销售额 6,636,800.57 元与开票收入 6,636,800.57 元基本吻合，未开票收入申报缺口不明显。 维度2：开票收入中有 3,579,933.39 元（占 41.9%）未匹配到银行/第三方平台收款；其中 1,082,094.53 元来自个人账户（4 个自然人），收入经个人账户归集，可作为须核对的线索。 维度3（应收）：仅取得应收账款科目汇总余额，缺客户明细，无法逐户核实账龄。 综合裁定：账外收入嫌疑↑。</w:t>
      </w:r>
    </w:p>
    <w:p w14:paraId="4AB5B7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9" w:lineRule="atLeast"/>
        <w:ind w:left="0" w:right="0" w:firstLine="420"/>
        <w:jc w:val="both"/>
        <w:rPr>
          <w:color w:val="1A1A2E"/>
        </w:rPr>
      </w:pPr>
      <w:r>
        <w:rPr>
          <w:color w:val="1A1A2E"/>
          <w:bdr w:val="none" w:color="auto" w:sz="0" w:space="0"/>
          <w:shd w:val="clear" w:fill="EFF6FF"/>
        </w:rPr>
        <w:t>【维度1 发票↔申报】申报销售额 6,636,800.57 元与开票收入 6,636,800.57 元基本吻合，未开票收入申报缺口不明显。 【维度2 发票↔银行】开票收入中有 3,579,933.39 元（占 41.9%）未匹配到银行/第三方平台收款；其中 1,082,094.53 元来自个人账户（4 个自然人），收入经个人账户归集，可作为须核对的线索。 【维度3 未收款项+账龄】账面应收账款汇总余额为 352,862.15 元，但缺少按客户拆分的明细，无法判断未收回款项分布与挂账时长。该维度暂列为资料缺失，需要补明细后复核。 【综合裁定】银行收款明显超过申报收入，且部分收入经个人账户归集，可作为须核对的线索，需要逐一核实个人账户性质与去向。</w:t>
      </w:r>
    </w:p>
    <w:tbl>
      <w:tblPr>
        <w:tblW w:w="2131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136"/>
        <w:gridCol w:w="8178"/>
      </w:tblGrid>
      <w:tr w14:paraId="72C52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5B382F00">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识别到的信号</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066C2FDB">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说明与核实方向</w:t>
            </w:r>
          </w:p>
        </w:tc>
      </w:tr>
      <w:tr w14:paraId="26E28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78BC77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银行收款明显高于申报收入</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2D24761">
            <w:pPr>
              <w:rPr>
                <w:rFonts w:hint="eastAsia" w:ascii="宋体"/>
                <w:color w:val="334155"/>
                <w:sz w:val="18"/>
                <w:szCs w:val="18"/>
              </w:rPr>
            </w:pPr>
          </w:p>
        </w:tc>
      </w:tr>
      <w:tr w14:paraId="35870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2FD9BE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个人账户归集 1,082,095 元</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8E665FE">
            <w:pPr>
              <w:rPr>
                <w:rFonts w:hint="eastAsia" w:ascii="宋体"/>
                <w:color w:val="334155"/>
                <w:sz w:val="18"/>
                <w:szCs w:val="18"/>
              </w:rPr>
            </w:pPr>
          </w:p>
        </w:tc>
      </w:tr>
    </w:tbl>
    <w:p w14:paraId="4E9855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 w:afterAutospacing="0" w:line="28" w:lineRule="atLeast"/>
        <w:ind w:left="0" w:right="0" w:firstLine="420"/>
        <w:jc w:val="both"/>
        <w:rPr>
          <w:color w:val="1A1A2E"/>
        </w:rPr>
      </w:pPr>
      <w:r>
        <w:rPr>
          <w:rStyle w:val="8"/>
          <w:color w:val="1A1A2E"/>
          <w:bdr w:val="none" w:color="auto" w:sz="0" w:space="0"/>
          <w:shd w:val="clear" w:fill="EFF6FF"/>
        </w:rPr>
        <w:t>比对结论：</w:t>
      </w:r>
      <w:r>
        <w:rPr>
          <w:color w:val="1A1A2E"/>
          <w:bdr w:val="none" w:color="auto" w:sz="0" w:space="0"/>
          <w:shd w:val="clear" w:fill="EFF6FF"/>
        </w:rPr>
        <w:t>账外收入嫌疑↑</w:t>
      </w:r>
    </w:p>
    <w:p w14:paraId="6047D7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line="28" w:lineRule="atLeast"/>
        <w:ind w:left="0" w:right="0" w:firstLine="420"/>
        <w:jc w:val="both"/>
        <w:rPr>
          <w:color w:val="1A1A2E"/>
        </w:rPr>
      </w:pPr>
      <w:r>
        <w:rPr>
          <w:rStyle w:val="8"/>
          <w:color w:val="1A1A2E"/>
          <w:bdr w:val="none" w:color="auto" w:sz="0" w:space="0"/>
          <w:shd w:val="clear" w:fill="EFF6FF"/>
        </w:rPr>
        <w:t>下一步：</w:t>
      </w:r>
      <w:r>
        <w:rPr>
          <w:color w:val="1A1A2E"/>
          <w:bdr w:val="none" w:color="auto" w:sz="0" w:space="0"/>
          <w:shd w:val="clear" w:fill="EFF6FF"/>
        </w:rPr>
        <w:t>要求企业补提未开票收入明细、应收账款账龄表与银行回款流水，逐笔核实未收回款项性质与回款去向；个人账户收款须说明资金来源与税务处理。</w:t>
      </w:r>
    </w:p>
    <w:p w14:paraId="0986D6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8" w:lineRule="atLeast"/>
        <w:ind w:left="0" w:right="0" w:firstLine="420"/>
        <w:jc w:val="both"/>
        <w:rPr>
          <w:color w:val="64748B"/>
          <w:sz w:val="18"/>
          <w:szCs w:val="18"/>
        </w:rPr>
      </w:pPr>
      <w:r>
        <w:rPr>
          <w:color w:val="64748B"/>
          <w:sz w:val="18"/>
          <w:szCs w:val="18"/>
          <w:bdr w:val="none" w:color="auto" w:sz="0" w:space="0"/>
          <w:shd w:val="clear" w:fill="EFF6FF"/>
        </w:rPr>
        <w:t>结论属待证线索，不作为定性依据；银行收款大于申报收入本身不构成确认，须三维交叉验证后出嫌疑结论。</w:t>
      </w:r>
    </w:p>
    <w:p w14:paraId="77EBCDC1">
      <w:pPr>
        <w:keepNext w:val="0"/>
        <w:keepLines w:val="0"/>
        <w:widowControl/>
        <w:suppressLineNumbers w:val="0"/>
        <w:pBdr>
          <w:top w:val="none" w:color="auto" w:sz="0" w:space="0"/>
          <w:left w:val="single" w:color="C2410C" w:sz="18" w:space="0"/>
          <w:bottom w:val="none" w:color="auto" w:sz="0" w:space="0"/>
          <w:right w:val="none" w:color="auto" w:sz="0" w:space="0"/>
        </w:pBdr>
        <w:shd w:val="clear" w:fill="FFF7ED"/>
        <w:spacing w:before="0" w:beforeAutospacing="0" w:after="75" w:afterAutospacing="0" w:line="28" w:lineRule="atLeast"/>
        <w:ind w:left="0" w:right="0"/>
        <w:jc w:val="left"/>
        <w:rPr>
          <w:b/>
          <w:bCs/>
          <w:color w:val="9A3412"/>
          <w:sz w:val="19"/>
          <w:szCs w:val="19"/>
        </w:rPr>
      </w:pPr>
      <w:r>
        <w:rPr>
          <w:rFonts w:ascii="宋体" w:hAnsi="宋体" w:eastAsia="宋体" w:cs="宋体"/>
          <w:b/>
          <w:bCs/>
          <w:color w:val="9A3412"/>
          <w:kern w:val="0"/>
          <w:sz w:val="19"/>
          <w:szCs w:val="19"/>
          <w:bdr w:val="none" w:color="auto" w:sz="0" w:space="0"/>
          <w:shd w:val="clear" w:fill="FFF7ED"/>
          <w:lang w:val="en-US" w:eastAsia="zh-CN" w:bidi="ar"/>
        </w:rPr>
        <w:t>本项还包含以下风险信号</w:t>
      </w:r>
    </w:p>
    <w:p w14:paraId="1315BB09">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主营业务收入收款印证核实</w:t>
      </w:r>
    </w:p>
    <w:p w14:paraId="75509F08">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等级：中风险　|　终局：可自证清白</w:t>
      </w:r>
    </w:p>
    <w:p w14:paraId="792BF732">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围绕「主营业务收入收款印证核实」，核对其所涉及的银行流水、销项发票、银行流水等资料的真实性与账务、申报处理口径；对确认存在的差错，完成账务更正或申报更正，并留存更正凭证与情况说明；补齐上述资料后重新执行一键分析，由系统复查本事项是否已消除。</w:t>
      </w:r>
    </w:p>
    <w:p w14:paraId="5CD2C055">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需补资料：</w:t>
      </w:r>
      <w:r>
        <w:rPr>
          <w:rFonts w:ascii="宋体" w:hAnsi="宋体" w:eastAsia="宋体" w:cs="宋体"/>
          <w:kern w:val="0"/>
          <w:sz w:val="18"/>
          <w:szCs w:val="18"/>
          <w:bdr w:val="none" w:color="auto" w:sz="0" w:space="0"/>
          <w:shd w:val="clear" w:fill="FFF7ED"/>
          <w:lang w:val="en-US" w:eastAsia="zh-CN" w:bidi="ar"/>
        </w:rPr>
        <w:t>银行流水——证明资金实际收付与对方；金额；时间；核对发票流与资金流是否一致</w:t>
      </w:r>
    </w:p>
    <w:p w14:paraId="68DB0D13">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0" w:beforeAutospacing="0" w:after="90" w:afterAutospacing="0" w:line="29" w:lineRule="atLeast"/>
        <w:ind w:left="0" w:right="0"/>
        <w:jc w:val="left"/>
        <w:rPr>
          <w:b/>
          <w:bCs/>
          <w:color w:val="991B1B"/>
          <w:sz w:val="20"/>
          <w:szCs w:val="20"/>
        </w:rPr>
      </w:pPr>
      <w:r>
        <w:rPr>
          <w:rFonts w:ascii="宋体" w:hAnsi="宋体" w:eastAsia="宋体" w:cs="宋体"/>
          <w:b/>
          <w:bCs/>
          <w:color w:val="991B1B"/>
          <w:kern w:val="0"/>
          <w:sz w:val="20"/>
          <w:szCs w:val="20"/>
          <w:bdr w:val="none" w:color="auto" w:sz="0" w:space="0"/>
          <w:shd w:val="clear" w:fill="FEF2F2"/>
          <w:lang w:val="en-US" w:eastAsia="zh-CN" w:bidi="ar"/>
        </w:rPr>
        <w:t>本项因缺资料未能查完</w:t>
      </w:r>
    </w:p>
    <w:p w14:paraId="66877411">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未收到「合同文件」</w:t>
      </w:r>
    </w:p>
    <w:p w14:paraId="6AD31633">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5AC3ED39">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由于资料条件不具备，本轮没法完成与“合同文件”相关的账、票、表、税、款交叉核对。目前仍无法排除相应的风险方向。涉及合同文件的检查结论不得显示为无异常或已经合规。</w:t>
      </w:r>
    </w:p>
    <w:p w14:paraId="3540EE41">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企业应补充合同文件。如原资料客观上无法取得，可以提供能够证明同一事实的替代资料。</w:t>
      </w:r>
    </w:p>
    <w:p w14:paraId="5BBA5CEF">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73DFA939">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60" w:beforeAutospacing="0" w:after="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EF2F2"/>
          <w:lang w:val="en-US" w:eastAsia="zh-CN" w:bidi="ar"/>
        </w:rPr>
        <w:t>（本项结论在资料补齐前不予认定；补齐后重新执行一键分析即完成本项核对。）</w:t>
      </w:r>
    </w:p>
    <w:p w14:paraId="5B4FCF8D">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90" w:afterAutospacing="0" w:line="29" w:lineRule="atLeast"/>
        <w:ind w:left="0" w:right="0"/>
        <w:jc w:val="left"/>
        <w:rPr>
          <w:b/>
          <w:bCs/>
          <w:color w:val="854D0E"/>
          <w:sz w:val="20"/>
          <w:szCs w:val="20"/>
        </w:rPr>
      </w:pPr>
      <w:r>
        <w:rPr>
          <w:rFonts w:ascii="宋体" w:hAnsi="宋体" w:eastAsia="宋体" w:cs="宋体"/>
          <w:b/>
          <w:bCs/>
          <w:color w:val="854D0E"/>
          <w:kern w:val="0"/>
          <w:sz w:val="20"/>
          <w:szCs w:val="20"/>
          <w:bdr w:val="none" w:color="auto" w:sz="0" w:space="0"/>
          <w:shd w:val="clear" w:fill="FFFBEB"/>
          <w:lang w:val="en-US" w:eastAsia="zh-CN" w:bidi="ar"/>
        </w:rPr>
        <w:t>本项需企业澄清的问题</w:t>
      </w:r>
    </w:p>
    <w:p w14:paraId="74ABF3AC">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30" w:beforeAutospacing="0" w:after="3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BEB"/>
          <w:lang w:val="en-US" w:eastAsia="zh-CN" w:bidi="ar"/>
        </w:rPr>
        <w:t>关注级别：高</w:t>
      </w:r>
    </w:p>
    <w:p w14:paraId="14E8C110">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90" w:beforeAutospacing="0" w:after="9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FFBEB"/>
          <w:lang w:val="en-US" w:eastAsia="zh-CN" w:bidi="ar"/>
        </w:rPr>
        <w:t>询问 1：</w:t>
      </w:r>
      <w:r>
        <w:rPr>
          <w:rFonts w:ascii="宋体" w:hAnsi="宋体" w:eastAsia="宋体" w:cs="宋体"/>
          <w:kern w:val="0"/>
          <w:sz w:val="19"/>
          <w:szCs w:val="19"/>
          <w:bdr w:val="none" w:color="auto" w:sz="0" w:space="0"/>
          <w:shd w:val="clear" w:fill="FFFBEB"/>
          <w:lang w:val="en-US" w:eastAsia="zh-CN" w:bidi="ar"/>
        </w:rPr>
        <w:t>资金流收款与申报侧差额约 1,734,859.35 元（剔除明显非销售流入后仍约 227,659.35 元）。请逐笔说明该差额：哪些属于无需开票的往来/借款/投资款，哪些属于应补申报的未开票收入？</w:t>
      </w:r>
    </w:p>
    <w:p w14:paraId="561BB0A3">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风险检查依据：</w:t>
      </w:r>
      <w:r>
        <w:rPr>
          <w:rFonts w:ascii="宋体" w:hAnsi="宋体" w:eastAsia="宋体" w:cs="宋体"/>
          <w:color w:val="475569"/>
          <w:kern w:val="0"/>
          <w:sz w:val="18"/>
          <w:szCs w:val="18"/>
          <w:bdr w:val="none" w:color="auto" w:sz="0" w:space="0"/>
          <w:shd w:val="clear" w:fill="FFFBEB"/>
          <w:lang w:val="en-US" w:eastAsia="zh-CN" w:bidi="ar"/>
        </w:rPr>
        <w:t>风险检查要点：银行收款远大于开票/申报收入，是隐瞒销售收入的核心指征；金税四期已实现资金流与发票、申报的全链条比对。</w:t>
      </w:r>
    </w:p>
    <w:p w14:paraId="7D4096C4">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需补充资料：</w:t>
      </w:r>
      <w:r>
        <w:rPr>
          <w:rFonts w:ascii="宋体" w:hAnsi="宋体" w:eastAsia="宋体" w:cs="宋体"/>
          <w:color w:val="475569"/>
          <w:kern w:val="0"/>
          <w:sz w:val="18"/>
          <w:szCs w:val="18"/>
          <w:bdr w:val="none" w:color="auto" w:sz="0" w:space="0"/>
          <w:shd w:val="clear" w:fill="FFFBEB"/>
          <w:lang w:val="en-US" w:eastAsia="zh-CN" w:bidi="ar"/>
        </w:rPr>
        <w:t>银行流水逐笔用途说明表；应补申报收入的增值税/所得税申报调整表；无需开票款项的合同与流水佐证</w:t>
      </w:r>
    </w:p>
    <w:p w14:paraId="0B6485BA">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64748B"/>
          <w:sz w:val="18"/>
          <w:szCs w:val="18"/>
        </w:rPr>
      </w:pPr>
      <w:r>
        <w:rPr>
          <w:rFonts w:ascii="宋体" w:hAnsi="宋体" w:eastAsia="宋体" w:cs="宋体"/>
          <w:color w:val="92400E"/>
          <w:kern w:val="0"/>
          <w:sz w:val="18"/>
          <w:szCs w:val="18"/>
          <w:bdr w:val="none" w:color="auto" w:sz="0" w:space="0"/>
          <w:shd w:val="clear" w:fill="FFFBEB"/>
          <w:lang w:val="en-US" w:eastAsia="zh-CN" w:bidi="ar"/>
        </w:rPr>
        <w:t>系统局限→企业自证：</w:t>
      </w:r>
      <w:r>
        <w:rPr>
          <w:rFonts w:ascii="宋体" w:hAnsi="宋体" w:eastAsia="宋体" w:cs="宋体"/>
          <w:color w:val="64748B"/>
          <w:kern w:val="0"/>
          <w:sz w:val="18"/>
          <w:szCs w:val="18"/>
          <w:bdr w:val="none" w:color="auto" w:sz="0" w:space="0"/>
          <w:shd w:val="clear" w:fill="FFFBEB"/>
          <w:lang w:val="en-US" w:eastAsia="zh-CN" w:bidi="ar"/>
        </w:rPr>
        <w:t>系统可算出敞口金额，但无法逐笔还原资金用途；真风险检查员会下户核对账簿与银行对账。请企业逐笔标注差额性质，对确属收入的立即补申报，把『敞口』变成『已申报』。</w:t>
      </w:r>
    </w:p>
    <w:p w14:paraId="0079EC1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67B12B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在验证前不能认定本项成立：本项的直接证据尚为「缺失」，属前置条件未满足。</w:t>
      </w:r>
    </w:p>
    <w:p w14:paraId="125868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5A384BD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0A84FC3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166534"/>
          <w:kern w:val="0"/>
          <w:sz w:val="19"/>
          <w:szCs w:val="19"/>
          <w:bdr w:val="none" w:color="auto" w:sz="0" w:space="0"/>
          <w:shd w:val="clear" w:fill="F5F3FF"/>
          <w:lang w:val="en-US" w:eastAsia="zh-CN" w:bidi="ar"/>
        </w:rPr>
        <w:t>［强］</w:t>
      </w:r>
      <w:r>
        <w:rPr>
          <w:rFonts w:ascii="宋体" w:hAnsi="宋体" w:eastAsia="宋体" w:cs="宋体"/>
          <w:kern w:val="0"/>
          <w:sz w:val="19"/>
          <w:szCs w:val="19"/>
          <w:bdr w:val="none" w:color="auto" w:sz="0" w:space="0"/>
          <w:shd w:val="clear" w:fill="F5F3FF"/>
          <w:lang w:val="en-US" w:eastAsia="zh-CN" w:bidi="ar"/>
        </w:rPr>
        <w:t>直接证据：全部银行账户流水（含已销户账户）　</w:t>
      </w:r>
      <w:r>
        <w:rPr>
          <w:rFonts w:ascii="宋体" w:hAnsi="宋体" w:eastAsia="宋体" w:cs="宋体"/>
          <w:color w:val="64748B"/>
          <w:kern w:val="0"/>
          <w:sz w:val="18"/>
          <w:szCs w:val="18"/>
          <w:bdr w:val="none" w:color="auto" w:sz="0" w:space="0"/>
          <w:shd w:val="clear" w:fill="F5F3FF"/>
          <w:lang w:val="en-US" w:eastAsia="zh-CN" w:bidi="ar"/>
        </w:rPr>
        <w:t>现状：已有；证明目的：完整还原经营收款</w:t>
      </w:r>
    </w:p>
    <w:p w14:paraId="0BEA342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「全部银行账户流水（含已销户账户）」本轮已提供，但是否覆盖本项要求的范围与口径尚未逐项确认；若其覆盖范围不足，「已提供」不等于「足以支撑本项」。</w:t>
      </w:r>
    </w:p>
    <w:p w14:paraId="659D7F7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经核对，「全部银行账户流水（含已销户账户）」确已覆盖本项要求的全部范围与口径 ⇒ 这一条的支撑成立（不推翻本项，但本项的可信度应据此上调）。</w:t>
      </w:r>
    </w:p>
    <w:p w14:paraId="2208815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该资料是否覆盖本项要求的范围（如：是否含全部账户、是否逐笔到明细、是否含附表）</w:t>
      </w:r>
    </w:p>
    <w:p w14:paraId="05FA311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直接证据：销售台账、发货记录　</w:t>
      </w:r>
      <w:r>
        <w:rPr>
          <w:rFonts w:ascii="宋体" w:hAnsi="宋体" w:eastAsia="宋体" w:cs="宋体"/>
          <w:color w:val="64748B"/>
          <w:kern w:val="0"/>
          <w:sz w:val="18"/>
          <w:szCs w:val="18"/>
          <w:bdr w:val="none" w:color="auto" w:sz="0" w:space="0"/>
          <w:shd w:val="clear" w:fill="F5F3FF"/>
          <w:lang w:val="en-US" w:eastAsia="zh-CN" w:bidi="ar"/>
        </w:rPr>
        <w:t>现状：缺失；证明目的：证明真实销售规模</w:t>
      </w:r>
    </w:p>
    <w:p w14:paraId="5E6706C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「销售台账、发货记录」本轮未提供，是支撑链上最弱的一环；缺它就无法认定本项成立 —— 只能列为「资料未齐、不作认定」。</w:t>
      </w:r>
    </w:p>
    <w:p w14:paraId="48C0BC3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「销售台账、发货记录」补齐后，若显示相关业务真实、口径一致 ⇒ 本项不成立（可自证清白）。</w:t>
      </w:r>
    </w:p>
    <w:p w14:paraId="3297CE3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4DB8C03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间接证据：客户对账单与询证函回函　</w:t>
      </w:r>
      <w:r>
        <w:rPr>
          <w:rFonts w:ascii="宋体" w:hAnsi="宋体" w:eastAsia="宋体" w:cs="宋体"/>
          <w:color w:val="64748B"/>
          <w:kern w:val="0"/>
          <w:sz w:val="18"/>
          <w:szCs w:val="18"/>
          <w:bdr w:val="none" w:color="auto" w:sz="0" w:space="0"/>
          <w:shd w:val="clear" w:fill="F5F3FF"/>
          <w:lang w:val="en-US" w:eastAsia="zh-CN" w:bidi="ar"/>
        </w:rPr>
        <w:t>现状：缺失；证明目的：第三方印证销售金额</w:t>
      </w:r>
    </w:p>
    <w:p w14:paraId="3DA621D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情形与「销售台账、发货记录」相同（缺失）；不再重复同一段自我反驳。</w:t>
      </w:r>
    </w:p>
    <w:p w14:paraId="199624F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同上：该情形一旦核对通过，「客户对账单与询证函回函」这一条的支撑即成立。</w:t>
      </w:r>
    </w:p>
    <w:p w14:paraId="7BCE2D1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75A5696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反证：借款合同、往来款协议、代收代付凭证　</w:t>
      </w:r>
      <w:r>
        <w:rPr>
          <w:rFonts w:ascii="宋体" w:hAnsi="宋体" w:eastAsia="宋体" w:cs="宋体"/>
          <w:color w:val="64748B"/>
          <w:kern w:val="0"/>
          <w:sz w:val="18"/>
          <w:szCs w:val="18"/>
          <w:bdr w:val="none" w:color="auto" w:sz="0" w:space="0"/>
          <w:shd w:val="clear" w:fill="F5F3FF"/>
          <w:lang w:val="en-US" w:eastAsia="zh-CN" w:bidi="ar"/>
        </w:rPr>
        <w:t>现状：待企业提交；证明目的：证明差额款项属非收入性质</w:t>
      </w:r>
    </w:p>
    <w:p w14:paraId="06D8DD5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情形与「销售台账、发货记录」相同（待企业提交）；不再重复同一段自我反驳。</w:t>
      </w:r>
    </w:p>
    <w:p w14:paraId="11ADE16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同上：该情形一旦核对通过，「借款合同、往来款协议、代收代付凭证」这一条的支撑即成立。</w:t>
      </w:r>
    </w:p>
    <w:p w14:paraId="0CA0E0D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72B633C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反证已提交比例（反向计分）（取值 0.0）</w:t>
      </w:r>
    </w:p>
    <w:p w14:paraId="1717618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4A5134C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494C588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74C9068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6C2A48AF">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销售台账、发货记录</w:t>
      </w:r>
    </w:p>
    <w:p w14:paraId="5CE5ABE0">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67E49BDE">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722A7330">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2. 客户对账单与询证函回函</w:t>
      </w:r>
    </w:p>
    <w:p w14:paraId="640BDC63">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5D099989">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44483287">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3. 借款合同、往来款协议、代收代付凭证</w:t>
      </w:r>
    </w:p>
    <w:p w14:paraId="50EC723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063DDC46">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3E6D95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疑点5：税前扣除限额超限未纳税调整</w:t>
      </w:r>
      <w:r>
        <w:rPr>
          <w:rFonts w:ascii="宋体" w:hAnsi="宋体" w:eastAsia="宋体" w:cs="宋体"/>
          <w:b/>
          <w:bCs/>
          <w:color w:val="FFFFFF"/>
          <w:kern w:val="0"/>
          <w:sz w:val="18"/>
          <w:szCs w:val="18"/>
          <w:bdr w:val="none" w:color="auto" w:sz="0" w:space="0"/>
          <w:shd w:val="clear" w:fill="B91C1C"/>
          <w:lang w:val="en-US" w:eastAsia="zh-CN" w:bidi="ar"/>
        </w:rPr>
        <w:t>办理顺序：第四项</w:t>
      </w:r>
    </w:p>
    <w:p w14:paraId="261EFC9A">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超限额列支费用、少缴企业所得税。从本次上传资料来看，本企业本项已查明的风险；未认定到构成要件的可能性中等，但能补全尚缺的2项资料来排除此项税务风险嫌疑。本项涉税嫌疑，涉及企业所得税；潜在税额影响（测算）：企业所得税≈105,606.89元，合计≈105,606.89元。</w:t>
      </w:r>
    </w:p>
    <w:p w14:paraId="76652A9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344B4A3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589DD1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业务招待费411,111.53元，占主营业务收入6,636,800.57元的6.19%，超过收入5‰的法定扣除标准。本项对应的风险指标是税前扣除限额超限未纳税调整——凡出现上述情形即纳入检查范围；是否成立，另按本项构成要件逐条核对（见下）。</w:t>
      </w:r>
    </w:p>
    <w:p w14:paraId="3DBC5A2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2BD7E12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218F79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税前扣除限额超限未纳税调整认定到任何一条构成要件：账内检出需进一步核实的信号——业务招待费411,111.53元，占主营业务收入6,636,800.57元的6.19%，超过收入5‰的法定扣除标准。下列要件清单是本项对应的判断标准，逐条核对结果见下：</w:t>
      </w:r>
    </w:p>
    <w:p w14:paraId="0D5F866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本项（税前扣除限额超限未纳税调整）：经核对，本企业未涉及任何一条构成要件（仅已单独核对且符合情形的要件计入）；本项共 5 条构成要件：已单独核对 0 条（符合情形 0 条、未发现符合 0 条、有信号但未达数值门槛 0 条）；未形成核对结论 0 条（资料已取得但缺对应核对证据，不作未发现符合认定）；未单独核对 5 条（独立数据源本轮未取得，均不计入涉及）。</w:t>
      </w:r>
    </w:p>
    <w:p w14:paraId="4F9EF81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业务招待费、广告费和业务宣传费、职工福利费、工会经费、职工教育经费、公益性捐赠等超过法定扣除限额（未单独核对（独立数据源本轮未取得）；独立数据源：费用明细账、凭证、收入、工资总额计算底稿｜须核对）</w:t>
      </w:r>
    </w:p>
    <w:p w14:paraId="72DEC95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超限额部分未在汇算清缴作纳税调增（未单独核对（独立数据源本轮未取得）；独立数据源：汇算清缴纳税调整明细｜缺失）</w:t>
      </w:r>
    </w:p>
    <w:p w14:paraId="30C95EE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关联方债权性投资与权益性投资比例超过2:1且超标准利息未调整（未单独核对（独立数据源本轮未取得）；独立数据源：汇算清缴纳税调整明细、合同文件｜缺失；与本项主题不同：属资本弱化：风险（关联方债资比超标，财税〔2008〕121号），与本项费用扣除限额主题不同，不在本项检查范围）</w:t>
      </w:r>
    </w:p>
    <w:p w14:paraId="11CC3A1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业务招待费、广告费和业务宣传费超限额部分未纳税调增且混用科目（未单独核对（独立数据源本轮未取得）；独立数据源：汇算清缴纳税调整明细、费用明细账、凭证｜须核对）</w:t>
      </w:r>
    </w:p>
    <w:p w14:paraId="3270388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不属于下列正当情形：已按规定在汇算清缴作纳税调增；符合政策性加计或特殊行业限额规定；工资薪金据实列支且有发放与代扣凭证（未单独核对（独立数据源本轮未取得）；独立数据源：汇算清缴纳税调整明细、费用明细账、凭证｜须核对）</w:t>
      </w:r>
    </w:p>
    <w:p w14:paraId="3B18B5B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企业所得税法实施条例》第四十条至第四十五条（各费用扣除限额）（版本未登记，须核对现行有效文本）；《企业所得税法》第四十六条及财税〔2008〕121号（关联方债资比）（版本未登记，须核对现行有效文本）。</w:t>
      </w:r>
    </w:p>
    <w:p w14:paraId="28260AF5">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88"/>
        <w:gridCol w:w="11612"/>
        <w:gridCol w:w="4147"/>
        <w:gridCol w:w="1280"/>
        <w:gridCol w:w="3574"/>
      </w:tblGrid>
      <w:tr w14:paraId="38422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CBF171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7ADA10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BA531F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D1E822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7B55DC1">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57E5A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55363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C36DE9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业务招待费、广告费和业务宣传费、职工福利费、工会经费、职工教育经费、公益性捐赠等超过法定扣除限额</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2AC57D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费用明细账、凭证、收入、工资总额计算底稿</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F60C6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814A61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61242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E762B7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78F1C7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超限额部分未在汇算清缴作纳税调增</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DD13A1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汇算清缴纳税调整明细</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4C41ED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6445DF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7BA0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5FDE75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2A1EC7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关联方债权性投资与权益性投资比例超过2:1且超标准利息未调整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19A0D0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汇算清缴纳税调整明细、合同文件</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7FB1C1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DBBB99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283A3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8E369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407233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业务招待费、广告费和业务宣传费超限额部分未纳税调增且混用科目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E01DC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汇算清缴纳税调整明细、费用明细账、凭证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A7E0AD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3DB469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38853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B8F3B7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B812A5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不属于下列正当情形：已按规定在汇算清缴作纳税调增；符合政策性加计或特殊行业限额规定；工资薪金据实列支且有发放与代扣凭证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9CBDC4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汇算清缴纳税调整明细、费用明细账、凭证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3D51D4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A1C66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237D4CF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0638AD2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4C2074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记账凭证（按科目归集）中归集各类限额费用的发生额，看到本环节读数（来自本项分项扣除限额测算）：业务招待费账面411,111.53、超限377,927.53，广告费和业务宣传费账面2,729,730.26、超限1,734,210.17；第2步从收入/工资/利润总额计算底稿中按限额公式计算可扣除额，看到本环节所需资料中已提供部分、尚缺利润总额计算底稿、须核对是否已提供：收入，该环节未能完成核对（属检查程序待完善项，不计入资料缺失）；第3步从纳税申报表中核对是否作纳税调增，看到本环节未产出对题读数（所需资料已在本轮提供，属检查程序待完善项）。第1环所需资料已在本轮提供、但该环节未产出可展示数据、第2环未取到该环节所需的 利润总额计算底稿、须核对是否已提供：收入，未产出可展示数据、第3环所需资料已在本轮提供、但该环节未产出可展示数据（属检查程序待完善项，不计入资料缺失，不影响资料齐备性判断）。</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86"/>
        <w:gridCol w:w="3100"/>
        <w:gridCol w:w="2889"/>
        <w:gridCol w:w="14726"/>
      </w:tblGrid>
      <w:tr w14:paraId="28CA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70F79A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环节</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5BFED9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对应资料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75D605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做了什么</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177834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实际看到的数据</w:t>
            </w:r>
          </w:p>
        </w:tc>
      </w:tr>
      <w:tr w14:paraId="5AADD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0ABC94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759720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记账凭证（按科目归集）</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0ECDD4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归集各类限额费用的发生额</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672EB5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本环节读数（来自本项分项扣除限额测算）：业务招待费账面411,111.53、超限377,927.53；广告费和业务宣传费账面2,729,730.26、超限1,734,210.17</w:t>
            </w:r>
          </w:p>
        </w:tc>
      </w:tr>
      <w:tr w14:paraId="0A69B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3F75B8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5688B7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收入/工资/利润总额计算底稿</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12F3E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按限额公式计算可扣除额</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C0297E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本环节所需资料中已提供部分、尚缺利润总额计算底稿、须核对是否已提供：收入；该环节未能完成核对（属检查程序待完善项；不计入资料缺失）</w:t>
            </w:r>
          </w:p>
        </w:tc>
      </w:tr>
      <w:tr w14:paraId="2933E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EA2682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989E69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纳税申报表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F249D5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核对是否作纳税调增</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BC3A0B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本环节未产出对题读数（所需资料已在本轮提供；属检查程序待完善项）</w:t>
            </w:r>
          </w:p>
        </w:tc>
      </w:tr>
    </w:tbl>
    <w:p w14:paraId="4C8D34C7">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50B6AA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5项材料，其中名称逐字对应、已确在手上的有2项（费用明细账、凭证），其中3项已提供同类资料（收入、工资、利润总额计算底稿）、但与本项要求的范围未逐字对应，须确认是否覆盖。支撑材料尚不齐全，需补充材料后才能定性，企业尚未提交正当理由的书面证明，现有资料不足以排除本项涉嫌风险。</w:t>
      </w:r>
    </w:p>
    <w:p w14:paraId="2A2E93E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分项扣除限额测算</w:t>
      </w:r>
    </w:p>
    <w:p w14:paraId="054239F9">
      <w:pPr>
        <w:pStyle w:val="5"/>
        <w:keepNext w:val="0"/>
        <w:keepLines w:val="0"/>
        <w:widowControl/>
        <w:suppressLineNumbers w:val="0"/>
        <w:pBdr>
          <w:top w:val="none" w:color="auto" w:sz="0" w:space="0"/>
          <w:left w:val="single" w:color="94A3B8" w:sz="18" w:space="7"/>
          <w:bottom w:val="none" w:color="auto" w:sz="0" w:space="0"/>
          <w:right w:val="none" w:color="auto" w:sz="0" w:space="0"/>
        </w:pBdr>
        <w:shd w:val="clear" w:fill="F8FAFC"/>
        <w:spacing w:before="90" w:beforeAutospacing="0" w:after="30" w:afterAutospacing="0" w:line="28" w:lineRule="atLeast"/>
        <w:ind w:left="0" w:right="0" w:firstLine="420"/>
        <w:jc w:val="both"/>
        <w:rPr>
          <w:color w:val="475569"/>
          <w:sz w:val="18"/>
          <w:szCs w:val="18"/>
        </w:rPr>
      </w:pPr>
      <w:r>
        <w:rPr>
          <w:color w:val="475569"/>
          <w:sz w:val="18"/>
          <w:szCs w:val="18"/>
          <w:bdr w:val="none" w:color="auto" w:sz="0" w:space="0"/>
          <w:shd w:val="clear" w:fill="F8FAFC"/>
        </w:rPr>
        <w:t>口径说明：本项共登记 6 类分项扣除限额，本轮**算出 2 类**；其余 4 类（职工福利费、工会经费、职工教育经费、公益性捐赠）**因未取得工资薪金总额／年度利润总额等计算底稿，本轮未测算**——按「缺失≠0」不填零、不顶替，需要补资料后再核。超限金额的**差异性质**分两类：永久性差异（当期调增后不得结转）与时间性差异（当期调增、准予结转以后年度扣除），两者当期都须调增，但后者以后年度可调减。</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86"/>
        <w:gridCol w:w="1991"/>
        <w:gridCol w:w="1810"/>
        <w:gridCol w:w="1623"/>
        <w:gridCol w:w="1623"/>
        <w:gridCol w:w="5817"/>
        <w:gridCol w:w="8151"/>
      </w:tblGrid>
      <w:tr w14:paraId="2DBFA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E6F45E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F55E1D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费用项目</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16287F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账面发生额（元）</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7D3BF11">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扣除限额（元）</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FBC5F3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超限金额（元）</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004A8B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差异性质</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8CABA7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适用规则</w:t>
            </w:r>
          </w:p>
        </w:tc>
      </w:tr>
      <w:tr w14:paraId="5AA9C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DB166A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0F8226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业务招待费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BA266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411,111.53</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41F580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33,184.00</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08B3D3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377,927.53</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1164B9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**永久性差异**（不得结转以后年度扣除）</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DE2330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发生额×60% 与 当年销售（营业）收入×5‰ **孰低**（《企业所得税法实施条例》第43条）</w:t>
            </w:r>
          </w:p>
        </w:tc>
      </w:tr>
      <w:tr w14:paraId="06537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13BE7B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75438D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广告费和业务宣传费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AB1B75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2,729,730.26</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8C5754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995,520.09</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64F62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1,734,210.17</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07171E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**时间性差异：超过部分准予结转以后纳税年度扣除**（第44条）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EDD86B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不超过当年销售（营业）收入15%（《企业所得税法实施条例》第44条）</w:t>
            </w:r>
          </w:p>
        </w:tc>
      </w:tr>
    </w:tbl>
    <w:p w14:paraId="7636E50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09F8111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389BF1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在账内检出信号——业务招待费411,111.53元，占主营业务收入6,636,800.57元的6.19%，超过收入5‰的法定扣除标准；按孰低法可扣除约33,184.00元，超额部分约377,927.53元需纳税调增，但能否成立取决于工商、税务、海关、银行等外部数据的核实结果，现有资料不足以作出定性认定。判断本项是否成立，要看这几项标准是否同时满足：业务招待费、广告费和业务宣传费、职工福利费、工会经费、职工教育经费、公益性捐赠等超过法定扣除限额；超限额部分未在汇算清缴作纳税调增；关联方债权性投资与权益性投资比例超过2:1且超标准利息未调整；业务招待费、广告费和业务宣传费超限额部分未纳税调增且混用科目；不属于下列正当情形：已按规定在汇算清缴作纳税调增；符合政策性加计或特殊行业限额规定；工资薪金据实列支且有发放与代扣凭证。本轮从所报资料中直接核对到的事实是：业务招待费411,111.53元，占主营业务收入6,636,800.57元的6.19%，超过收入5‰的法定扣除标准。本项检查共3环，其中第1环、第2环、第3环因本轮未取得该环节所需资料，未取得数据（各环实际读到的数据见上一段明细表）。就资料来说，支撑材料尚不齐全，需补充材料后才能定性（名称逐字对应已提供2项；另有3项已提供同类资料、范围须人工确认；企业尚未提交正当理由的书面证明，现有资料不足以排除本项涉嫌风险）。企业如果认为这不成立，通常可以说明：已按规定在汇算清缴作纳税调增；符合政策性加计或特殊行业限额规定；工资薪金据实列支且有发放与代扣凭证。但这些说明能不能采信，要看有没有书面协议和原始单据，口头解释不能作为认定依据。综合以上，本项结论是账内检出需外部数据核实的信号（不作定性，待外部核实后再判断），判断可信度约62%（中等）。这一项不属于本轮能自行定论的事项：账内信号已经读到，但认定所需的信息在税务端与跨部门数据池（工商登记、开票环境、参保与注销、报关收汇、账户实名等），单账套拿不到，须由主管机关调取或企业补充外部资料后再判断；本轮既不认定违法，也不予排除。</w:t>
      </w:r>
    </w:p>
    <w:p w14:paraId="5BAD074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11E90A68">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38B810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超限额列支费用、少缴企业所得税的风险（涉及企业所得税）。主管税务机关可依《税收征收管理法》第三十二条加收滞纳金；构成偷税、抗税、骗税的，依第六十三条等规定追缴税款、滞纳金并处罚款。是否构成偷税、以及是否移送，须由税务机关依法调查认定。</w:t>
      </w:r>
    </w:p>
    <w:p w14:paraId="71AACF53">
      <w:pPr>
        <w:keepNext w:val="0"/>
        <w:keepLines w:val="0"/>
        <w:widowControl/>
        <w:suppressLineNumbers w:val="0"/>
        <w:pBdr>
          <w:top w:val="none" w:color="auto" w:sz="0" w:space="0"/>
          <w:left w:val="single" w:color="C2410C" w:sz="18" w:space="0"/>
          <w:bottom w:val="none" w:color="auto" w:sz="0" w:space="0"/>
          <w:right w:val="none" w:color="auto" w:sz="0" w:space="0"/>
        </w:pBdr>
        <w:shd w:val="clear" w:fill="FFF7ED"/>
        <w:spacing w:before="0" w:beforeAutospacing="0" w:after="75" w:afterAutospacing="0" w:line="28" w:lineRule="atLeast"/>
        <w:ind w:left="0" w:right="0"/>
        <w:jc w:val="left"/>
        <w:rPr>
          <w:b/>
          <w:bCs/>
          <w:color w:val="9A3412"/>
          <w:sz w:val="19"/>
          <w:szCs w:val="19"/>
        </w:rPr>
      </w:pPr>
      <w:r>
        <w:rPr>
          <w:rFonts w:ascii="宋体" w:hAnsi="宋体" w:eastAsia="宋体" w:cs="宋体"/>
          <w:b/>
          <w:bCs/>
          <w:color w:val="9A3412"/>
          <w:kern w:val="0"/>
          <w:sz w:val="19"/>
          <w:szCs w:val="19"/>
          <w:bdr w:val="none" w:color="auto" w:sz="0" w:space="0"/>
          <w:shd w:val="clear" w:fill="FFF7ED"/>
          <w:lang w:val="en-US" w:eastAsia="zh-CN" w:bidi="ar"/>
        </w:rPr>
        <w:t>本项还包含以下风险信号</w:t>
      </w:r>
    </w:p>
    <w:p w14:paraId="63DD1047">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业务招待费超过税前扣除限额</w:t>
      </w:r>
    </w:p>
    <w:p w14:paraId="6AB58D5C">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终局：可自证清白</w:t>
      </w:r>
    </w:p>
    <w:p w14:paraId="23D44AE9">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围绕「业务招待费超过税前扣除限额」，核对其所涉及的科目余额表等资料的真实性与账务、申报处理口径；对确认存在的差错，完成账务更正或申报更正，并留存更正凭证与情况说明；补齐上述资料后重新执行一键分析，由系统复查本事项是否已消除。</w:t>
      </w:r>
    </w:p>
    <w:p w14:paraId="7272C280">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需补资料：</w:t>
      </w:r>
      <w:r>
        <w:rPr>
          <w:rFonts w:ascii="宋体" w:hAnsi="宋体" w:eastAsia="宋体" w:cs="宋体"/>
          <w:kern w:val="0"/>
          <w:sz w:val="18"/>
          <w:szCs w:val="18"/>
          <w:bdr w:val="none" w:color="auto" w:sz="0" w:space="0"/>
          <w:shd w:val="clear" w:fill="FFF7ED"/>
          <w:lang w:val="en-US" w:eastAsia="zh-CN" w:bidi="ar"/>
        </w:rPr>
        <w:t>科目余额表——证明账面收入；成本；费用的完整发生额；核对财务报表间勾稽</w:t>
      </w:r>
    </w:p>
    <w:p w14:paraId="19F18637">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业务招待费扣除超限未纳税调整</w:t>
      </w:r>
    </w:p>
    <w:p w14:paraId="004746CC">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等级：中风险　|　终局：可自证清白</w:t>
      </w:r>
    </w:p>
    <w:p w14:paraId="68704423">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围绕「业务招待费扣除超限未纳税调整」，核对其所涉及的记账凭证/序时账等资料的真实性与账务、申报处理口径；对确认存在的差错，完成账务更正或申报更正，并留存更正凭证与情况说明；补齐上述资料后重新执行一键分析，由系统复查本事项是否已消除。</w:t>
      </w:r>
    </w:p>
    <w:p w14:paraId="02CE8A97">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需补资料：</w:t>
      </w:r>
      <w:r>
        <w:rPr>
          <w:rFonts w:ascii="宋体" w:hAnsi="宋体" w:eastAsia="宋体" w:cs="宋体"/>
          <w:kern w:val="0"/>
          <w:sz w:val="18"/>
          <w:szCs w:val="18"/>
          <w:bdr w:val="none" w:color="auto" w:sz="0" w:space="0"/>
          <w:shd w:val="clear" w:fill="FFF7ED"/>
          <w:lang w:val="en-US" w:eastAsia="zh-CN" w:bidi="ar"/>
        </w:rPr>
        <w:t>记账凭证；序时账——证明每笔业务的原始分录与附件；核对业务真实性；本轮检查相关佐证资料——证明本事项所涉业务的真实性与账务处理依据</w:t>
      </w:r>
    </w:p>
    <w:p w14:paraId="5CD827C7">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广告费和业务宣传费扣除超限未纳税调整</w:t>
      </w:r>
    </w:p>
    <w:p w14:paraId="3898DD82">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等级：中风险　|　终局：可自证清白</w:t>
      </w:r>
    </w:p>
    <w:p w14:paraId="34AB12DB">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围绕「广告费和业务宣传费扣除超限未纳税调整」，核对其所涉及的记账凭证/序时账等资料的真实性与账务、申报处理口径；对确认存在的差错，完成账务更正或申报更正，并留存更正凭证与情况说明；补齐上述资料后重新执行一键分析，由系统复查本事项是否已消除。</w:t>
      </w:r>
    </w:p>
    <w:p w14:paraId="5D4CF3D7">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0" w:beforeAutospacing="0" w:after="90" w:afterAutospacing="0" w:line="29" w:lineRule="atLeast"/>
        <w:ind w:left="0" w:right="0"/>
        <w:jc w:val="left"/>
        <w:rPr>
          <w:b/>
          <w:bCs/>
          <w:color w:val="991B1B"/>
          <w:sz w:val="20"/>
          <w:szCs w:val="20"/>
        </w:rPr>
      </w:pPr>
      <w:r>
        <w:rPr>
          <w:rFonts w:ascii="宋体" w:hAnsi="宋体" w:eastAsia="宋体" w:cs="宋体"/>
          <w:b/>
          <w:bCs/>
          <w:color w:val="991B1B"/>
          <w:kern w:val="0"/>
          <w:sz w:val="20"/>
          <w:szCs w:val="20"/>
          <w:bdr w:val="none" w:color="auto" w:sz="0" w:space="0"/>
          <w:shd w:val="clear" w:fill="FEF2F2"/>
          <w:lang w:val="en-US" w:eastAsia="zh-CN" w:bidi="ar"/>
        </w:rPr>
        <w:t>本项因缺资料未能查完</w:t>
      </w:r>
    </w:p>
    <w:p w14:paraId="19564E26">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未收到「合同文件」</w:t>
      </w:r>
    </w:p>
    <w:p w14:paraId="2E73736E">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3878D68E">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由于资料条件不具备，本轮没法完成与“合同文件”相关的账、票、表、税、款交叉核对。目前仍无法排除相应的风险方向。涉及合同文件的检查结论不得显示为无异常或已经合规。</w:t>
      </w:r>
    </w:p>
    <w:p w14:paraId="5B6526EE">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企业应补充合同文件。如原资料客观上无法取得，可以提供能够证明同一事实的替代资料。</w:t>
      </w:r>
    </w:p>
    <w:p w14:paraId="711540AC">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5374A8C4">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未收到「企业所得税申报表」</w:t>
      </w:r>
    </w:p>
    <w:p w14:paraId="0A79CF3D">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5FE733EA">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由于资料条件不具备，本轮没法完成与“企业所得税申报表”相关的账、票、表、税、款交叉核对。目前仍无法排除相应的风险方向。涉及企业所得税申报表的检查结论不得显示为无异常或已经合规。</w:t>
      </w:r>
    </w:p>
    <w:p w14:paraId="380AD4C1">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企业应补充企业所得税申报表。如原资料客观上无法取得，可以提供能够证明同一事实的替代资料。</w:t>
      </w:r>
    </w:p>
    <w:p w14:paraId="00260CDD">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42315A83">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60" w:beforeAutospacing="0" w:after="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EF2F2"/>
          <w:lang w:val="en-US" w:eastAsia="zh-CN" w:bidi="ar"/>
        </w:rPr>
        <w:t>（本项结论在资料补齐前不予认定；补齐后重新执行一键分析即完成本项核对。）</w:t>
      </w:r>
    </w:p>
    <w:p w14:paraId="35380FD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198B4B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在验证前不能认定本项成立：本项的直接证据尚为「须核对」，属前置条件未满足。</w:t>
      </w:r>
    </w:p>
    <w:p w14:paraId="1387AC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55ACB9F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06B5EE4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166534"/>
          <w:kern w:val="0"/>
          <w:sz w:val="19"/>
          <w:szCs w:val="19"/>
          <w:bdr w:val="none" w:color="auto" w:sz="0" w:space="0"/>
          <w:shd w:val="clear" w:fill="F5F3FF"/>
          <w:lang w:val="en-US" w:eastAsia="zh-CN" w:bidi="ar"/>
        </w:rPr>
        <w:t>［强］</w:t>
      </w:r>
      <w:r>
        <w:rPr>
          <w:rFonts w:ascii="宋体" w:hAnsi="宋体" w:eastAsia="宋体" w:cs="宋体"/>
          <w:kern w:val="0"/>
          <w:sz w:val="19"/>
          <w:szCs w:val="19"/>
          <w:bdr w:val="none" w:color="auto" w:sz="0" w:space="0"/>
          <w:shd w:val="clear" w:fill="F5F3FF"/>
          <w:lang w:val="en-US" w:eastAsia="zh-CN" w:bidi="ar"/>
        </w:rPr>
        <w:t>直接证据：费用明细账与凭证　</w:t>
      </w:r>
      <w:r>
        <w:rPr>
          <w:rFonts w:ascii="宋体" w:hAnsi="宋体" w:eastAsia="宋体" w:cs="宋体"/>
          <w:color w:val="64748B"/>
          <w:kern w:val="0"/>
          <w:sz w:val="18"/>
          <w:szCs w:val="18"/>
          <w:bdr w:val="none" w:color="auto" w:sz="0" w:space="0"/>
          <w:shd w:val="clear" w:fill="F5F3FF"/>
          <w:lang w:val="en-US" w:eastAsia="zh-CN" w:bidi="ar"/>
        </w:rPr>
        <w:t>现状：已有；证明目的：证明费用真实发生金额</w:t>
      </w:r>
    </w:p>
    <w:p w14:paraId="5F9D334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「费用明细账与凭证」本轮已提供，但是否覆盖本项要求的范围与口径尚未逐项确认；若其覆盖范围不足，「已提供」不等于「足以支撑本项」。</w:t>
      </w:r>
    </w:p>
    <w:p w14:paraId="1B513DD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经核对，「费用明细账与凭证」确已覆盖本项要求的全部范围与口径 ⇒ 这一条的支撑成立（不推翻本项，但本项的可信度应据此上调）。</w:t>
      </w:r>
    </w:p>
    <w:p w14:paraId="0C4739F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该资料是否覆盖本项要求的范围（如：是否含全部账户、是否逐笔到明细、是否含附表）</w:t>
      </w:r>
    </w:p>
    <w:p w14:paraId="6841AC5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直接证据：收入/工资/利润总额计算底稿　</w:t>
      </w:r>
      <w:r>
        <w:rPr>
          <w:rFonts w:ascii="宋体" w:hAnsi="宋体" w:eastAsia="宋体" w:cs="宋体"/>
          <w:color w:val="64748B"/>
          <w:kern w:val="0"/>
          <w:sz w:val="18"/>
          <w:szCs w:val="18"/>
          <w:bdr w:val="none" w:color="auto" w:sz="0" w:space="0"/>
          <w:shd w:val="clear" w:fill="F5F3FF"/>
          <w:lang w:val="en-US" w:eastAsia="zh-CN" w:bidi="ar"/>
        </w:rPr>
        <w:t>现状：须核对；证明目的：证明扣除限额计算基数</w:t>
      </w:r>
    </w:p>
    <w:p w14:paraId="554F666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「收入/工资/利润总额计算底稿」本轮未逐字见到，只是「同类资料已提供」；若「收入/工资/利润总额计算底稿」其实不含本项所需内容，本项的这一支撑即为空。</w:t>
      </w:r>
    </w:p>
    <w:p w14:paraId="24DE9AF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经核对，已提供的同类资料中确实包含本项所需内容且口径一致 ⇒ 支撑成立；若确认不包含 ⇒ 本项应退回「资料不足、不作认定」。</w:t>
      </w:r>
    </w:p>
    <w:p w14:paraId="6EEAD2F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76D02E2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反证：汇算清缴纳税调增明细　</w:t>
      </w:r>
      <w:r>
        <w:rPr>
          <w:rFonts w:ascii="宋体" w:hAnsi="宋体" w:eastAsia="宋体" w:cs="宋体"/>
          <w:color w:val="64748B"/>
          <w:kern w:val="0"/>
          <w:sz w:val="18"/>
          <w:szCs w:val="18"/>
          <w:bdr w:val="none" w:color="auto" w:sz="0" w:space="0"/>
          <w:shd w:val="clear" w:fill="F5F3FF"/>
          <w:lang w:val="en-US" w:eastAsia="zh-CN" w:bidi="ar"/>
        </w:rPr>
        <w:t>现状：待企业提交；证明目的：证明已作纳税调整</w:t>
      </w:r>
    </w:p>
    <w:p w14:paraId="205EC90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「汇算清缴纳税调增明细」本轮未提供，是支撑链上最弱的一环；缺它就无法认定本项成立 —— 只能列为「资料未齐、不作认定」。</w:t>
      </w:r>
    </w:p>
    <w:p w14:paraId="1E58F38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「汇算清缴纳税调增明细」补齐后，若显示相关业务真实、口径一致 ⇒ 本项不成立（可自证清白）。</w:t>
      </w:r>
    </w:p>
    <w:p w14:paraId="2C813BA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6767FBD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涉案金额　</w:t>
      </w:r>
      <w:r>
        <w:rPr>
          <w:rFonts w:ascii="宋体" w:hAnsi="宋体" w:eastAsia="宋体" w:cs="宋体"/>
          <w:color w:val="64748B"/>
          <w:kern w:val="0"/>
          <w:sz w:val="18"/>
          <w:szCs w:val="18"/>
          <w:bdr w:val="none" w:color="auto" w:sz="0" w:space="0"/>
          <w:shd w:val="clear" w:fill="F5F3FF"/>
          <w:lang w:val="en-US" w:eastAsia="zh-CN" w:bidi="ar"/>
        </w:rPr>
        <w:t>约 2,112,137.70 元</w:t>
      </w:r>
    </w:p>
    <w:p w14:paraId="3CE1B8D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金额是按「分项扣除限额测算「超限金额（元）」列合计（2 行）」这一口径算出来的；若口径变化（含税/不含税、期间口径、是否与其他疑点重叠），金额随之变化。</w:t>
      </w:r>
    </w:p>
    <w:p w14:paraId="591C52C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按另一口径复算后金额显著变化，或与他项重复计算 ⇒ 本项金额应相应调整。</w:t>
      </w:r>
    </w:p>
    <w:p w14:paraId="1DC8DDF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该金额的取出所需要的数据口径与逐笔明细（可否独立复算）</w:t>
      </w:r>
    </w:p>
    <w:p w14:paraId="026C009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环节数据完整度（取值 0.0）</w:t>
      </w:r>
    </w:p>
    <w:p w14:paraId="41C07F6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174622F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535ED12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2CBE3B6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2BBEC50D">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汇算清缴纳税调增明细</w:t>
      </w:r>
    </w:p>
    <w:p w14:paraId="6FF9DD5A">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748B088D">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33D21A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疑点6：数字特征异常：金额分布违背自然规律</w:t>
      </w:r>
      <w:r>
        <w:rPr>
          <w:rFonts w:ascii="宋体" w:hAnsi="宋体" w:eastAsia="宋体" w:cs="宋体"/>
          <w:b/>
          <w:bCs/>
          <w:color w:val="FFFFFF"/>
          <w:kern w:val="0"/>
          <w:sz w:val="18"/>
          <w:szCs w:val="18"/>
          <w:bdr w:val="none" w:color="auto" w:sz="0" w:space="0"/>
          <w:shd w:val="clear" w:fill="B91C1C"/>
          <w:lang w:val="en-US" w:eastAsia="zh-CN" w:bidi="ar"/>
        </w:rPr>
        <w:t>办理顺序：第五项</w:t>
      </w:r>
    </w:p>
    <w:p w14:paraId="493F3D25">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数据人为编造、存在虚假交易或账外账。从本次上传资料来看，本企业本项已查明的风险；未认定到构成要件的可能性中等，但能补全尚缺的3项资料来排除此项税务风险嫌疑。本项涉税嫌疑，涉及增值税、企业所得税；潜在税额影响：未量化（缺明确金额，须补资料后测算）。</w:t>
      </w:r>
    </w:p>
    <w:p w14:paraId="550ED87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2D18383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0FEB78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周末/节假日交易31笔，对公账户在非工作日频繁交易异常；整数金额交易77笔（合计5,280,000.00元），可能为人为构造的过桥资金。本项对应的风险指标是数字特征异常：金额分布违背自然规律——凡出现上述情形即纳入检查范围；是否成立，另按本项构成要件逐条核对（见下）。</w:t>
      </w:r>
    </w:p>
    <w:p w14:paraId="7F8D8BF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46F09B1C">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3AFB2B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数字特征异常：金额分布违背自然规律认定到任何一条构成要件：账内检出需进一步核实的信号——周末/节假日交易31笔，对公账户在非工作日频繁交易异常；整数金额交易77笔（合计5,280,000.00元），可能为人为构造的过桥资金。下列要件清单是本项对应的判断标准，逐条核对结果见下：</w:t>
      </w:r>
    </w:p>
    <w:p w14:paraId="0873789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本项（数字特征异常：金额分布违背自然规律）：经核对，本企业未涉及任何一条构成要件（仅已单独核对且符合情形的要件计入）；本项共 5 条构成要件：已单独核对 1 条（符合情形 0 条、未发现符合 0 条、有信号但未达数值门槛 1 条）；未形成核对结论 2 条（资料已取得但缺对应核对证据，不作未发现符合认定）；未单独核对 2 条（独立数据源本轮未取得，均不计入涉及）。</w:t>
      </w:r>
    </w:p>
    <w:p w14:paraId="7CF8003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交易金额首位数字分布与本福特定律存在偏离（未形成核对结论（资料已取得但缺本要件的对应核对证据，不作未发现符合认定）；独立数据源：销项发票、进项发票、银行流水｜已有）</w:t>
      </w:r>
    </w:p>
    <w:p w14:paraId="6D2BC8B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或存在完全相同的重复金额、整数金额（已单独核对：有信号但未达该要件的数值门槛；独立数据源：销项发票、进项发票｜已有）</w:t>
      </w:r>
    </w:p>
    <w:p w14:paraId="4A49F1C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无法用业务特性（定价政策、套餐价格）解释（未单独核对（独立数据源本轮未取得）；独立数据源：销项发票、银行流水、定价政策｜须核对）</w:t>
      </w:r>
    </w:p>
    <w:p w14:paraId="7B30725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金额尾数高度集中于 .00、.50 等整数，疑似人为构造（未形成核对结论（资料已取得但缺本要件的对应核对证据，不作未发现符合认定）；独立数据源：销项发票、进项发票、银行流水｜已有）</w:t>
      </w:r>
    </w:p>
    <w:p w14:paraId="6317BD9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不属于下列正当情形：统一定价、套餐式收费（有价目表）；样本量偏小导致统计规律不显著；行业特性（如按台班、按吨固定单价）（未单独核对（独立数据源本轮未取得）；独立数据源：定价政策、销项发票｜须核对）</w:t>
      </w:r>
    </w:p>
    <w:p w14:paraId="35BE5AD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税收征收管理法》第六十三条：进行虚假的纳税申报或者不申报，少缴应纳税款的，是偷税（2015年修正；主席令第二十三号（2015年4月24日第十二届全国人民代表大会常务委员会第十四次会议修正），现行有效）；《会计法》第九条：各单位必须根据实际发生的经济业务事项进行会计核算，填制会计凭证，登记会计账簿，编制财务会计报告。任何单位不得以虚假的经济业务事项或者资料进行会计核算。（2024年修正；主席令第二十九号（2024年6月28日第十四届全国人民代表大会常务委员会第十次会议修正），现行有效）。</w:t>
      </w:r>
    </w:p>
    <w:p w14:paraId="2F0A238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10060"/>
        <w:gridCol w:w="2820"/>
        <w:gridCol w:w="1204"/>
        <w:gridCol w:w="6594"/>
      </w:tblGrid>
      <w:tr w14:paraId="0DEB7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ADBC74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642FE5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DE900E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CC145E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EBFAE3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57566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E2CF90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BF2CA7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交易金额首位数字分布与本福特定律存在偏离</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20CCC9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销项发票、进项发票、银行流水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218B1E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F43DC6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3F356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3D4DB1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2931E8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或存在完全相同的重复金额、整数金额</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2F82E5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284355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10139E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已单独核对：有信号但未达该要件的数值门槛</w:t>
            </w:r>
          </w:p>
        </w:tc>
      </w:tr>
      <w:tr w14:paraId="62D3B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AAC570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AF8C1E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无法用业务特性（定价政策、套餐价格）解释</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7E3F01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销项发票、银行流水、定价政策</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73F3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CF7972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1060A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C49F7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149B82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金额尾数高度集中于 .00、.50 等整数，疑似人为构造</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D7FB8A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销项发票、进项发票、银行流水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4BC83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051F79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5CA9E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189F2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0BA143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不属于下列正当情形：统一定价、套餐式收费（有价目表）；样本量偏小导致统计规律不显著；行业特性（如按台班、按吨固定单价）</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ECE181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定价政策、销项发票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1A1B92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9C0804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6DCB8D3A">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4FCA4514">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19FE8B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销项发票、进项发票、银行流水中提取金额首位数字分布，与本福特期望分布比较，看到本环节未产出对题读数（所需资料已在本轮提供，属检查程序待完善项）；第2步从金额序列（本轮未提供）中统计重复金额、整数金额的出现频次与占比，看到流水口径检出整数金额交易77笔（合计5,280,000.00元）：周末/节假日交易31笔，对公账户在非工作日频繁交易异常；整数金额交易77笔（合计5,280,000.00元），可能为人为构造的过桥资金（要件观察事实，需要核实是否对应真实业务）；第3步从定价政策、套餐价目表（本轮未提供）中核对是否由统一定价导致，看到因缺少资料（须核对是否已提供：定价政策、须核对是否已提供：套餐价目表、须核对是否已提供：定价政策、套餐价目表）未取得本环节数据，该部分无法核对；第4步从异常金额对应凭证中抽查原始单据核实真实性，看到本环节未产出对题读数（所需资料已在本轮提供，属检查程序待完善项）。其中第3环因缺少资料未取得数据，已计入检查受限范围；第1环所需资料已在本轮提供、但该环节未产出可展示数据、第4环所需资料已在本轮提供、但该环节未产出可展示数据（属检查程序待完善项，不计入资料缺失，不影响资料齐备性判断）。</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40"/>
        <w:gridCol w:w="3360"/>
        <w:gridCol w:w="3170"/>
        <w:gridCol w:w="14331"/>
      </w:tblGrid>
      <w:tr w14:paraId="60368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89A228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环节</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B67E54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对应资料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1EF319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做了什么</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0F2D44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实际看到的数据</w:t>
            </w:r>
          </w:p>
        </w:tc>
      </w:tr>
      <w:tr w14:paraId="1F1F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D391E4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04AFC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销项发票、进项发票、银行流水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73283B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提取金额首位数字分布，与本福特期望分布比较</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947B80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本环节未产出对题读数（所需资料已在本轮提供；属检查程序待完善项）</w:t>
            </w:r>
          </w:p>
        </w:tc>
      </w:tr>
      <w:tr w14:paraId="0E201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26D737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9141E3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金额序列（本轮未提供）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0DF10D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统计重复金额、整数金额的出现频次与占比</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A3140D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流水口径检出整数金额交易77笔（合计5,280,000.00元）：周末/节假日交易31笔；对公账户在非工作日频繁交易异常；整数金额交易77笔（合计5,280,000.00元）；可能为人为构造的过桥资金（要件观察事实；需要核实是否对应真实业务）</w:t>
            </w:r>
          </w:p>
        </w:tc>
      </w:tr>
      <w:tr w14:paraId="18256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CF28A7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CEF73D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定价政策、套餐价目表（本轮未提供）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750F12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核对是否由统一定价导致</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22E971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因缺少资料（须核对是否已提供：定价政策、须核对是否已提供：套餐价目表、须核对是否已提供：定价政策、套餐价目表）未取得本环节数据；该部分无法核对</w:t>
            </w:r>
          </w:p>
        </w:tc>
      </w:tr>
      <w:tr w14:paraId="59EC7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D926DE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DB74A0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异常金额对应凭证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04F619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抽查原始单据核实真实性</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F7220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本环节未产出对题读数（所需资料已在本轮提供；属检查程序待完善项）</w:t>
            </w:r>
          </w:p>
        </w:tc>
      </w:tr>
    </w:tbl>
    <w:p w14:paraId="4885A3F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6C5404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4项材料，其中2项已提供同类资料（异常金额对应的合同、原始凭证）、但与本项要求的范围未逐字对应，须确认是否覆盖；确未提供的有2项（定价政策文件、价目表）。</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3"/>
        <w:gridCol w:w="2849"/>
        <w:gridCol w:w="3030"/>
        <w:gridCol w:w="1212"/>
        <w:gridCol w:w="13577"/>
      </w:tblGrid>
      <w:tr w14:paraId="15CEA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096F99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113BF4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77CE19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BD6805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6266E41">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4A8CF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733F2A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F9FB98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异常金额对应的合同与原始凭证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CE6755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核实交易真实性</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36C4EB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7DA0D3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本项要求异常金额对应的合同，未在已提供资料中逐字见到；清单中有类别相关的记账凭证，但二者不是同一份材料，须人工确认已提供资料中是否包含本项所需内容</w:t>
            </w:r>
          </w:p>
        </w:tc>
      </w:tr>
      <w:tr w14:paraId="06C33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CA6FA5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FEAAF0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定价政策文件与价目表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40BF0D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解释整数与重复金额</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96AD9D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4924EC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本轮未提供本项所需材料（定价政策文件、价目表），无法组织本项证据</w:t>
            </w:r>
          </w:p>
        </w:tc>
      </w:tr>
      <w:tr w14:paraId="1360A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26736B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678CEB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统一定价、套餐收费的业务说明</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BBA266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标准化定价导致的重复金额属正常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BEC17E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EBD5A8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4928F67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49F1D31C">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2FB273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数字特征异常：金额分布违背自然规律」逐条核对，未认定到任何一条构成要件成立；但本项已从账内资料中查明相关信号，且本项不等于已触碰红线、也不是违法认定。具体认定范围与需补充的资料见本项各段。判断本项是否成立，要看这几项标准是否同时满足：交易金额首位数字分布与本福特定律存在偏离；或存在完全相同的重复金额、整数金额；无法用业务特性（定价政策、套餐价格）解释；金额尾数高度集中于 .00、.50 等整数，疑似人为构造；不属于下列正当情形：统一定价、套餐式收费（有价目表）；样本量偏小导致统计规律不显著；行业特性（如按台班、按吨固定单价）。本轮从所报资料中直接核对到的事实是：周末/节假日交易31笔，对公账户在非工作日频繁交易异常；整数金额交易77笔（合计5,280,000.00元），可能为人为构造的过桥资金。本项检查共4环，其中第1环、第3环、第4环因本轮未取得该环节所需资料，未取得数据（各环实际读到的数据见上一段明细表）。就资料来说，支撑材料严重不足，核心材料缺失（名称逐字对应已提供0项；另有2项已提供同类资料、范围须人工确认；还缺2项（定价政策文件、价目表）；企业尚未提交正当理由的书面证明，现有资料不足以排除本项涉嫌风险）。企业如果认为这不成立，通常可以说明：统一定价、套餐式收费（有价目表）；样本量偏小导致统计规律不显著；行业特性（如按台班、按吨固定单价）。但这些说明能不能采信，要看有没有书面协议和原始单据，口头解释不能作为认定依据。综合以上，本项结论是疑似逐条要件尚未认定成立（结论只到「账内已读到与该风险指向一致的信号」这一层），判断可信度约53%（偏低）。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w:t>
      </w:r>
    </w:p>
    <w:p w14:paraId="1BA395B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50E4F4C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0B193D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数据人为编造、存在虚假交易或账外账的风险（涉及增值税、企业所得税）。主管税务机关可依《税收征收管理法》第三十二条加收滞纳金；构成偷税、抗税、骗税的，依第六十三条等规定追缴税款、滞纳金并处罚款。是否构成偷税、以及是否移送，须由税务机关依法调查认定。</w:t>
      </w:r>
    </w:p>
    <w:p w14:paraId="00D61EE8">
      <w:pPr>
        <w:keepNext w:val="0"/>
        <w:keepLines w:val="0"/>
        <w:widowControl/>
        <w:suppressLineNumbers w:val="0"/>
        <w:pBdr>
          <w:top w:val="none" w:color="auto" w:sz="0" w:space="0"/>
          <w:left w:val="single" w:color="C2410C" w:sz="18" w:space="0"/>
          <w:bottom w:val="none" w:color="auto" w:sz="0" w:space="0"/>
          <w:right w:val="none" w:color="auto" w:sz="0" w:space="0"/>
        </w:pBdr>
        <w:shd w:val="clear" w:fill="FFF7ED"/>
        <w:spacing w:before="0" w:beforeAutospacing="0" w:after="75" w:afterAutospacing="0" w:line="28" w:lineRule="atLeast"/>
        <w:ind w:left="0" w:right="0"/>
        <w:jc w:val="left"/>
        <w:rPr>
          <w:b/>
          <w:bCs/>
          <w:color w:val="9A3412"/>
          <w:sz w:val="19"/>
          <w:szCs w:val="19"/>
        </w:rPr>
      </w:pPr>
      <w:r>
        <w:rPr>
          <w:rFonts w:ascii="宋体" w:hAnsi="宋体" w:eastAsia="宋体" w:cs="宋体"/>
          <w:b/>
          <w:bCs/>
          <w:color w:val="9A3412"/>
          <w:kern w:val="0"/>
          <w:sz w:val="19"/>
          <w:szCs w:val="19"/>
          <w:bdr w:val="none" w:color="auto" w:sz="0" w:space="0"/>
          <w:shd w:val="clear" w:fill="FFF7ED"/>
          <w:lang w:val="en-US" w:eastAsia="zh-CN" w:bidi="ar"/>
        </w:rPr>
        <w:t>本项还包含以下风险信号</w:t>
      </w:r>
    </w:p>
    <w:p w14:paraId="18734E87">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交易时间与金额模式异常</w:t>
      </w:r>
    </w:p>
    <w:p w14:paraId="3B952E45">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终局：可自证清白</w:t>
      </w:r>
    </w:p>
    <w:p w14:paraId="2C92CAC7">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核实周末交易的商业合理性（如电商行业周末是高峰期则正常）；核实整数金额交易是否对应真实的业务；保留异常交易的合同和凭证。</w:t>
      </w:r>
    </w:p>
    <w:p w14:paraId="49F8EE4E">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发票金额为整数——缺少零头</w:t>
      </w:r>
    </w:p>
    <w:p w14:paraId="79A1072D">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终局：可自证清白</w:t>
      </w:r>
    </w:p>
    <w:p w14:paraId="05AEA77C">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要求企业提供这些发票对应的采购合同、入库单，核实交易真实性。</w:t>
      </w:r>
    </w:p>
    <w:p w14:paraId="75D6FFFF">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需补资料：</w:t>
      </w:r>
      <w:r>
        <w:rPr>
          <w:rFonts w:ascii="宋体" w:hAnsi="宋体" w:eastAsia="宋体" w:cs="宋体"/>
          <w:kern w:val="0"/>
          <w:sz w:val="18"/>
          <w:szCs w:val="18"/>
          <w:bdr w:val="none" w:color="auto" w:sz="0" w:space="0"/>
          <w:shd w:val="clear" w:fill="FFF7ED"/>
          <w:lang w:val="en-US" w:eastAsia="zh-CN" w:bidi="ar"/>
        </w:rPr>
        <w:t>销项发票——证明对外销售的金额；税额与购方；核对收入申报口径；进项发票——证明采购的金额；税额与供方；核对成本列支与抵扣合规性；合同文件——证明交易的商业实质与权利义务约定（四流合一之合同流）</w:t>
      </w:r>
    </w:p>
    <w:p w14:paraId="1CBB710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659ED1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在验证前不能认定本项成立：本项的直接证据尚为「须核对」，属前置条件未满足。</w:t>
      </w:r>
    </w:p>
    <w:p w14:paraId="40E8DD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0E12571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226FF64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直接证据：异常金额对应的合同与原始凭证　</w:t>
      </w:r>
      <w:r>
        <w:rPr>
          <w:rFonts w:ascii="宋体" w:hAnsi="宋体" w:eastAsia="宋体" w:cs="宋体"/>
          <w:color w:val="64748B"/>
          <w:kern w:val="0"/>
          <w:sz w:val="18"/>
          <w:szCs w:val="18"/>
          <w:bdr w:val="none" w:color="auto" w:sz="0" w:space="0"/>
          <w:shd w:val="clear" w:fill="F5F3FF"/>
          <w:lang w:val="en-US" w:eastAsia="zh-CN" w:bidi="ar"/>
        </w:rPr>
        <w:t>现状：须核对；证明目的：核实交易真实性</w:t>
      </w:r>
    </w:p>
    <w:p w14:paraId="402112B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「异常金额对应的合同与原始凭证」本轮未逐字见到，只是「同类资料已提供」；若「异常金额对应的合同与原始凭证」其实不含本项所需内容，本项的这一支撑即为空。</w:t>
      </w:r>
    </w:p>
    <w:p w14:paraId="3B7ABF5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经核对，已提供的同类资料中确实包含本项所需内容且口径一致 ⇒ 支撑成立；若确认不包含 ⇒ 本项应退回「资料不足、不作认定」。</w:t>
      </w:r>
    </w:p>
    <w:p w14:paraId="1B0ADD8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4B0224E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直接证据：定价政策文件与价目表　</w:t>
      </w:r>
      <w:r>
        <w:rPr>
          <w:rFonts w:ascii="宋体" w:hAnsi="宋体" w:eastAsia="宋体" w:cs="宋体"/>
          <w:color w:val="64748B"/>
          <w:kern w:val="0"/>
          <w:sz w:val="18"/>
          <w:szCs w:val="18"/>
          <w:bdr w:val="none" w:color="auto" w:sz="0" w:space="0"/>
          <w:shd w:val="clear" w:fill="F5F3FF"/>
          <w:lang w:val="en-US" w:eastAsia="zh-CN" w:bidi="ar"/>
        </w:rPr>
        <w:t>现状：缺失；证明目的：解释整数与重复金额</w:t>
      </w:r>
    </w:p>
    <w:p w14:paraId="507745D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「定价政策文件与价目表」本轮未提供，是支撑链上最弱的一环；缺它就无法认定本项成立 —— 只能列为「资料未齐、不作认定」。</w:t>
      </w:r>
    </w:p>
    <w:p w14:paraId="6425C0C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「定价政策文件与价目表」补齐后，若显示相关业务真实、口径一致 ⇒ 本项不成立（可自证清白）。</w:t>
      </w:r>
    </w:p>
    <w:p w14:paraId="4570B0A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6B63860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反证：统一定价、套餐收费的业务说明　</w:t>
      </w:r>
      <w:r>
        <w:rPr>
          <w:rFonts w:ascii="宋体" w:hAnsi="宋体" w:eastAsia="宋体" w:cs="宋体"/>
          <w:color w:val="64748B"/>
          <w:kern w:val="0"/>
          <w:sz w:val="18"/>
          <w:szCs w:val="18"/>
          <w:bdr w:val="none" w:color="auto" w:sz="0" w:space="0"/>
          <w:shd w:val="clear" w:fill="F5F3FF"/>
          <w:lang w:val="en-US" w:eastAsia="zh-CN" w:bidi="ar"/>
        </w:rPr>
        <w:t>现状：待企业提交；证明目的：标准化定价导致的重复金额属正常</w:t>
      </w:r>
    </w:p>
    <w:p w14:paraId="5027E3A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情形与「定价政策文件与价目表」相同（待企业提交）；不再重复同一段自我反驳。</w:t>
      </w:r>
    </w:p>
    <w:p w14:paraId="7707B19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同上：该情形一旦核对通过，「统一定价、套餐收费的业务说明」这一条的支撑即成立。</w:t>
      </w:r>
    </w:p>
    <w:p w14:paraId="527DE1F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4D93E81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材料齐全程度（取值 0.0）</w:t>
      </w:r>
    </w:p>
    <w:p w14:paraId="20233F9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582CA65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1ABC4CB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6DF1803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700B9655">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定价政策文件与价目表</w:t>
      </w:r>
    </w:p>
    <w:p w14:paraId="409BBDBC">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55D02DE6">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4448852E">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2. 统一定价、套餐收费的业务说明</w:t>
      </w:r>
    </w:p>
    <w:p w14:paraId="7CFDEF70">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360B83AD">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653C81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疑点7：印花税计税依据不足：合同金额与开票不符</w:t>
      </w:r>
      <w:r>
        <w:rPr>
          <w:rFonts w:ascii="宋体" w:hAnsi="宋体" w:eastAsia="宋体" w:cs="宋体"/>
          <w:b/>
          <w:bCs/>
          <w:color w:val="FFFFFF"/>
          <w:kern w:val="0"/>
          <w:sz w:val="18"/>
          <w:szCs w:val="18"/>
          <w:bdr w:val="none" w:color="auto" w:sz="0" w:space="0"/>
          <w:shd w:val="clear" w:fill="B91C1C"/>
          <w:lang w:val="en-US" w:eastAsia="zh-CN" w:bidi="ar"/>
        </w:rPr>
        <w:t>办理顺序：第六项</w:t>
      </w:r>
    </w:p>
    <w:p w14:paraId="3818EF09">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少缴印花税。从本次上传资料来看，本企业本项已查明的风险；未认定到构成要件的可能性中等，但能补全尚缺的3项资料来排除此项税务风险嫌疑。本项涉税嫌疑，涉及印花税；潜在税额影响：未量化（缺明确金额，须补资料后测算）。</w:t>
      </w:r>
    </w:p>
    <w:p w14:paraId="0D79D56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3604136E">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24F80F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本项之所以列入检查，是因为出现了以下情况：由买卖合同应税凭据线索反推印花税计税依据 14,192,071.57 元（购销发票金额合计（销 8,553,593.01 ＋ 购 5,638,478.56）），推算应缴 4,257.62 元。本项对应的风险指标是印花税计税依据不足：合同金额与开票不符——凡出现上述情形即纳入检查范围；是否成立，另按本项构成要件逐条核对（见下）。</w:t>
      </w:r>
    </w:p>
    <w:p w14:paraId="17DA776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4EF71205">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512EE3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经检查，本企业未就印花税计税依据不足：合同金额与开票不符认定到任何一条构成要件：账内检出需进一步核实的信号——由买卖合同应税凭据线索反推印花税计税依据 14,192,071.57 元（购销发票金额合计（销 8,553,593.01 ＋ 购 5,638,478.56）），推算应缴 4,257.62 元。下列要件清单是本项对应的判断标准，逐条核对结果见下：本项与以下 3 个子项属同一风险族「印花税税目申报」，子项不再单独计数，差异点：向银行借款未按借款合同税目申报印花税（须核对）；财产租赁合同未按租赁合同税目申报印花税（须核对）；财产保险合同未按保险合同税目申报印花税（须核对）。</w:t>
      </w:r>
    </w:p>
    <w:p w14:paraId="324F318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本项（印花税计税依据不足：合同金额与开票不）：经核对，本企业未涉及任何一条构成要件（仅已单独核对且符合情形的要件计入）；本项共 5 条构成要件：已单独核对 0 条（符合情形 0 条、未发现符合 0 条、有信号但未达数值门槛 0 条）；未形成核对结论 0 条（资料已取得但缺对应核对证据，不作未发现符合认定）；未单独核对 5 条（独立数据源本轮未取得，均不计入涉及）。</w:t>
      </w:r>
    </w:p>
    <w:p w14:paraId="050D8F5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购销合同金额或实际结算金额与印花税计税依据存在差异（未单独核对（独立数据源本轮未取得）；独立数据源：合同台账、销项发票｜须核对）</w:t>
      </w:r>
    </w:p>
    <w:p w14:paraId="66D998C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应税凭证未贴花或未申报（未单独核对（独立数据源本轮未取得）；独立数据源：合同台账、印花税申报表｜缺失）</w:t>
      </w:r>
    </w:p>
    <w:p w14:paraId="5D3A7CD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应纳税所得额差异金额占申报应纳税所得额比例超过行业基准税负率区间上沿（行业基准通用参考值，非税务机关官方口径，仅作线索参照）（未单独核对（独立数据源本轮未取得）；独立数据源：合同台账、印花税申报表｜缺失）</w:t>
      </w:r>
    </w:p>
    <w:p w14:paraId="2E1B629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以电子订单、框架协议隐瞒应税凭证未申报印花税（未单独核对（独立数据源本轮未取得）；独立数据源：合同台账、销项发票｜须核对）</w:t>
      </w:r>
    </w:p>
    <w:p w14:paraId="1F0BACC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不属于下列正当情形：框架协议无具体金额，已按实际结算申报；属于免税凭证（如小额零星、农业保险合同）；已按核定征收方式申报（未单独核对（独立数据源本轮未取得）；独立数据源：合同台账、印花税申报表｜缺失）</w:t>
      </w:r>
    </w:p>
    <w:p w14:paraId="016573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印花税法》第一条：在中华人民共和国境内书立应税凭证、进行证券交易的单位和个人，为印花税的纳税人，应当依照本法规定缴纳印花税。在中华人民共和国境外书立在境内使用的应税凭证的单位和个人，应当依照本法规定缴纳印花税。第五条：印花税的计税依据如下：应税合同的计税依据，为合同所列的金额，不包括列明的增值税税款；应税产权转移书据的计税依据，为产权转移书据所列的金额，不包括列明的增值税税款；应税营业账簿的计税依据，为账簿记载的实收资本（股本）、资本公积合计金额；证券交易的计税依据，为成交金额。（2021年公布；主席令第八十九号（2021年6月10日第十三届全国人民代表大会常务委员会第二十九次会议通过），现行有效）；《税收征收管理法》第六十四条第二款：纳税人不进行纳税申报，不缴或者少缴应纳税款的，由税务机关追缴其不缴或者少缴的税款、滞纳金，并处不缴或者少缴的税款百分之五十以上五倍以下的罚款。（2015年修正；主席令第二十三号（2015年4月24日第十二届全国人民代表大会常务委员会第十四次会议修正），现行有效）。</w:t>
      </w:r>
    </w:p>
    <w:p w14:paraId="6E643C7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48"/>
        <w:gridCol w:w="12868"/>
        <w:gridCol w:w="2560"/>
        <w:gridCol w:w="1352"/>
        <w:gridCol w:w="3773"/>
      </w:tblGrid>
      <w:tr w14:paraId="72FA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521803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8CF115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27D2A6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04F62F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903727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6500B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580C5E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08BECF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购销合同金额或实际结算金额与印花税计税依据存在差异</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FF7DBB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合同台账、销项发票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DB1BEE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F214AB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4EAC4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E1EEC3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4452FD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应税凭证未贴花或未申报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BCE9FF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合同台账、印花税申报表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69C002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9F279D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53FAE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6557E8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5D2E52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应纳税所得额差异金额占申报应纳税所得额比例超过行业基准税负率区间上沿（行业基准通用参考值，非税务机关官方口径，仅作线索参照）</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3098F6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合同台账、印花税申报表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2DDFB6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DA96B4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439EE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A3FA48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F2FB62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以电子订单、框架协议隐瞒应税凭证未申报印花税</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929230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合同台账、销项发票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6E64C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DB0C48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53077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900983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5A7EBD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不属于下列正当情形：框架协议无具体金额，已按实际结算申报；属于免税凭证（如小额零星、农业保险合同）；已按核定征收方式申报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613DE0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合同台账、印花税申报表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22B4B0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2C4525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75F59ED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4183F53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7D0C9F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销售合同、采购合同（本轮未提供）中汇总合同金额，看到反推依据：购销发票金额合计（销8,553,593.01＋购5,638,478.56），推算印花税计税依据14,192,071.57元、推算应缴4,257.62元（要件观察事实，是否构成该要件之情形须结合合同原件与申报表人工复核）；第2步从印花税申报表（本轮未提供）中提取申报计税依据；第3步从两者比对（本轮未提供）中计算差额与应补税额。</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40"/>
        <w:gridCol w:w="3180"/>
        <w:gridCol w:w="1920"/>
        <w:gridCol w:w="15761"/>
      </w:tblGrid>
      <w:tr w14:paraId="1EB43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40CB08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环节</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592F5D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对应资料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B6CB68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做了什么</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D4F5641">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实际看到的数据</w:t>
            </w:r>
          </w:p>
        </w:tc>
      </w:tr>
      <w:tr w14:paraId="492BA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659D73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3023C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销售合同、采购合同（本轮未提供）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458BC9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汇总合同金额</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F00173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反推依据：购销发票金额合计（销8,553,593.01＋购5,638,478.56）；推算印花税计税依据14,192,071.57元、推算应缴4,257.62元（要件观察事实；是否构成该要件之情形须结合合同原件与申报表人工复核）</w:t>
            </w:r>
          </w:p>
        </w:tc>
      </w:tr>
      <w:tr w14:paraId="32D61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FAF00D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4781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印花税申报表（本轮未提供）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88E29E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提取申报计税依据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8D2728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反推依据：购销发票金额合计（销8,553,593.01＋购5,638,478.56）；推算印花税计税依据14,192,071.57元、推算应缴4,257.62元（要件观察事实；是否构成该要件之情形须结合合同原件与申报表人工复核）</w:t>
            </w:r>
          </w:p>
        </w:tc>
      </w:tr>
      <w:tr w14:paraId="7F759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A1C1D6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5AFDC9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两者比对（本轮未提供）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D47221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计算差额与应补税额</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5015BA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反推依据：购销发票金额合计（销8,553,593.01＋购5,638,478.56）；推算印花税计税依据14,192,071.57元、推算应缴4,257.62元（要件观察事实；是否构成该要件之情形须结合合同原件与申报表人工复核）</w:t>
            </w:r>
          </w:p>
        </w:tc>
      </w:tr>
    </w:tbl>
    <w:p w14:paraId="10BD7328">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2D242E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本项要定性为成立还是不成立，须先把材料补齐：本项检查需要4项材料，其中4项已提供同类资料（合同台账、全部应税凭证、印花税申报表、完税凭证）、但与本项要求的范围未逐字对应，须确认是否覆盖。</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42"/>
        <w:gridCol w:w="2323"/>
        <w:gridCol w:w="3056"/>
        <w:gridCol w:w="1222"/>
        <w:gridCol w:w="14058"/>
      </w:tblGrid>
      <w:tr w14:paraId="40E62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019AC3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45FC6A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CFABBE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A359AC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BF2758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5D048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F6C70E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5317C8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合同台账与全部应税凭证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199FBE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确定计税依据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07104F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512197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本项要求合同台账、全部应税凭证，未在已提供资料中逐字见到；清单中有类别相关的记账凭证，但二者不是同一份材料，须人工确认已提供资料中是否包含本项所需内容</w:t>
            </w:r>
          </w:p>
        </w:tc>
      </w:tr>
      <w:tr w14:paraId="17867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644E14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C69BED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印花税申报表与完税凭证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4BEEEC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核对申报情况</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82DA62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23205E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本项要求印花税申报表、完税凭证，未在已提供资料中逐字见到；清单中有类别相关的记账凭证，但二者不是同一份材料，须人工确认已提供资料中是否包含本项所需内容</w:t>
            </w:r>
          </w:p>
        </w:tc>
      </w:tr>
      <w:tr w14:paraId="4BE1D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817B9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710EEE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框架协议与实际结算单</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6A45DC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框架合同无金额时按实际结算计税</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2734B2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72B1AF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6ED79EF0">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51D6979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691682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印花税计税依据不足：合同金额与开票不符」逐条核对，未认定到任何一条构成要件成立；但本项已从账内资料中查明相关信号，且本项不等于已触碰红线、也不是违法认定。具体认定范围与需补充的资料见本项各段。判断本项是否成立，要看这几项标准是否同时满足：购销合同金额或实际结算金额与印花税计税依据存在差异；应税凭证未贴花或未申报；应纳税所得额差异金额占申报应纳税所得额比例超过行业基准税负率区间上沿（行业基准通用参考值，非税务机关官方口径，仅作线索参照）；以电子订单、框架协议隐瞒应税凭证未申报印花税；不属于下列正当情形：框架协议无具体金额，已按实际结算申报；属于免税凭证（如小额零星、农业保险合同）；已按核定征收方式申报。本轮从所报资料中直接核对到的事实是：由买卖合同应税凭据线索反推印花税计税依据 14,192,071.57 元（购销发票金额合计（销 8,553,593.01 ＋ 购 5,638,478.56）），推算应缴 4,257.62 元。本项检查共3环，各环实际读到的数据见上一段明细表。就资料来说，支撑材料严重不足，核心材料缺失（名称逐字对应已提供0项；另有4项已提供同类资料、范围须人工确认；企业尚未提交正当理由的书面证明，现有资料不足以排除本项涉嫌风险）。企业如果认为这不成立，通常可以说明：框架协议无具体金额，已按实际结算申报；属于免税凭证（如小额零星、农业保险合同）；已按核定征收方式申报。但这些说明能不能采信，要看有没有书面协议和原始单据，口头解释不能作为认定依据。综合以上，本项结论是疑似逐条要件尚未认定成立（结论只到「账内已读到与该风险指向一致的信号」这一层），判断可信度约60%（中等）。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 以行业基准人均营收（万）区间[15万~60万]为参照（来源 系统内置行业基准库；系统内置行业统计通用参考值，非税务机关官方口径，仅作线索参照、不构成判定依据）</w:t>
      </w:r>
    </w:p>
    <w:p w14:paraId="409153D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215A5A6B">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4CD01E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少缴印花税的风险（涉及印花税）。主管税务机关可依《税收征收管理法》第三十二条加收滞纳金；构成偷税、抗税、骗税的，依第六十三条等规定追缴税款、滞纳金并处罚款。是否构成偷税、以及是否移送，须由税务机关依法调查认定。</w:t>
      </w:r>
    </w:p>
    <w:p w14:paraId="2C3D24EB">
      <w:pPr>
        <w:keepNext w:val="0"/>
        <w:keepLines w:val="0"/>
        <w:widowControl/>
        <w:suppressLineNumbers w:val="0"/>
        <w:pBdr>
          <w:top w:val="none" w:color="auto" w:sz="0" w:space="0"/>
          <w:left w:val="single" w:color="C2410C" w:sz="18" w:space="0"/>
          <w:bottom w:val="none" w:color="auto" w:sz="0" w:space="0"/>
          <w:right w:val="none" w:color="auto" w:sz="0" w:space="0"/>
        </w:pBdr>
        <w:shd w:val="clear" w:fill="FFF7ED"/>
        <w:spacing w:before="0" w:beforeAutospacing="0" w:after="75" w:afterAutospacing="0" w:line="28" w:lineRule="atLeast"/>
        <w:ind w:left="0" w:right="0"/>
        <w:jc w:val="left"/>
        <w:rPr>
          <w:b/>
          <w:bCs/>
          <w:color w:val="9A3412"/>
          <w:sz w:val="19"/>
          <w:szCs w:val="19"/>
        </w:rPr>
      </w:pPr>
      <w:r>
        <w:rPr>
          <w:rFonts w:ascii="宋体" w:hAnsi="宋体" w:eastAsia="宋体" w:cs="宋体"/>
          <w:b/>
          <w:bCs/>
          <w:color w:val="9A3412"/>
          <w:kern w:val="0"/>
          <w:sz w:val="19"/>
          <w:szCs w:val="19"/>
          <w:bdr w:val="none" w:color="auto" w:sz="0" w:space="0"/>
          <w:shd w:val="clear" w:fill="FFF7ED"/>
          <w:lang w:val="en-US" w:eastAsia="zh-CN" w:bidi="ar"/>
        </w:rPr>
        <w:t>本项还包含以下风险信号</w:t>
      </w:r>
    </w:p>
    <w:p w14:paraId="13DD1DCB">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印花税 — 买卖合同税目税负须核对</w:t>
      </w:r>
    </w:p>
    <w:p w14:paraId="39C2B5F6">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终局：可自证清白</w:t>
      </w:r>
    </w:p>
    <w:p w14:paraId="2F8A7E20">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围绕「印花税 — 买卖合同税目税负须核对」，核对其所涉及的银行流水、合同文件、科目余额表等资料的真实性与账务、申报处理口径；对确认存在的差错，完成账务更正或申报更正，并留存更正凭证与情况说明；补齐上述资料后重新执行一键分析，由系统复查本事项是否已消除。</w:t>
      </w:r>
    </w:p>
    <w:p w14:paraId="0EDB1EAA">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0" w:beforeAutospacing="0" w:after="90" w:afterAutospacing="0" w:line="29" w:lineRule="atLeast"/>
        <w:ind w:left="0" w:right="0"/>
        <w:jc w:val="left"/>
        <w:rPr>
          <w:b/>
          <w:bCs/>
          <w:color w:val="991B1B"/>
          <w:sz w:val="20"/>
          <w:szCs w:val="20"/>
        </w:rPr>
      </w:pPr>
      <w:r>
        <w:rPr>
          <w:rFonts w:ascii="宋体" w:hAnsi="宋体" w:eastAsia="宋体" w:cs="宋体"/>
          <w:b/>
          <w:bCs/>
          <w:color w:val="991B1B"/>
          <w:kern w:val="0"/>
          <w:sz w:val="20"/>
          <w:szCs w:val="20"/>
          <w:bdr w:val="none" w:color="auto" w:sz="0" w:space="0"/>
          <w:shd w:val="clear" w:fill="FEF2F2"/>
          <w:lang w:val="en-US" w:eastAsia="zh-CN" w:bidi="ar"/>
        </w:rPr>
        <w:t>本项因缺资料未能查完</w:t>
      </w:r>
    </w:p>
    <w:p w14:paraId="6C30AA8F">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未收到「合同文件」</w:t>
      </w:r>
    </w:p>
    <w:p w14:paraId="20A6BB91">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34D64895">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由于资料条件不具备，本轮没法完成与“合同文件”相关的账、票、表、税、款交叉核对。目前仍无法排除相应的风险方向。涉及合同文件的检查结论不得显示为无异常或已经合规。</w:t>
      </w:r>
    </w:p>
    <w:p w14:paraId="0B788426">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企业应补充合同文件。如原资料客观上无法取得，可以提供能够证明同一事实的替代资料。</w:t>
      </w:r>
    </w:p>
    <w:p w14:paraId="53ABA9BC">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5E2E62EE">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未收到「其他税种申报表」</w:t>
      </w:r>
    </w:p>
    <w:p w14:paraId="6BA52046">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34644A30">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由于资料条件不具备，本轮没法完成与“其他税种申报表”相关的账、票、表、税、款交叉核对。目前仍无法排除相应的风险方向。涉及其他税种申报表的检查结论不得显示为无异常或已经合规。</w:t>
      </w:r>
    </w:p>
    <w:p w14:paraId="00999D13">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企业应补充其他税种申报表。如原资料客观上无法取得，可以提供能够证明同一事实的替代资料。</w:t>
      </w:r>
    </w:p>
    <w:p w14:paraId="59EED7CD">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0874FEE0">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60" w:beforeAutospacing="0" w:after="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EF2F2"/>
          <w:lang w:val="en-US" w:eastAsia="zh-CN" w:bidi="ar"/>
        </w:rPr>
        <w:t>（本项结论在资料补齐前不予认定；补齐后重新执行一键分析即完成本项核对。）</w:t>
      </w:r>
    </w:p>
    <w:p w14:paraId="5AD79EF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3A517A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在验证前不能认定本项成立：本项的直接证据尚为「须核对」，属前置条件未满足。</w:t>
      </w:r>
    </w:p>
    <w:p w14:paraId="27FC03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18E480E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0076836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直接证据：合同台账与全部应税凭证　</w:t>
      </w:r>
      <w:r>
        <w:rPr>
          <w:rFonts w:ascii="宋体" w:hAnsi="宋体" w:eastAsia="宋体" w:cs="宋体"/>
          <w:color w:val="64748B"/>
          <w:kern w:val="0"/>
          <w:sz w:val="18"/>
          <w:szCs w:val="18"/>
          <w:bdr w:val="none" w:color="auto" w:sz="0" w:space="0"/>
          <w:shd w:val="clear" w:fill="F5F3FF"/>
          <w:lang w:val="en-US" w:eastAsia="zh-CN" w:bidi="ar"/>
        </w:rPr>
        <w:t>现状：须核对；证明目的：确定计税依据</w:t>
      </w:r>
    </w:p>
    <w:p w14:paraId="317D543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「合同台账与全部应税凭证」本轮未逐字见到，只是「同类资料已提供」；若「合同台账与全部应税凭证」其实不含本项所需内容，本项的这一支撑即为空。</w:t>
      </w:r>
    </w:p>
    <w:p w14:paraId="149A9FF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经核对，已提供的同类资料中确实包含本项所需内容且口径一致 ⇒ 支撑成立；若确认不包含 ⇒ 本项应退回「资料不足、不作认定」。</w:t>
      </w:r>
    </w:p>
    <w:p w14:paraId="072E0C7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03B0E29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直接证据：印花税申报表与完税凭证　</w:t>
      </w:r>
      <w:r>
        <w:rPr>
          <w:rFonts w:ascii="宋体" w:hAnsi="宋体" w:eastAsia="宋体" w:cs="宋体"/>
          <w:color w:val="64748B"/>
          <w:kern w:val="0"/>
          <w:sz w:val="18"/>
          <w:szCs w:val="18"/>
          <w:bdr w:val="none" w:color="auto" w:sz="0" w:space="0"/>
          <w:shd w:val="clear" w:fill="F5F3FF"/>
          <w:lang w:val="en-US" w:eastAsia="zh-CN" w:bidi="ar"/>
        </w:rPr>
        <w:t>现状：须核对；证明目的：核对申报情况</w:t>
      </w:r>
    </w:p>
    <w:p w14:paraId="6807D77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情形与「合同台账与全部应税凭证」相同；不再重复同一段自我反驳。</w:t>
      </w:r>
    </w:p>
    <w:p w14:paraId="6B2F56C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同上：该情形一旦核对通过，「印花税申报表与完税凭证」这一条的支撑即成立。</w:t>
      </w:r>
    </w:p>
    <w:p w14:paraId="77027B6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7CED4ED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反证：框架协议与实际结算单　</w:t>
      </w:r>
      <w:r>
        <w:rPr>
          <w:rFonts w:ascii="宋体" w:hAnsi="宋体" w:eastAsia="宋体" w:cs="宋体"/>
          <w:color w:val="64748B"/>
          <w:kern w:val="0"/>
          <w:sz w:val="18"/>
          <w:szCs w:val="18"/>
          <w:bdr w:val="none" w:color="auto" w:sz="0" w:space="0"/>
          <w:shd w:val="clear" w:fill="F5F3FF"/>
          <w:lang w:val="en-US" w:eastAsia="zh-CN" w:bidi="ar"/>
        </w:rPr>
        <w:t>现状：待企业提交；证明目的：框架合同无金额时按实际结算计税</w:t>
      </w:r>
    </w:p>
    <w:p w14:paraId="3DABE50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「框架协议与实际结算单」本轮未提供，是支撑链上最弱的一环；缺它就无法认定本项成立 —— 只能列为「资料未齐、不作认定」。</w:t>
      </w:r>
    </w:p>
    <w:p w14:paraId="40EF4DD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「框架协议与实际结算单」补齐后，若显示相关业务真实、口径一致 ⇒ 本项不成立（可自证清白）。</w:t>
      </w:r>
    </w:p>
    <w:p w14:paraId="179D1CF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2E07425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材料齐全程度（取值 0.0）</w:t>
      </w:r>
    </w:p>
    <w:p w14:paraId="2A70C72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26465A0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6C8EC01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6E78160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285D1FD9">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框架协议与实际结算单</w:t>
      </w:r>
    </w:p>
    <w:p w14:paraId="38BE0CD5">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4BF2EE95">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433706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疑点8：附加税费计税依据与增值税不匹配</w:t>
      </w:r>
      <w:r>
        <w:rPr>
          <w:rFonts w:ascii="宋体" w:hAnsi="宋体" w:eastAsia="宋体" w:cs="宋体"/>
          <w:b/>
          <w:bCs/>
          <w:color w:val="FFFFFF"/>
          <w:kern w:val="0"/>
          <w:sz w:val="18"/>
          <w:szCs w:val="18"/>
          <w:bdr w:val="none" w:color="auto" w:sz="0" w:space="0"/>
          <w:shd w:val="clear" w:fill="B91C1C"/>
          <w:lang w:val="en-US" w:eastAsia="zh-CN" w:bidi="ar"/>
        </w:rPr>
        <w:t>办理顺序：第七项</w:t>
      </w:r>
    </w:p>
    <w:p w14:paraId="28C6E273">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少缴附加税费。从本次上传资料来看，本企业本项已查明的风险；未认定到构成要件的可能性中等，但能补全尚缺的2项资料来排除此项税务风险嫌疑。本项涉税嫌疑，涉及城市维护建设税、教育费附加、地方教育附加；潜在税额影响：未量化（缺明确金额，须补资料后测算）。</w:t>
      </w:r>
    </w:p>
    <w:p w14:paraId="4C0BFE0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62FC5D1F">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6F8006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之所以值得查，具体理由是：城建税及教育费附加依《城市维护建设税法》《征收教育费附加的暂行规定》须随增值税附征，二者存在法定勾稽关系。本项对应的风险指标是附加税费计税依据与增值税不匹配——凡出现上述情形即纳入检查范围；是否成立，另按本项构成要件逐条核对（见下）。</w:t>
      </w:r>
    </w:p>
    <w:p w14:paraId="74A9475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6344CCC3">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1C7C18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附加税费计税依据与增值税不匹配认定到任何一条构成要件：账内检出需进一步核实的信号——之所以值得查，具体理由是：城建税及教育费附加依《城市维护建设税法》《征收教育费附加的暂行规定》须随增值税附征，二者存在法定勾稽关系。下列要件清单是本项对应的判断标准，逐条核对结果见下：</w:t>
      </w:r>
    </w:p>
    <w:p w14:paraId="6A7E898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本项（附加税费计税依据与增值税不匹配）：经核对，本企业未涉及任何一条构成要件（仅已单独核对且符合情形的要件计入）；本项共 4 条构成要件：已单独核对 0 条（符合情形 0 条、未发现符合 0 条、有信号但未达数值门槛 0 条）；未形成核对结论 0 条（资料已取得但缺对应核对证据，不作未发现符合认定）；未单独核对 4 条（独立数据源本轮未取得，均不计入涉及）。</w:t>
      </w:r>
    </w:p>
    <w:p w14:paraId="14713F9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附加税费计税依据与同期实际缴纳的增值税、消费税存在差异（未单独核对（独立数据源本轮未取得）；独立数据源：增值税申报表、附加税费申报表｜须核对）</w:t>
      </w:r>
    </w:p>
    <w:p w14:paraId="79FDF7B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差额无合理说明（未单独核对（独立数据源本轮未取得）；独立数据源：附加税费申报表、增值税申报表｜须核对）</w:t>
      </w:r>
    </w:p>
    <w:p w14:paraId="761575F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免抵增值税额未作为城市维护建设税计税依据，依据错误（未单独核对（独立数据源本轮未取得）；独立数据源：附加税费申报表、增值税申报表｜须核对）</w:t>
      </w:r>
    </w:p>
    <w:p w14:paraId="140E8F2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不属于政策性减免、退税退库、跨期缴纳等法定或正当情形（未单独核对（独立数据源本轮未取得）；独立数据源：附加税费申报表、增值税申报表｜须核对）</w:t>
      </w:r>
    </w:p>
    <w:p w14:paraId="033AE9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城市维护建设税法》第二条（2020年公布；主席令第五十一号（2020年8月11日第十三届全国人民代表大会常务委员会第二十一次会议通过），现行有效）；《征收教育费附加的暂行规定》第三条（2011年修订；国务院令第588号（2011年1月8日修订），现行有效）。</w:t>
      </w:r>
    </w:p>
    <w:p w14:paraId="61CCBE9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36"/>
        <w:gridCol w:w="8254"/>
        <w:gridCol w:w="4511"/>
        <w:gridCol w:w="1926"/>
        <w:gridCol w:w="5374"/>
      </w:tblGrid>
      <w:tr w14:paraId="27C16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B7805A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6856CB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4C8B2A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4D3B2B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AD259D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35012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ED8074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7F1723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附加税费计税依据与同期实际缴纳的增值税、消费税存在差异</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81DC7F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增值税申报表、附加税费申报表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92A8AF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8084CE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7334B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8F0CD8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2A439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差额无合理说明</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2F6C5C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附加税费申报表、增值税申报表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8A8E96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B564C1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78F8E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40FAA4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DF77E4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免抵增值税额未作为城市维护建设税计税依据，依据错误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D8826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附加税费申报表、增值税申报表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2D1EF1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236278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0EDBA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202BF1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5B5898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不属于政策性减免、退税退库、跨期缴纳等法定或正当情形</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68942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附加税费申报表、增值税申报表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96AEF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0104C9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5286B27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71407B0C">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61BA5E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增值税申报表、附加税费申报表中提取各期增值税额与附加税费计税依据，看到实缴增值税205,744.69元，按法定附征率测算应随征城建税及附加约24,689.36元（本轮已取得的申报表中未含附加税费申报字段，差异无法核实）；第2步从对照表（本轮未提供）中逐期计算差额，看到因缺少资料（须核对是否已提供：对照表）未取得本环节数据，该部分无法核对。其中第2环因缺少资料未取得数据，已计入检查受限范围。</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54"/>
        <w:gridCol w:w="3202"/>
        <w:gridCol w:w="3816"/>
        <w:gridCol w:w="13729"/>
      </w:tblGrid>
      <w:tr w14:paraId="5A627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667286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环节</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D2E569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对应资料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2277E0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做了什么</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A7F183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实际看到的数据</w:t>
            </w:r>
          </w:p>
        </w:tc>
      </w:tr>
      <w:tr w14:paraId="2C326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07554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9C989E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增值税申报表、附加税费申报表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F6714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提取各期增值税额与附加税费计税依据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7DDA99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实缴增值税205,744.69元；按法定附征率测算应随征城建税及附加约24,689.36元（本轮已取得的申报表中未含附加税费申报字段；差异无法核实）</w:t>
            </w:r>
          </w:p>
        </w:tc>
      </w:tr>
      <w:tr w14:paraId="69512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070D65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0AAEE4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对照表（本轮未提供）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D92F5F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逐期计算差额</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02ECC2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因缺少资料（须核对是否已提供：对照表）未取得本环节数据；该部分无法核对</w:t>
            </w:r>
          </w:p>
        </w:tc>
      </w:tr>
    </w:tbl>
    <w:p w14:paraId="60992934">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7402500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本项要定性为成立还是不成立，须先把材料补齐：本项检查需要2项材料，其中2项已提供同类资料（增值税、附加税费申报表）、但与本项要求的范围未逐字对应，须确认是否覆盖。</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5"/>
        <w:gridCol w:w="2464"/>
        <w:gridCol w:w="4267"/>
        <w:gridCol w:w="1202"/>
        <w:gridCol w:w="12743"/>
      </w:tblGrid>
      <w:tr w14:paraId="5716E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85412D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7D8497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C94D1F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CDFBDD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AAA53BA">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19977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9D7BD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DFFD71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增值税与附加税费申报表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A82782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核对计税依据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E68D97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B79383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本项要求增值税、附加税费申报表；其中增值税申报表本轮已提供，但附加税费申报表未在已提供资料中逐字见到，须人工确认已提供资料中是否包含该内容</w:t>
            </w:r>
          </w:p>
        </w:tc>
      </w:tr>
      <w:tr w14:paraId="2B5FE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A65831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DEAAF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免抵退税或进项留抵的说明</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C20501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留抵期间无实缴增值税，附加计税依据为零属正常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186387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8D9872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57D06E1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44DAB998">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48B96C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附加税费计税依据与增值税不匹配」逐条核对，未认定到任何一条构成要件成立；但本项已从账内资料中查明相关信号，且本项不等于已触碰红线、也不是违法认定。具体认定范围与需补充的资料见本项各段。判断本项是否成立，要看这几项标准是否同时满足：附加税费计税依据与同期实际缴纳的增值税、消费税存在差异；差额无合理说明；免抵增值税额未作为城市维护建设税计税依据，依据错误；不属于政策性减免、退税退库、跨期缴纳等法定或正当情形。本轮从所报资料中直接核对到的事实是：之所以值得查，具体理由是：城建税及教育费附加依《城市维护建设税法》《征收教育费附加的暂行规定》须随增值税附征，二者存在法定勾稽关系。本轮实际读取到的资料是：纳税申报表。本项检查共2环，其中第2环因本轮未取得该环节所需资料，未取得数据（各环实际读到的数据见上一段明细表）。就资料来说，支撑材料严重不足，核心材料缺失（名称逐字对应已提供0项；另有2项已提供同类资料、范围须人工确认；企业尚未提交正当理由的书面证明，现有资料不足以排除本项涉嫌风险）。企业如果认为这不成立，通常可以说明：当期增值税留抵无实缴，附加税费计税依据为零；免抵退税的城建税处理差异；已按现行规定将免抵增值税额计入城市维护建设税计税依据并补缴，提供申报调整可证。但这些说明能不能采信，要看有没有书面协议和原始单据，口头解释不能作为认定依据。综合以上，本项结论是疑似逐条要件尚未认定成立（结论只到「账内已读到与该风险指向一致的信号」这一层），判断可信度约55%（中等）。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w:t>
      </w:r>
    </w:p>
    <w:p w14:paraId="319EF21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7253932B">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6F9789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少缴附加税费的风险（涉及城市维护建设税、教育费附加、地方教育附加）。主管税务机关可依《税收征收管理法》第三十二条加收滞纳金；构成偷税、抗税、骗税的，依第六十三条等规定追缴税款、滞纳金并处罚款。是否构成偷税、以及是否移送，须由税务机关依法调查认定。</w:t>
      </w:r>
    </w:p>
    <w:p w14:paraId="3804BFE6">
      <w:pPr>
        <w:keepNext w:val="0"/>
        <w:keepLines w:val="0"/>
        <w:widowControl/>
        <w:suppressLineNumbers w:val="0"/>
        <w:pBdr>
          <w:top w:val="none" w:color="auto" w:sz="0" w:space="0"/>
          <w:left w:val="single" w:color="C2410C" w:sz="18" w:space="0"/>
          <w:bottom w:val="none" w:color="auto" w:sz="0" w:space="0"/>
          <w:right w:val="none" w:color="auto" w:sz="0" w:space="0"/>
        </w:pBdr>
        <w:shd w:val="clear" w:fill="FFF7ED"/>
        <w:spacing w:before="0" w:beforeAutospacing="0" w:after="75" w:afterAutospacing="0" w:line="28" w:lineRule="atLeast"/>
        <w:ind w:left="0" w:right="0"/>
        <w:jc w:val="left"/>
        <w:rPr>
          <w:b/>
          <w:bCs/>
          <w:color w:val="9A3412"/>
          <w:sz w:val="19"/>
          <w:szCs w:val="19"/>
        </w:rPr>
      </w:pPr>
      <w:r>
        <w:rPr>
          <w:rFonts w:ascii="宋体" w:hAnsi="宋体" w:eastAsia="宋体" w:cs="宋体"/>
          <w:b/>
          <w:bCs/>
          <w:color w:val="9A3412"/>
          <w:kern w:val="0"/>
          <w:sz w:val="19"/>
          <w:szCs w:val="19"/>
          <w:bdr w:val="none" w:color="auto" w:sz="0" w:space="0"/>
          <w:shd w:val="clear" w:fill="FFF7ED"/>
          <w:lang w:val="en-US" w:eastAsia="zh-CN" w:bidi="ar"/>
        </w:rPr>
        <w:t>本项还包含以下风险信号</w:t>
      </w:r>
    </w:p>
    <w:p w14:paraId="10BCED97">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城建税及教育费附加随增值税附征勾稽</w:t>
      </w:r>
    </w:p>
    <w:p w14:paraId="5760140D">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等级：低风险　|　终局：可自证清白</w:t>
      </w:r>
    </w:p>
    <w:p w14:paraId="4118F5BB">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围绕「城建税及教育费附加随增值税附征勾稽」，核对其所依据的原始凭证与账务、申报处理口径；对确认存在的差错，完成账务更正或申报更正，并留存更正凭证与情况说明；补齐上述资料后重新执行一键分析，由系统复查本事项是否已消除。</w:t>
      </w:r>
    </w:p>
    <w:p w14:paraId="26BDDF2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638791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在验证前不能认定本项成立：本项的直接证据尚为「须核对」，属前置条件未满足。</w:t>
      </w:r>
    </w:p>
    <w:p w14:paraId="7B84F7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1BCC87C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121899D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直接证据：增值税与附加税费申报表　</w:t>
      </w:r>
      <w:r>
        <w:rPr>
          <w:rFonts w:ascii="宋体" w:hAnsi="宋体" w:eastAsia="宋体" w:cs="宋体"/>
          <w:color w:val="64748B"/>
          <w:kern w:val="0"/>
          <w:sz w:val="18"/>
          <w:szCs w:val="18"/>
          <w:bdr w:val="none" w:color="auto" w:sz="0" w:space="0"/>
          <w:shd w:val="clear" w:fill="F5F3FF"/>
          <w:lang w:val="en-US" w:eastAsia="zh-CN" w:bidi="ar"/>
        </w:rPr>
        <w:t>现状：须核对；证明目的：核对计税依据</w:t>
      </w:r>
    </w:p>
    <w:p w14:paraId="231C7C7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「增值税与附加税费申报表」本轮未逐字见到，只是「同类资料已提供」；若「增值税与附加税费申报表」其实不含本项所需内容，本项的这一支撑即为空。</w:t>
      </w:r>
    </w:p>
    <w:p w14:paraId="4BF342A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经核对，已提供的同类资料中确实包含本项所需内容且口径一致 ⇒ 支撑成立；若确认不包含 ⇒ 本项应退回「资料不足、不作认定」。</w:t>
      </w:r>
    </w:p>
    <w:p w14:paraId="1945BCD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5E48247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反证：免抵退税或进项留抵的说明　</w:t>
      </w:r>
      <w:r>
        <w:rPr>
          <w:rFonts w:ascii="宋体" w:hAnsi="宋体" w:eastAsia="宋体" w:cs="宋体"/>
          <w:color w:val="64748B"/>
          <w:kern w:val="0"/>
          <w:sz w:val="18"/>
          <w:szCs w:val="18"/>
          <w:bdr w:val="none" w:color="auto" w:sz="0" w:space="0"/>
          <w:shd w:val="clear" w:fill="F5F3FF"/>
          <w:lang w:val="en-US" w:eastAsia="zh-CN" w:bidi="ar"/>
        </w:rPr>
        <w:t>现状：待企业提交；证明目的：留抵期间无实缴增值税，附加计税依据为零属正常</w:t>
      </w:r>
    </w:p>
    <w:p w14:paraId="68E3FDE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「免抵退税或进项留抵的说明」本轮未提供，是支撑链上最弱的一环；缺它就无法认定本项成立 —— 只能列为「资料未齐、不作认定」。</w:t>
      </w:r>
    </w:p>
    <w:p w14:paraId="1E859EC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「免抵退税或进项留抵的说明」补齐后，若显示相关业务真实、口径一致 ⇒ 本项不成立（可自证清白）。</w:t>
      </w:r>
    </w:p>
    <w:p w14:paraId="396D863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386EB7C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材料齐全程度（取值 0.0）</w:t>
      </w:r>
    </w:p>
    <w:p w14:paraId="19FF0AF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6E6F2C2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17934CC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53BBA3E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2A98553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免抵退税或进项留抵的说明</w:t>
      </w:r>
    </w:p>
    <w:p w14:paraId="0D326D01">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50E58D50">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67DA82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疑点9：企业所得税贡献率偏低（对应风险指标：长期亏损仍持续经营：收入或成本不实；本项未认定到该指标的任何一条构成要件，也未就亏损这一前提作出认定）</w:t>
      </w:r>
      <w:r>
        <w:rPr>
          <w:rFonts w:ascii="宋体" w:hAnsi="宋体" w:eastAsia="宋体" w:cs="宋体"/>
          <w:b/>
          <w:bCs/>
          <w:color w:val="FFFFFF"/>
          <w:kern w:val="0"/>
          <w:sz w:val="18"/>
          <w:szCs w:val="18"/>
          <w:bdr w:val="none" w:color="auto" w:sz="0" w:space="0"/>
          <w:shd w:val="clear" w:fill="B91C1C"/>
          <w:lang w:val="en-US" w:eastAsia="zh-CN" w:bidi="ar"/>
        </w:rPr>
        <w:t>办理顺序：第九项</w:t>
      </w:r>
    </w:p>
    <w:p w14:paraId="71EA79A7">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隐瞒收入、虚增成本或转移利润。从本次上传资料来看，本企业本项已查明的风险；未认定到构成要件的可能性中等，但能补全尚缺的3项资料来排除此项税务风险嫌疑。本项涉税嫌疑，涉及企业所得税；潜在税额影响：未量化（缺明确金额，须补资料后测算）。</w:t>
      </w:r>
    </w:p>
    <w:p w14:paraId="6521645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31B3DB6F">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52A1D8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本项之所以列入检查，是因为出现了以下情况：企业所得税贡献率约0.01%（账面所得税费用 / 主营业务收入），低于常规水平。本项对应的风险指标是长期亏损仍持续经营：收入或成本不实——凡出现上述情形即纳入检查范围；是否成立，另按本项构成要件逐条核对（见下）。</w:t>
      </w:r>
    </w:p>
    <w:p w14:paraId="017AD46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7A837D9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236F9A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经检查，本企业未就长期亏损仍持续经营：收入或成本不实认定到任何一条构成要件：账内检出需进一步核实的信号——企业所得税贡献率约0.01%（账面所得税费用 / 主营业务收入），低于常规水平。下列要件清单是本项对应的判断标准，逐条核对结果见下：</w:t>
      </w:r>
    </w:p>
    <w:p w14:paraId="7EACB38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本项（企业所得税贡献率偏低（对应风险指标：）：经核对，本企业未涉及任何一条构成要件（仅已单独核对且符合情形的要件计入）；本项共 5 条构成要件：已单独核对 0 条（符合情形 0 条、未发现符合 0 条、有信号但未达数值门槛 0 条）；未形成核对结论 0 条（资料已取得但缺对应核对证据，不作未发现符合认定）；未单独核对 5 条（独立数据源本轮未取得，均不计入涉及）。</w:t>
      </w:r>
    </w:p>
    <w:p w14:paraId="56E58ED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申报亏损的同时经营规模持续扩大（未单独核对（独立数据源本轮未取得）；独立数据源：利润表、销项发票｜须核对）</w:t>
      </w:r>
    </w:p>
    <w:p w14:paraId="2E7A9E2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亏损额与经营规模、人员、产能不匹配（未单独核对（独立数据源本轮未取得）；独立数据源：利润表、费用明细账｜须核对）</w:t>
      </w:r>
    </w:p>
    <w:p w14:paraId="2C827A0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无合理解释（如市场培育期、大额投入期）（未单独核对（独立数据源本轮未取得）；独立数据源：企业所得税申报表、费用明细账｜须核对）</w:t>
      </w:r>
    </w:p>
    <w:p w14:paraId="4A30946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连续亏损但仍持续新增投资、扩大产能，收入或成本不实信号明显（未单独核对（独立数据源本轮未取得）；独立数据源：利润表、企业所得税申报表｜缺失）</w:t>
      </w:r>
    </w:p>
    <w:p w14:paraId="3EC3359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不属于下列正当情形：市场培育期、前期投入大（有投入计划与凭证）；行业周期性低谷；新业务板块拖累且已单独核算（未单独核对（独立数据源本轮未取得）；独立数据源：利润表、企业所得税申报表、费用明细账｜须核对）</w:t>
      </w:r>
    </w:p>
    <w:p w14:paraId="1FFB54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税收征收管理法》第三十五条：纳税人有下列情形之一的，税务机关有权核定其应纳税额：依照法律、行政法规的规定可以不设置账簿的；应当设置但未设置账簿的；擅自销毁账簿或者拒不提供纳税资料的；虽设置账簿，但账目混乱或者成本资料、收入凭证、费用凭证残缺不全，难以查账的；发生纳税义务，未按照规定的期限办理纳税申报，经税务机关要求限期申报，逾期仍不申报的；纳税人申报的计税依据明显偏低，又无正当理由的。（2015年修正；主席令第二十三号（2015年4月24日第十二届全国人民代表大会常务委员会第十四次会议修正），现行有效）；《企业所得税法》第五条：企业每一纳税年度的收入总额，减除不征税收入、免税收入、各项扣除以及允许弥补的以前年度亏损后的余额，为应纳税所得额。（2018年修正；主席令第二十三号（2018年12月29日第十三届全国人民代表大会常务委员会第七次会议修正），现行有效）。</w:t>
      </w:r>
    </w:p>
    <w:p w14:paraId="2B4B237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70"/>
        <w:gridCol w:w="11258"/>
        <w:gridCol w:w="4050"/>
        <w:gridCol w:w="1378"/>
        <w:gridCol w:w="3845"/>
      </w:tblGrid>
      <w:tr w14:paraId="41281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671AFA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739807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597B6F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397CA4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3F1E15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1A12C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CFDE6F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A727D3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申报亏损的同时经营规模持续扩大</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EA295B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利润表、销项发票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02D3AB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66D3F6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05C33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77DA25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17CE42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亏损额与经营规模、人员、产能不匹配</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B5F6F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利润表、费用明细账</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4C5B94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2FA322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373B6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2A917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0AF3A7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无合理解释（如市场培育期、大额投入期）</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E8ED6A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企业所得税申报表、费用明细账</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4A4685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E31282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01B18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2378F8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F76343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连续亏损但仍持续新增投资、扩大产能，收入或成本不实信号明显</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7DF2B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利润表、企业所得税申报表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4244C1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55B41C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729C8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289A42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598696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不属于下列正当情形：市场培育期、前期投入大（有投入计划与凭证）；行业周期性低谷；新业务板块拖累且已单独核算</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9D66FA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利润表、企业所得税申报表、费用明细账</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A4281A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004209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4867A7C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20D0B0E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071F63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企业所得税申报表、利润表（本轮未提供）中提取历年盈亏与收入规模，看到因缺少资料（企业所得税申报表、利润表、企业所得税申报表、利润表）未取得本环节数据，该部分无法核对；第2步从销项发票、人员、产能数据中比对经营规模与亏损额，看到本环节所需资料中已提供部分、尚缺须核对是否已提供：人员、须核对是否已提供：产能数据，该环节未能完成核对（属检查程序待完善项，不计入资料缺失）；第3步从费用明细账中检查大额费用列支真实性，看到本环节未产出对题读数（所需资料已在本轮提供，属检查程序待完善项）。其中第1环因缺少资料未取得数据，已计入检查受限范围；第2环未取到该环节所需的 须核对是否已提供：人员、须核对是否已提供：产能数据，未产出可展示数据、第3环所需资料已在本轮提供、但该环节未产出可展示数据（属检查程序待完善项，不计入资料缺失，不影响资料齐备性判断）。</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23"/>
        <w:gridCol w:w="4090"/>
        <w:gridCol w:w="2506"/>
        <w:gridCol w:w="14182"/>
      </w:tblGrid>
      <w:tr w14:paraId="3974F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030DDF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环节</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ECA83D0">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对应资料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74F8AB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做了什么</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B085B4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实际看到的数据</w:t>
            </w:r>
          </w:p>
        </w:tc>
      </w:tr>
      <w:tr w14:paraId="793BD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FDB145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019ED7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企业所得税申报表、利润表（本轮未提供）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213731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提取历年盈亏与收入规模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C7EFBE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因缺少资料（企业所得税申报表、利润表、企业所得税申报表、利润表）未取得本环节数据；该部分无法核对</w:t>
            </w:r>
          </w:p>
        </w:tc>
      </w:tr>
      <w:tr w14:paraId="033C7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3BAC11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D3FDF3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销项发票、人员、产能数据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0C461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比对经营规模与亏损额</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ED2D89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本环节所需资料中已提供部分、尚缺须核对是否已提供：人员、须核对是否已提供：产能数据；该环节未能完成核对（属检查程序待完善项；不计入资料缺失）</w:t>
            </w:r>
          </w:p>
        </w:tc>
      </w:tr>
      <w:tr w14:paraId="3D2D6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8CA4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4D8BB2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费用明细账</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44F28D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检查大额费用列支真实性</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B628A2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本环节未产出对题读数（所需资料已在本轮提供；属检查程序待完善项）</w:t>
            </w:r>
          </w:p>
        </w:tc>
      </w:tr>
    </w:tbl>
    <w:p w14:paraId="3E67C894">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7CBFD4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本项要定性为成立还是不成立，须先把材料补齐：本项检查需要4项材料，目前没有一项材料与本项要求对应；确未提供的有4项（历年财务报表、审计报告、亏损原因说明、经营计划）。</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94"/>
        <w:gridCol w:w="4676"/>
        <w:gridCol w:w="3834"/>
        <w:gridCol w:w="1870"/>
        <w:gridCol w:w="9727"/>
      </w:tblGrid>
      <w:tr w14:paraId="502AF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ECF0D1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9CBFB1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4684C0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6516B6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8775F3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2559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AD9D7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7C0E93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历年财务报表与审计报告</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495F48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还原真实盈亏</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CF595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A155D2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本轮未提供本项所需材料（历年财务报表、审计报告），无法组织本项证据</w:t>
            </w:r>
          </w:p>
        </w:tc>
      </w:tr>
      <w:tr w14:paraId="7EA21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D103E5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3DCAFB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亏损原因说明与经营计划</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1A4E90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解释亏损合理性</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967F8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DED841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本轮未提供本项所需材料（亏损原因说明、经营计划），无法组织本项证据</w:t>
            </w:r>
          </w:p>
        </w:tc>
      </w:tr>
      <w:tr w14:paraId="1225F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55762B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ADF800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市场培育期或大额投入的证明材料</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AF6B85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战略投入导致的亏损属正常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E379C9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6BC07A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134CA79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075711C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568F3F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本项在账内检出信号——企业所得税贡献率约0.01%（账面所得税费用 / 主营业务收入），低于常规水平。主营业务收入6,636,800.57元，净利润402,368.09元，但能否成立取决于工商、税务、海关、银行等外部数据的核实结果，现有资料不足以作出定性认定。判断本项是否成立，要看这几项标准是否同时满足：申报亏损的同时经营规模持续扩大；亏损额与经营规模、人员、产能不匹配；无合理解释（如市场培育期、大额投入期）；连续亏损但仍持续新增投资、扩大产能，收入或成本不实信号明显；不属于下列正当情形：市场培育期、前期投入大（有投入计划与凭证）；行业周期性低谷；新业务板块拖累且已单独核算。本轮从所报资料中直接核对到的事实是：企业所得税贡献率约0.01%（账面所得税费用 / 主营业务收入），低于常规水平。本项检查共3环，其中第1环、第2环、第3环因本轮未取得该环节所需资料，未取得数据（各环实际读到的数据见上一段明细表）。就资料来说，支撑材料严重不足，核心材料缺失（名称逐字对应已提供0项；尚缺：历年财务报表与审计报告、亏损原因说明与经营计划（属资产负债表、利润表类）；企业尚未提交正当理由的书面证明，现有资料不足以排除本项涉嫌风险）。综合以上，本项结论是账内检出需外部数据核实的信号（不作定性，待外部核实后再判断），判断可信度约57%（中等）。这一项不属于本轮能自行定论的事项：账内信号已经读到，但认定所需的信息在税务端与跨部门数据池（工商登记、开票环境、参保与注销、报关收汇、账户实名等），单账套拿不到，须由主管机关调取或企业补充外部资料后再判断；本轮既不认定违法，也不予排除。 需要说明：本项尚未认定到该指标的构成要件，也未就本风险指标名称中的亏损前提本身作出认定（该前提是否成立须以企业申报与账面数据另行核对）。</w:t>
      </w:r>
    </w:p>
    <w:p w14:paraId="70973FC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1D3776B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301DAD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隐瞒收入、虚增成本或转移利润的风险（涉及企业所得税）。主管税务机关可依《税收征收管理法》第三十二条加收滞纳金；构成偷税、抗税、骗税的，依第六十三条等规定追缴税款、滞纳金并处罚款。是否构成偷税、以及是否移送，须由税务机关依法调查认定。</w:t>
      </w:r>
    </w:p>
    <w:p w14:paraId="63D2478A">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0" w:beforeAutospacing="0" w:after="90" w:afterAutospacing="0" w:line="29" w:lineRule="atLeast"/>
        <w:ind w:left="0" w:right="0"/>
        <w:jc w:val="left"/>
        <w:rPr>
          <w:b/>
          <w:bCs/>
          <w:color w:val="991B1B"/>
          <w:sz w:val="20"/>
          <w:szCs w:val="20"/>
        </w:rPr>
      </w:pPr>
      <w:r>
        <w:rPr>
          <w:rFonts w:ascii="宋体" w:hAnsi="宋体" w:eastAsia="宋体" w:cs="宋体"/>
          <w:b/>
          <w:bCs/>
          <w:color w:val="991B1B"/>
          <w:kern w:val="0"/>
          <w:sz w:val="20"/>
          <w:szCs w:val="20"/>
          <w:bdr w:val="none" w:color="auto" w:sz="0" w:space="0"/>
          <w:shd w:val="clear" w:fill="FEF2F2"/>
          <w:lang w:val="en-US" w:eastAsia="zh-CN" w:bidi="ar"/>
        </w:rPr>
        <w:t>本项因缺资料未能查完</w:t>
      </w:r>
    </w:p>
    <w:p w14:paraId="17F4B8C0">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未收到「利润表」</w:t>
      </w:r>
    </w:p>
    <w:p w14:paraId="237892D6">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449F2A52">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由于资料条件不具备，本轮没法完成与“利润表”相关的账、票、表、税、款交叉核对。目前仍无法排除相应的风险方向。涉及利润表的检查结论不得显示为无异常或已经合规。</w:t>
      </w:r>
    </w:p>
    <w:p w14:paraId="2653B36F">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企业应补充利润表。如原资料客观上无法取得，可以提供能够证明同一事实的替代资料。</w:t>
      </w:r>
    </w:p>
    <w:p w14:paraId="2B1DC544">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3DCAAEC0">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未收到「企业所得税申报表」</w:t>
      </w:r>
    </w:p>
    <w:p w14:paraId="6B25878A">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3ED907C2">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由于资料条件不具备，本轮没法完成与“企业所得税申报表”相关的账、票、表、税、款交叉核对。目前仍无法排除相应的风险方向。涉及企业所得税申报表的检查结论不得显示为无异常或已经合规。</w:t>
      </w:r>
    </w:p>
    <w:p w14:paraId="193F3E32">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企业应补充企业所得税申报表。如原资料客观上无法取得，可以提供能够证明同一事实的替代资料。</w:t>
      </w:r>
    </w:p>
    <w:p w14:paraId="5B5F241E">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05319233">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60" w:beforeAutospacing="0" w:after="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EF2F2"/>
          <w:lang w:val="en-US" w:eastAsia="zh-CN" w:bidi="ar"/>
        </w:rPr>
        <w:t>（本项结论在资料补齐前不予认定；补齐后重新执行一键分析即完成本项核对。）</w:t>
      </w:r>
    </w:p>
    <w:p w14:paraId="36F2014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73B9635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在验证前不能认定本项成立：本项的直接证据尚为「缺失」，属前置条件未满足。</w:t>
      </w:r>
    </w:p>
    <w:p w14:paraId="08EE45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26DC743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51BDEA5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直接证据：历年财务报表与审计报告　</w:t>
      </w:r>
      <w:r>
        <w:rPr>
          <w:rFonts w:ascii="宋体" w:hAnsi="宋体" w:eastAsia="宋体" w:cs="宋体"/>
          <w:color w:val="64748B"/>
          <w:kern w:val="0"/>
          <w:sz w:val="18"/>
          <w:szCs w:val="18"/>
          <w:bdr w:val="none" w:color="auto" w:sz="0" w:space="0"/>
          <w:shd w:val="clear" w:fill="F5F3FF"/>
          <w:lang w:val="en-US" w:eastAsia="zh-CN" w:bidi="ar"/>
        </w:rPr>
        <w:t>现状：缺失；证明目的：还原真实盈亏</w:t>
      </w:r>
    </w:p>
    <w:p w14:paraId="5EF0FB8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「历年财务报表与审计报告」本轮未提供，是支撑链上最弱的一环；缺它就无法认定本项成立 —— 只能列为「资料未齐、不作认定」。</w:t>
      </w:r>
    </w:p>
    <w:p w14:paraId="27D9E56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「历年财务报表与审计报告」补齐后，若显示相关业务真实、口径一致 ⇒ 本项不成立（可自证清白）。</w:t>
      </w:r>
    </w:p>
    <w:p w14:paraId="7051FDE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71D37E0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直接证据：亏损原因说明与经营计划　</w:t>
      </w:r>
      <w:r>
        <w:rPr>
          <w:rFonts w:ascii="宋体" w:hAnsi="宋体" w:eastAsia="宋体" w:cs="宋体"/>
          <w:color w:val="64748B"/>
          <w:kern w:val="0"/>
          <w:sz w:val="18"/>
          <w:szCs w:val="18"/>
          <w:bdr w:val="none" w:color="auto" w:sz="0" w:space="0"/>
          <w:shd w:val="clear" w:fill="F5F3FF"/>
          <w:lang w:val="en-US" w:eastAsia="zh-CN" w:bidi="ar"/>
        </w:rPr>
        <w:t>现状：缺失；证明目的：解释亏损合理性</w:t>
      </w:r>
    </w:p>
    <w:p w14:paraId="2A4253F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情形与「历年财务报表与审计报告」相同（缺失）；不再重复同一段自我反驳。</w:t>
      </w:r>
    </w:p>
    <w:p w14:paraId="14DC4B4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同上：该情形一旦核对通过，「亏损原因说明与经营计划」这一条的支撑即成立。</w:t>
      </w:r>
    </w:p>
    <w:p w14:paraId="0BCFC2C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4CDEFB6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反证：市场培育期或大额投入的证明材料　</w:t>
      </w:r>
      <w:r>
        <w:rPr>
          <w:rFonts w:ascii="宋体" w:hAnsi="宋体" w:eastAsia="宋体" w:cs="宋体"/>
          <w:color w:val="64748B"/>
          <w:kern w:val="0"/>
          <w:sz w:val="18"/>
          <w:szCs w:val="18"/>
          <w:bdr w:val="none" w:color="auto" w:sz="0" w:space="0"/>
          <w:shd w:val="clear" w:fill="F5F3FF"/>
          <w:lang w:val="en-US" w:eastAsia="zh-CN" w:bidi="ar"/>
        </w:rPr>
        <w:t>现状：待企业提交；证明目的：战略投入导致的亏损属正常</w:t>
      </w:r>
    </w:p>
    <w:p w14:paraId="56A820E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情形与「历年财务报表与审计报告」相同（待企业提交）；不再重复同一段自我反驳。</w:t>
      </w:r>
    </w:p>
    <w:p w14:paraId="3776BFE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同上：该情形一旦核对通过，「市场培育期或大额投入的证明材料」这一条的支撑即成立。</w:t>
      </w:r>
    </w:p>
    <w:p w14:paraId="75B805F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58EB2C2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材料齐全程度（取值 0.0）</w:t>
      </w:r>
    </w:p>
    <w:p w14:paraId="6BAD705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7EDC7C1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10011EF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01FC202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470AB5E1">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历年财务报表与审计报告</w:t>
      </w:r>
    </w:p>
    <w:p w14:paraId="640FEBCC">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5F7B509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06711411">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2. 亏损原因说明与经营计划</w:t>
      </w:r>
    </w:p>
    <w:p w14:paraId="3BC919D5">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333E9E64">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0E6D836D">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3. 市场培育期或大额投入的证明材料</w:t>
      </w:r>
    </w:p>
    <w:p w14:paraId="768BD6D6">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7705C410">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45FEF0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疑点10：同一交易对手同时出现在客户与供应商清单</w:t>
      </w:r>
    </w:p>
    <w:p w14:paraId="2E097FD9">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从本次上传资料来看，本企业本项已查明的风险的可能性低，且所需资料已齐备，可作初步判断。</w:t>
      </w:r>
    </w:p>
    <w:p w14:paraId="7A51C2F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04F45CF6">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58E985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在已上传资料中出现了以下情况：进销项发票中有2个标准化交易对手名称同时出现在客户和供应商范围，应按业务合同和实际履约判断双向交易性质。涉及的对手方举例：华美博扬（深圳）数字科技有限公司、深圳市世纪联想广告有限公司。</w:t>
      </w:r>
    </w:p>
    <w:p w14:paraId="3933354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193447E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377D00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经检查，本项涉及的风险事项为「同一交易对手同时出现在客户与供应商清单」，风险等级 中风险。进销项发票中有2个标准化交易对手名称同时出现在客户和供应商范围，应按业务合同和实际履约判断双向交易性质。涉及的对手方举例：华美博扬（深圳）数字科技有限公司、深圳市世纪联想广告有限公司。本项与以下 2 个子项属同一风险族「关联交易与对手方重叠」，子项不再单独计数，差异点：个人或个体工商户供应商客户交易核实（中风险）；关联交易异常：购销闭环与六员重叠（须核对）。</w:t>
      </w:r>
    </w:p>
    <w:p w14:paraId="7D22EB7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63BBC89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5F3633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进销项发票中有2个标准化交易对手名称同时出现在客户和供应商范围，应按业务合同和实际履约判断双向交易性质。涉及的对手方举例：华美博扬（深圳）数字科技有限公司、深圳市世纪联想广告有限公司。量化结果：重叠户数=2</w:t>
      </w:r>
    </w:p>
    <w:p w14:paraId="4350783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685E93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本项依据的独立数据源：销项发票、进项发票。结论适用范围：仅用于筛查与复核（不作定性）。尚缺：销项发票——证明对外销售的金额、税额与购方，核对收入申报口径。</w:t>
      </w:r>
    </w:p>
    <w:p w14:paraId="2709071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3C34512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331521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本项（同一交易对手同时出现在客户与供应商清）：本项属**已查明的风险**，等级 中风险；其结论以已上传资料的可复核证据为限，涉及定性的部分须由风险检查员结合企业举证与外部数据核实。</w:t>
      </w:r>
    </w:p>
    <w:p w14:paraId="500765B6">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五、需企业提供的资料与说明</w:t>
      </w:r>
    </w:p>
    <w:p w14:paraId="3ED0F8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要把这一项查清楚，需要：销项发票——证明对外销售的金额、税额与购方，核对收入申报口径</w:t>
      </w:r>
    </w:p>
    <w:p w14:paraId="68DA9117">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90" w:afterAutospacing="0" w:line="29" w:lineRule="atLeast"/>
        <w:ind w:left="0" w:right="0"/>
        <w:jc w:val="left"/>
        <w:rPr>
          <w:b/>
          <w:bCs/>
          <w:color w:val="854D0E"/>
          <w:sz w:val="20"/>
          <w:szCs w:val="20"/>
        </w:rPr>
      </w:pPr>
      <w:r>
        <w:rPr>
          <w:rFonts w:ascii="宋体" w:hAnsi="宋体" w:eastAsia="宋体" w:cs="宋体"/>
          <w:b/>
          <w:bCs/>
          <w:color w:val="854D0E"/>
          <w:kern w:val="0"/>
          <w:sz w:val="20"/>
          <w:szCs w:val="20"/>
          <w:bdr w:val="none" w:color="auto" w:sz="0" w:space="0"/>
          <w:shd w:val="clear" w:fill="FFFBEB"/>
          <w:lang w:val="en-US" w:eastAsia="zh-CN" w:bidi="ar"/>
        </w:rPr>
        <w:t>本项需企业澄清的问题</w:t>
      </w:r>
    </w:p>
    <w:p w14:paraId="1FEE191A">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30" w:beforeAutospacing="0" w:after="3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BEB"/>
          <w:lang w:val="en-US" w:eastAsia="zh-CN" w:bidi="ar"/>
        </w:rPr>
        <w:t>关注级别：低</w:t>
      </w:r>
    </w:p>
    <w:p w14:paraId="34C84BBA">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90" w:beforeAutospacing="0" w:after="9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FFBEB"/>
          <w:lang w:val="en-US" w:eastAsia="zh-CN" w:bidi="ar"/>
        </w:rPr>
        <w:t>询问 1：</w:t>
      </w:r>
      <w:r>
        <w:rPr>
          <w:rFonts w:ascii="宋体" w:hAnsi="宋体" w:eastAsia="宋体" w:cs="宋体"/>
          <w:kern w:val="0"/>
          <w:sz w:val="19"/>
          <w:szCs w:val="19"/>
          <w:bdr w:val="none" w:color="auto" w:sz="0" w:space="0"/>
          <w:shd w:val="clear" w:fill="FFFBEB"/>
          <w:lang w:val="en-US" w:eastAsia="zh-CN" w:bidi="ar"/>
        </w:rPr>
        <w:t>存在 2 家『既是供应商又是客户』的主体，但双向金额与品名不具备对开特征，暂按互为供需的行业常态列示（如委托加工、售后回购、集团内购销，或传媒·广告·IT·咨询业互采服务资源）。请准备说明各笔双向交易的商业背景。</w:t>
      </w:r>
    </w:p>
    <w:p w14:paraId="6DF23974">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风险检查依据：</w:t>
      </w:r>
      <w:r>
        <w:rPr>
          <w:rFonts w:ascii="宋体" w:hAnsi="宋体" w:eastAsia="宋体" w:cs="宋体"/>
          <w:color w:val="475569"/>
          <w:kern w:val="0"/>
          <w:sz w:val="18"/>
          <w:szCs w:val="18"/>
          <w:bdr w:val="none" w:color="auto" w:sz="0" w:space="0"/>
          <w:shd w:val="clear" w:fill="FFFBEB"/>
          <w:lang w:val="en-US" w:eastAsia="zh-CN" w:bidi="ar"/>
        </w:rPr>
        <w:t>风险检查要点：互为供需本身不违规，仅在金额对称或品名无关时才构成对开嫌疑。</w:t>
      </w:r>
    </w:p>
    <w:p w14:paraId="5ACAF83D">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需补充资料：</w:t>
      </w:r>
      <w:r>
        <w:rPr>
          <w:rFonts w:ascii="宋体" w:hAnsi="宋体" w:eastAsia="宋体" w:cs="宋体"/>
          <w:color w:val="475569"/>
          <w:kern w:val="0"/>
          <w:sz w:val="18"/>
          <w:szCs w:val="18"/>
          <w:bdr w:val="none" w:color="auto" w:sz="0" w:space="0"/>
          <w:shd w:val="clear" w:fill="FFFBEB"/>
          <w:lang w:val="en-US" w:eastAsia="zh-CN" w:bidi="ar"/>
        </w:rPr>
        <w:t>双向交易的商业背景说明</w:t>
      </w:r>
    </w:p>
    <w:p w14:paraId="60CAC521">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64748B"/>
          <w:sz w:val="18"/>
          <w:szCs w:val="18"/>
        </w:rPr>
      </w:pPr>
      <w:r>
        <w:rPr>
          <w:rFonts w:ascii="宋体" w:hAnsi="宋体" w:eastAsia="宋体" w:cs="宋体"/>
          <w:color w:val="92400E"/>
          <w:kern w:val="0"/>
          <w:sz w:val="18"/>
          <w:szCs w:val="18"/>
          <w:bdr w:val="none" w:color="auto" w:sz="0" w:space="0"/>
          <w:shd w:val="clear" w:fill="FFFBEB"/>
          <w:lang w:val="en-US" w:eastAsia="zh-CN" w:bidi="ar"/>
        </w:rPr>
        <w:t>系统局限→企业自证：</w:t>
      </w:r>
      <w:r>
        <w:rPr>
          <w:rFonts w:ascii="宋体" w:hAnsi="宋体" w:eastAsia="宋体" w:cs="宋体"/>
          <w:color w:val="64748B"/>
          <w:kern w:val="0"/>
          <w:sz w:val="18"/>
          <w:szCs w:val="18"/>
          <w:bdr w:val="none" w:color="auto" w:sz="0" w:space="0"/>
          <w:shd w:val="clear" w:fill="FFFBEB"/>
          <w:lang w:val="en-US" w:eastAsia="zh-CN" w:bidi="ar"/>
        </w:rPr>
        <w:t>本项不指向违规，仅提示检查员在现场询问时一并了解双向往来的商业合理性。</w:t>
      </w:r>
    </w:p>
    <w:p w14:paraId="6509BA2E">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30" w:beforeAutospacing="0" w:after="3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BEB"/>
          <w:lang w:val="en-US" w:eastAsia="zh-CN" w:bidi="ar"/>
        </w:rPr>
        <w:t>关注级别：中</w:t>
      </w:r>
    </w:p>
    <w:p w14:paraId="63385718">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90" w:beforeAutospacing="0" w:after="9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FFBEB"/>
          <w:lang w:val="en-US" w:eastAsia="zh-CN" w:bidi="ar"/>
        </w:rPr>
        <w:t>询问 1：</w:t>
      </w:r>
      <w:r>
        <w:rPr>
          <w:rFonts w:ascii="宋体" w:hAnsi="宋体" w:eastAsia="宋体" w:cs="宋体"/>
          <w:kern w:val="0"/>
          <w:sz w:val="19"/>
          <w:szCs w:val="19"/>
          <w:bdr w:val="none" w:color="auto" w:sz="0" w:space="0"/>
          <w:shd w:val="clear" w:fill="FFFBEB"/>
          <w:lang w:val="en-US" w:eastAsia="zh-CN" w:bidi="ar"/>
        </w:rPr>
        <w:t>检测到 1 组『多张发票金额完全一致』（顶额凑数特征）。请逐组说明：这些同额发票是否对应独立真实交易？发票号码是否连号、开票日期是否集中？</w:t>
      </w:r>
    </w:p>
    <w:p w14:paraId="5384B9A6">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风险检查依据：</w:t>
      </w:r>
      <w:r>
        <w:rPr>
          <w:rFonts w:ascii="宋体" w:hAnsi="宋体" w:eastAsia="宋体" w:cs="宋体"/>
          <w:color w:val="475569"/>
          <w:kern w:val="0"/>
          <w:sz w:val="18"/>
          <w:szCs w:val="18"/>
          <w:bdr w:val="none" w:color="auto" w:sz="0" w:space="0"/>
          <w:shd w:val="clear" w:fill="FFFBEB"/>
          <w:lang w:val="en-US" w:eastAsia="zh-CN" w:bidi="ar"/>
        </w:rPr>
        <w:t>风险检查要点：大量同额、连号发票，是凑数/顶额虚开的高频形态。</w:t>
      </w:r>
    </w:p>
    <w:p w14:paraId="38B34F02">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需补充资料：</w:t>
      </w:r>
      <w:r>
        <w:rPr>
          <w:rFonts w:ascii="宋体" w:hAnsi="宋体" w:eastAsia="宋体" w:cs="宋体"/>
          <w:color w:val="475569"/>
          <w:kern w:val="0"/>
          <w:sz w:val="18"/>
          <w:szCs w:val="18"/>
          <w:bdr w:val="none" w:color="auto" w:sz="0" w:space="0"/>
          <w:shd w:val="clear" w:fill="FFFBEB"/>
          <w:lang w:val="en-US" w:eastAsia="zh-CN" w:bidi="ar"/>
        </w:rPr>
        <w:t>同额发票对应的合同与发货记录；发票号码与开票日期分布说明</w:t>
      </w:r>
    </w:p>
    <w:p w14:paraId="2DFDEB8C">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64748B"/>
          <w:sz w:val="18"/>
          <w:szCs w:val="18"/>
        </w:rPr>
      </w:pPr>
      <w:r>
        <w:rPr>
          <w:rFonts w:ascii="宋体" w:hAnsi="宋体" w:eastAsia="宋体" w:cs="宋体"/>
          <w:color w:val="92400E"/>
          <w:kern w:val="0"/>
          <w:sz w:val="18"/>
          <w:szCs w:val="18"/>
          <w:bdr w:val="none" w:color="auto" w:sz="0" w:space="0"/>
          <w:shd w:val="clear" w:fill="FFFBEB"/>
          <w:lang w:val="en-US" w:eastAsia="zh-CN" w:bidi="ar"/>
        </w:rPr>
        <w:t>系统局限→企业自证：</w:t>
      </w:r>
      <w:r>
        <w:rPr>
          <w:rFonts w:ascii="宋体" w:hAnsi="宋体" w:eastAsia="宋体" w:cs="宋体"/>
          <w:color w:val="64748B"/>
          <w:kern w:val="0"/>
          <w:sz w:val="18"/>
          <w:szCs w:val="18"/>
          <w:bdr w:val="none" w:color="auto" w:sz="0" w:space="0"/>
          <w:shd w:val="clear" w:fill="FFFBEB"/>
          <w:lang w:val="en-US" w:eastAsia="zh-CN" w:bidi="ar"/>
        </w:rPr>
        <w:t>系统按发票号去重后统计同额，但无法判断业务真实性；真风险检查员会比对连号与日期。请企业对每组同额发票提供独立交易证据。</w:t>
      </w:r>
    </w:p>
    <w:p w14:paraId="1C916369">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30" w:beforeAutospacing="0" w:after="3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BEB"/>
          <w:lang w:val="en-US" w:eastAsia="zh-CN" w:bidi="ar"/>
        </w:rPr>
        <w:t>关注级别：低</w:t>
      </w:r>
    </w:p>
    <w:p w14:paraId="404251C8">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90" w:beforeAutospacing="0" w:after="9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FFBEB"/>
          <w:lang w:val="en-US" w:eastAsia="zh-CN" w:bidi="ar"/>
        </w:rPr>
        <w:t>询问 1：</w:t>
      </w:r>
      <w:r>
        <w:rPr>
          <w:rFonts w:ascii="宋体" w:hAnsi="宋体" w:eastAsia="宋体" w:cs="宋体"/>
          <w:kern w:val="0"/>
          <w:sz w:val="19"/>
          <w:szCs w:val="19"/>
          <w:bdr w:val="none" w:color="auto" w:sz="0" w:space="0"/>
          <w:shd w:val="clear" w:fill="FFFBEB"/>
          <w:lang w:val="en-US" w:eastAsia="zh-CN" w:bidi="ar"/>
        </w:rPr>
        <w:t>供应商=客户双向往来 2 家（见进项章），但双向金额与品名不具备对开特征，暂按互为供需的行业常态列示。</w:t>
      </w:r>
    </w:p>
    <w:p w14:paraId="38C0570C">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风险检查依据：</w:t>
      </w:r>
      <w:r>
        <w:rPr>
          <w:rFonts w:ascii="宋体" w:hAnsi="宋体" w:eastAsia="宋体" w:cs="宋体"/>
          <w:color w:val="475569"/>
          <w:kern w:val="0"/>
          <w:sz w:val="18"/>
          <w:szCs w:val="18"/>
          <w:bdr w:val="none" w:color="auto" w:sz="0" w:space="0"/>
          <w:shd w:val="clear" w:fill="FFFBEB"/>
          <w:lang w:val="en-US" w:eastAsia="zh-CN" w:bidi="ar"/>
        </w:rPr>
        <w:t>风险检查要点：互为供需本身不违规，仅在金额对称或品名无关时才构成对开嫌疑。</w:t>
      </w:r>
    </w:p>
    <w:p w14:paraId="5E2A637C">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FFBEB"/>
          <w:lang w:val="en-US" w:eastAsia="zh-CN" w:bidi="ar"/>
        </w:rPr>
        <w:t>需补充资料：</w:t>
      </w:r>
      <w:r>
        <w:rPr>
          <w:rFonts w:ascii="宋体" w:hAnsi="宋体" w:eastAsia="宋体" w:cs="宋体"/>
          <w:color w:val="475569"/>
          <w:kern w:val="0"/>
          <w:sz w:val="18"/>
          <w:szCs w:val="18"/>
          <w:bdr w:val="none" w:color="auto" w:sz="0" w:space="0"/>
          <w:shd w:val="clear" w:fill="FFFBEB"/>
          <w:lang w:val="en-US" w:eastAsia="zh-CN" w:bidi="ar"/>
        </w:rPr>
        <w:t>双向交易商业背景说明</w:t>
      </w:r>
    </w:p>
    <w:p w14:paraId="3A69F987">
      <w:pPr>
        <w:keepNext w:val="0"/>
        <w:keepLines w:val="0"/>
        <w:widowControl/>
        <w:suppressLineNumbers w:val="0"/>
        <w:pBdr>
          <w:top w:val="none" w:color="auto" w:sz="0" w:space="0"/>
          <w:left w:val="single" w:color="CA8A04" w:sz="18" w:space="0"/>
          <w:bottom w:val="none" w:color="auto" w:sz="0" w:space="0"/>
          <w:right w:val="none" w:color="auto" w:sz="0" w:space="0"/>
        </w:pBdr>
        <w:shd w:val="clear" w:fill="FFFBEB"/>
        <w:spacing w:before="0" w:beforeAutospacing="0" w:after="0" w:afterAutospacing="0" w:line="29" w:lineRule="atLeast"/>
        <w:ind w:left="210" w:right="0"/>
        <w:jc w:val="left"/>
        <w:rPr>
          <w:color w:val="64748B"/>
          <w:sz w:val="18"/>
          <w:szCs w:val="18"/>
        </w:rPr>
      </w:pPr>
      <w:r>
        <w:rPr>
          <w:rFonts w:ascii="宋体" w:hAnsi="宋体" w:eastAsia="宋体" w:cs="宋体"/>
          <w:color w:val="92400E"/>
          <w:kern w:val="0"/>
          <w:sz w:val="18"/>
          <w:szCs w:val="18"/>
          <w:bdr w:val="none" w:color="auto" w:sz="0" w:space="0"/>
          <w:shd w:val="clear" w:fill="FFFBEB"/>
          <w:lang w:val="en-US" w:eastAsia="zh-CN" w:bidi="ar"/>
        </w:rPr>
        <w:t>系统局限→企业自证：</w:t>
      </w:r>
      <w:r>
        <w:rPr>
          <w:rFonts w:ascii="宋体" w:hAnsi="宋体" w:eastAsia="宋体" w:cs="宋体"/>
          <w:color w:val="64748B"/>
          <w:kern w:val="0"/>
          <w:sz w:val="18"/>
          <w:szCs w:val="18"/>
          <w:bdr w:val="none" w:color="auto" w:sz="0" w:space="0"/>
          <w:shd w:val="clear" w:fill="FFFBEB"/>
          <w:lang w:val="en-US" w:eastAsia="zh-CN" w:bidi="ar"/>
        </w:rPr>
        <w:t>本项不指向违规，仅提示现场询问时一并了解双向往来的商业合理性。</w:t>
      </w:r>
    </w:p>
    <w:p w14:paraId="79A1308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461D1E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在验证前不能认定本项成立：本项未做证据角色核对，现有结论只建立在数据事实之上。</w:t>
      </w:r>
    </w:p>
    <w:p w14:paraId="32FFD0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最强的反驳是：本项只有数据事实，没有登记需要哪些证据、现状如何；数据事实成立不等于税务违规成立。</w:t>
      </w:r>
    </w:p>
    <w:p w14:paraId="0B0729E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5972A6E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本项依据的独立数据源　</w:t>
      </w:r>
      <w:r>
        <w:rPr>
          <w:rFonts w:ascii="宋体" w:hAnsi="宋体" w:eastAsia="宋体" w:cs="宋体"/>
          <w:color w:val="64748B"/>
          <w:kern w:val="0"/>
          <w:sz w:val="18"/>
          <w:szCs w:val="18"/>
          <w:bdr w:val="none" w:color="auto" w:sz="0" w:space="0"/>
          <w:shd w:val="clear" w:fill="F5F3FF"/>
          <w:lang w:val="en-US" w:eastAsia="zh-CN" w:bidi="ar"/>
        </w:rPr>
        <w:t>销项发票、进项发票</w:t>
      </w:r>
    </w:p>
    <w:p w14:paraId="2A3CFF4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这些数据源本轮已上传，但它们是否足以独立支撑本项结论尚未确认；由原始数据到本项结论之间还隔着口径与业务实质。</w:t>
      </w:r>
    </w:p>
    <w:p w14:paraId="7605F23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若这些数据源中的关键项经核对与本项口径不一致 ⇒ 本项依据不成立。</w:t>
      </w:r>
    </w:p>
    <w:p w14:paraId="48D0C6D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各数据源中与本项口径对应的具体内容（逐项比对）</w:t>
      </w:r>
    </w:p>
    <w:p w14:paraId="4C66611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证据核对状态　</w:t>
      </w:r>
      <w:r>
        <w:rPr>
          <w:rFonts w:ascii="宋体" w:hAnsi="宋体" w:eastAsia="宋体" w:cs="宋体"/>
          <w:color w:val="64748B"/>
          <w:kern w:val="0"/>
          <w:sz w:val="18"/>
          <w:szCs w:val="18"/>
          <w:bdr w:val="none" w:color="auto" w:sz="0" w:space="0"/>
          <w:shd w:val="clear" w:fill="F5F3FF"/>
          <w:lang w:val="en-US" w:eastAsia="zh-CN" w:bidi="ar"/>
        </w:rPr>
        <w:t>未做证据角色核对（本项非红线来源，无红线证据要求）</w:t>
      </w:r>
    </w:p>
    <w:p w14:paraId="6450BCC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本项没有登记「需要哪些证据、这些证据现状如何」⇒ 无法判断取证是否充分；结论只建立在数据事实之上，而数据事实成立不等于税务违规成立。</w:t>
      </w:r>
    </w:p>
    <w:p w14:paraId="240267B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按同样的证据核对口径为这类事项补做核对后，若所需证据缺失 ⇒ 本项同样只能列为待补充资料，不能认定。</w:t>
      </w:r>
    </w:p>
    <w:p w14:paraId="357A0D3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本项若按红线口径核对，需要哪些证据、现状如何</w:t>
      </w:r>
    </w:p>
    <w:p w14:paraId="1039CCB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结论来源（证据地位）　</w:t>
      </w:r>
      <w:r>
        <w:rPr>
          <w:rFonts w:ascii="宋体" w:hAnsi="宋体" w:eastAsia="宋体" w:cs="宋体"/>
          <w:color w:val="64748B"/>
          <w:kern w:val="0"/>
          <w:sz w:val="18"/>
          <w:szCs w:val="18"/>
          <w:bdr w:val="none" w:color="auto" w:sz="0" w:space="0"/>
          <w:shd w:val="clear" w:fill="F5F3FF"/>
          <w:lang w:val="en-US" w:eastAsia="zh-CN" w:bidi="ar"/>
        </w:rPr>
        <w:t>已验原子规则（可信观察）</w:t>
      </w:r>
    </w:p>
    <w:p w14:paraId="417560A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本项来源是「已验原子规则」——它证明的是数据事实（如名单重叠、金额不一致），不等于税务违规；由数据事实到违规之间还隔着业务实质、口径与主观要件。</w:t>
      </w:r>
    </w:p>
    <w:p w14:paraId="01F2EA6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若这些数据事实可由正常业务解释（口径差异、跨期、集团内往来、行业惯例）⇒ 本项不构成税务风险。</w:t>
      </w:r>
    </w:p>
    <w:p w14:paraId="7930781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能解释该数据事实的业务凭证（合同、结算单、往来说明、跨期调节表）</w:t>
      </w:r>
    </w:p>
    <w:p w14:paraId="37020E7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1170A67C">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本项若按红线口径核对，需要哪些证据、现状如何</w:t>
      </w:r>
    </w:p>
    <w:p w14:paraId="475563D5">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看什么：本项若按红线口径核对，需要哪些证据、现状如何</w:t>
      </w:r>
    </w:p>
    <w:p w14:paraId="0A675A46">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推翻条件：按同样的证据核对口径为这类事项补做核对后，若所需证据缺失 ⇒ 本项同样只能列为待补充资料，不能认定。</w:t>
      </w:r>
    </w:p>
    <w:p w14:paraId="72B79C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疑点11：增值税申报进项税额与进项发票税额月度差异</w:t>
      </w:r>
    </w:p>
    <w:p w14:paraId="070280CA">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从本次上传资料来看，本企业本项已查明的风险的可能性低，且所需资料已齐备，可作初步判断。</w:t>
      </w:r>
    </w:p>
    <w:p w14:paraId="2BFFAF0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365AC214">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70752A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在已上传资料中出现了以下情况：增值税申报表进项税额合计192,463.32元，同期进项发票税额合计225,093.81元，差异-32,630.49元，有1个月度差异超过5%或5千元：202512申报20,064vs发票25,631（差-5,567）</w:t>
      </w:r>
    </w:p>
    <w:p w14:paraId="03F4F36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39FFB3EC">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22463BD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经检查，本项涉及的风险事项为「增值税申报进项税额与进项发票税额月度差异」，风险等级 中风险。增值税申报表进项税额合计192,463.32元，同期进项发票税额合计225,093.81元，差异-32,630.49元，有1个月度差异超过5%或5千元：202512申报20,064vs发票25,631（差-5,567）本项与以下 1 个子项属同一风险族「进项与申报差异」，子项不再单独计数，差异点：表间勾稽四方比对不一致（须核对）。</w:t>
      </w:r>
    </w:p>
    <w:p w14:paraId="10DE95D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7FE25F53">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29F3DD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增值税申报表进项税额合计192,463.32元，同期进项发票税额合计225,093.81元，差异-32,630.49元，有1个月度差异超过5%或5千元：202512申报20,064vs发票25,631（差-5,567）量化结果：申报进项税额合计=192463.32；发票进项税额合计=225093.81；差异月份数=1</w:t>
      </w:r>
    </w:p>
    <w:p w14:paraId="217AFECF">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5EFCCF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本项依据的独立数据源：纳税申报表、进项发票。结论适用范围：仅用于筛查与复核（不作定性）。尚缺：进项发票——证明采购的金额、税额与供方，核对成本列支与抵扣合规性。</w:t>
      </w:r>
    </w:p>
    <w:p w14:paraId="3C96262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52BDCEC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2ED107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本项（增值税申报进项税额与进项发票税额月度）：本项属**已查明的风险**，等级 中风险；其结论以已上传资料的可复核证据为限，涉及定性的部分须由风险检查员结合企业举证与外部数据核实。</w:t>
      </w:r>
    </w:p>
    <w:p w14:paraId="2AC27E9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五、需企业提供的资料与说明</w:t>
      </w:r>
    </w:p>
    <w:p w14:paraId="6C9721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要把这一项查清楚，需要：进项发票——证明采购的金额、税额与供方，核对成本列支与抵扣合规性</w:t>
      </w:r>
    </w:p>
    <w:p w14:paraId="03C68CB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217583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在验证前不能认定本项成立：本项未做证据角色核对，现有结论只建立在数据事实之上。</w:t>
      </w:r>
    </w:p>
    <w:p w14:paraId="1933DD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最强的反驳是：本项只有数据事实，没有登记需要哪些证据、现状如何；数据事实成立不等于税务违规成立。</w:t>
      </w:r>
    </w:p>
    <w:p w14:paraId="5A766C5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07C439E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本项依据的独立数据源　</w:t>
      </w:r>
      <w:r>
        <w:rPr>
          <w:rFonts w:ascii="宋体" w:hAnsi="宋体" w:eastAsia="宋体" w:cs="宋体"/>
          <w:color w:val="64748B"/>
          <w:kern w:val="0"/>
          <w:sz w:val="18"/>
          <w:szCs w:val="18"/>
          <w:bdr w:val="none" w:color="auto" w:sz="0" w:space="0"/>
          <w:shd w:val="clear" w:fill="F5F3FF"/>
          <w:lang w:val="en-US" w:eastAsia="zh-CN" w:bidi="ar"/>
        </w:rPr>
        <w:t>纳税申报表、进项发票</w:t>
      </w:r>
    </w:p>
    <w:p w14:paraId="13CDAD9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这些数据源本轮已上传，但它们是否足以独立支撑本项结论尚未确认；由原始数据到本项结论之间还隔着口径与业务实质。</w:t>
      </w:r>
    </w:p>
    <w:p w14:paraId="346CC21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若这些数据源中的关键项经核对与本项口径不一致 ⇒ 本项依据不成立。</w:t>
      </w:r>
    </w:p>
    <w:p w14:paraId="69C75CA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各数据源中与本项口径对应的具体内容（逐项比对）</w:t>
      </w:r>
    </w:p>
    <w:p w14:paraId="6865C09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证据核对状态　</w:t>
      </w:r>
      <w:r>
        <w:rPr>
          <w:rFonts w:ascii="宋体" w:hAnsi="宋体" w:eastAsia="宋体" w:cs="宋体"/>
          <w:color w:val="64748B"/>
          <w:kern w:val="0"/>
          <w:sz w:val="18"/>
          <w:szCs w:val="18"/>
          <w:bdr w:val="none" w:color="auto" w:sz="0" w:space="0"/>
          <w:shd w:val="clear" w:fill="F5F3FF"/>
          <w:lang w:val="en-US" w:eastAsia="zh-CN" w:bidi="ar"/>
        </w:rPr>
        <w:t>未做证据角色核对（本项非红线来源，无红线证据要求）</w:t>
      </w:r>
    </w:p>
    <w:p w14:paraId="36E497E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本项没有登记「需要哪些证据、这些证据现状如何」⇒ 无法判断取证是否充分；结论只建立在数据事实之上，而数据事实成立不等于税务违规成立。</w:t>
      </w:r>
    </w:p>
    <w:p w14:paraId="5E7D289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按同样的证据核对口径为这类事项补做核对后，若所需证据缺失 ⇒ 本项同样只能列为待补充资料，不能认定。</w:t>
      </w:r>
    </w:p>
    <w:p w14:paraId="0B7C6BE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本项若按红线口径核对，需要哪些证据、现状如何</w:t>
      </w:r>
    </w:p>
    <w:p w14:paraId="18BE6B0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结论来源（证据地位）　</w:t>
      </w:r>
      <w:r>
        <w:rPr>
          <w:rFonts w:ascii="宋体" w:hAnsi="宋体" w:eastAsia="宋体" w:cs="宋体"/>
          <w:color w:val="64748B"/>
          <w:kern w:val="0"/>
          <w:sz w:val="18"/>
          <w:szCs w:val="18"/>
          <w:bdr w:val="none" w:color="auto" w:sz="0" w:space="0"/>
          <w:shd w:val="clear" w:fill="F5F3FF"/>
          <w:lang w:val="en-US" w:eastAsia="zh-CN" w:bidi="ar"/>
        </w:rPr>
        <w:t>已验原子规则（可信观察）</w:t>
      </w:r>
    </w:p>
    <w:p w14:paraId="69A9937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本项来源是「已验原子规则」——它证明的是数据事实（如名单重叠、金额不一致），不等于税务违规；由数据事实到违规之间还隔着业务实质、口径与主观要件。</w:t>
      </w:r>
    </w:p>
    <w:p w14:paraId="41630B6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若这些数据事实可由正常业务解释（口径差异、跨期、集团内往来、行业惯例）⇒ 本项不构成税务风险。</w:t>
      </w:r>
    </w:p>
    <w:p w14:paraId="79A08DD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能解释该数据事实的业务凭证（合同、结算单、往来说明、跨期调节表）</w:t>
      </w:r>
    </w:p>
    <w:p w14:paraId="12A5BAE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5C87D42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本项若按红线口径核对，需要哪些证据、现状如何</w:t>
      </w:r>
    </w:p>
    <w:p w14:paraId="3E0E4C73">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看什么：本项若按红线口径核对，需要哪些证据、现状如何</w:t>
      </w:r>
    </w:p>
    <w:p w14:paraId="25676C5A">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推翻条件：按同样的证据核对口径为这类事项补做核对后，若所需证据缺失 ⇒ 本项同样只能列为待补充资料，不能认定。</w:t>
      </w:r>
    </w:p>
    <w:p w14:paraId="3A24CD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疑点12：固定资产取得、投用与折旧不匹配</w:t>
      </w:r>
      <w:r>
        <w:rPr>
          <w:rFonts w:ascii="宋体" w:hAnsi="宋体" w:eastAsia="宋体" w:cs="宋体"/>
          <w:b/>
          <w:bCs/>
          <w:color w:val="FFFFFF"/>
          <w:kern w:val="0"/>
          <w:sz w:val="18"/>
          <w:szCs w:val="18"/>
          <w:bdr w:val="none" w:color="auto" w:sz="0" w:space="0"/>
          <w:shd w:val="clear" w:fill="B91C1C"/>
          <w:lang w:val="en-US" w:eastAsia="zh-CN" w:bidi="ar"/>
        </w:rPr>
        <w:t>办理顺序：第十一项</w:t>
      </w:r>
    </w:p>
    <w:p w14:paraId="700F0EB2">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虚增资产、多提折旧或虚抵进项。从本次上传资料来看，本企业本项已查明的风险；未认定到构成要件的可能性中等，但能补全尚缺的4项资料来排除此项税务风险嫌疑。本项涉税嫌疑，涉及企业所得税、增值税；潜在税额影响：未量化（缺明确金额，须补资料后测算）。</w:t>
      </w:r>
    </w:p>
    <w:p w14:paraId="401A0A5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389EF7F5">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09D442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银行流水发现2笔固定资产类付款，合计20,000.00元。本项对应的风险指标是固定资产取得、投用与折旧不匹配——凡出现上述情形即纳入检查范围；是否成立，另按本项构成要件逐条核对（见下）。</w:t>
      </w:r>
    </w:p>
    <w:p w14:paraId="1E8DB8AC">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4B5F8757">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6BF865C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固定资产取得、投用与折旧不匹配认定到任何一条构成要件：账内检出需进一步核实的信号——银行流水发现2笔固定资产类付款，合计20,000.00元。下列要件清单是本项对应的判断标准，逐条核对结果见下：</w:t>
      </w:r>
    </w:p>
    <w:p w14:paraId="38D264B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本项（固定资产取得、投用与折旧不匹配）：经核对，本企业未涉及任何一条构成要件（仅已单独核对且符合情形的要件计入）；本项共 5 条构成要件：已单独核对 0 条（符合情形 0 条、未发现符合 0 条、有信号但未达数值门槛 0 条）；未形成核对结论 1 条（资料已取得但缺对应核对证据，不作未发现符合认定）；未单独核对 4 条（独立数据源本轮未取得，均不计入涉及）。</w:t>
      </w:r>
    </w:p>
    <w:p w14:paraId="23C8B31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固定资产入账、投入使用、计提折旧的时点链条不闭合（未形成核对结论（资料已取得但缺本要件的对应核对证据，不作未发现符合认定）；独立数据源：固定资产明细账、进项发票｜已有）</w:t>
      </w:r>
    </w:p>
    <w:p w14:paraId="49589D6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已提折旧但无投用记录，或已投用但未见折旧计提（未单独核对（独立数据源本轮未取得）；独立数据源：验收单、固定资产明细账｜须核对）</w:t>
      </w:r>
    </w:p>
    <w:p w14:paraId="2CF26AB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折旧年限、残值率或折旧方法与税法规定不一致且未作纳税调整（未单独核对（独立数据源本轮未取得）；独立数据源：折旧计算表、企业所得税申报表｜缺失）</w:t>
      </w:r>
    </w:p>
    <w:p w14:paraId="2315429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已完工在建工程长期不转固，推迟计提折旧（未单独核对（独立数据源本轮未取得）；独立数据源：固定资产明细账、在建工程明细｜须核对）</w:t>
      </w:r>
    </w:p>
    <w:p w14:paraId="70E0345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不属于下列正当情形：适用加速折旧或一次性扣除政策并已备案；在建工程尚未转固（有在建工程明细）；季节性停用或大修停用（税法允许停用期间不计提）（未单独核对（独立数据源本轮未取得）；独立数据源：折旧计算表、固定资产明细账、在建工程明细｜须核对）</w:t>
      </w:r>
    </w:p>
    <w:p w14:paraId="239AE0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企业所得税法》第十一条、第十三条（2018年修正；主席令第二十三号（2018年12月29日第十三届全国人民代表大会常务委员会第七次会议修正），现行有效）；《企业所得税法实施条例》第五十九条：固定资产按照直线法计算的折旧，准予扣除（2019年修订；国务院令第714号（2019年4月23日修订），现行有效）。</w:t>
      </w:r>
    </w:p>
    <w:p w14:paraId="173E28E5">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9952"/>
        <w:gridCol w:w="3900"/>
        <w:gridCol w:w="1204"/>
        <w:gridCol w:w="5622"/>
      </w:tblGrid>
      <w:tr w14:paraId="0A5FC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2E9E21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FA3A79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DC81E4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F84202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7580B2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3C9D7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5C1C62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82319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固定资产入账、投入使用、计提折旧的时点链条不闭合</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86A613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固定资产明细账、进项发票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996A9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B3F24E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1E3A1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20EA04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EBE3D2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已提折旧但无投用记录，或已投用但未见折旧计提</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AB2C84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验收单、固定资产明细账</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7CC038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19FAB2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6E015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FD985C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ADEB86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折旧年限、残值率或折旧方法与税法规定不一致且未作纳税调整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F2B104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折旧计算表、企业所得税申报表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4F3B9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BDA2EB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207C4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A09777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2FF7FB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已完工在建工程长期不转固，推迟计提折旧</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95EC3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固定资产明细账、在建工程明细</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025C3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522658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69C59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4B117A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A95481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不属于下列正当情形：适用加速折旧或一次性扣除政策并已备案；在建工程尚未转固（有在建工程明细）；季节性停用或大修停用（税法允许停用期间不计提）</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6100C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折旧计算表、固定资产明细账、在建工程明细</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FBC26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3351D9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0D09FE5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21C038DC">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0C50C6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固定资产明细账、进项发票（设备）、验收单中归集资产取得时间、金额与进项抵扣情况，看到本环节未产出对题读数（所需资料已在本轮提供，属检查程序待完善项）；第2步从试生产记录、投产通知、设备运行记录（本轮未提供）中核对投入使用时间，看到因缺少资料（须核对是否已提供：试生产记录、须核对是否已提供：投产通知、须核对是否已提供：设备运行记录、须核对是否已提供：试生产记录、投产通知、设备运行记录）未取得本环节数据，该部分无法核对；第3步从折旧计算表、纳税申报表中核对折旧起止、年限、方法与纳税调整，看到本环节所需资料中已提供部分、尚缺须核对是否已提供：折旧计算表，该环节未能完成核对（属检查程序待完善项，不计入资料缺失）；第4步从设备产能、产量数据（本轮未提供）中用产能印证资产是否真实投用，看到因缺少资料（须核对是否已提供：设备产能、须核对是否已提供：产量数据、须核对是否已提供：设备产能、产量数据）未取得本环节数据，该部分无法核对。其中第2环、第4环因缺少资料未取得数据，已计入检查受限范围；第1环所需资料已在本轮提供、但该环节未产出可展示数据、第3环未取到该环节所需的 须核对是否已提供：折旧计算表，未产出可展示数据（属检查程序待完善项，不计入资料缺失，不影响资料齐备性判断）。</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40"/>
        <w:gridCol w:w="3776"/>
        <w:gridCol w:w="3540"/>
        <w:gridCol w:w="13545"/>
      </w:tblGrid>
      <w:tr w14:paraId="2DDCE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AD3582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环节</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203E4A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对应资料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C1A21E0">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做了什么</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444BEC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实际看到的数据</w:t>
            </w:r>
          </w:p>
        </w:tc>
      </w:tr>
      <w:tr w14:paraId="212E6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8B073B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46E1A6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固定资产明细账、进项发票（设备）、验收单</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B1461D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归集资产取得时间、金额与进项抵扣情况</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31E9A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本环节未产出对题读数（所需资料已在本轮提供；属检查程序待完善项）</w:t>
            </w:r>
          </w:p>
        </w:tc>
      </w:tr>
      <w:tr w14:paraId="5CB46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1DFFA2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C07C13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试生产记录、投产通知、设备运行记录（本轮未提供）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9D460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核对投入使用时间</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82F61C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因缺少资料（须核对是否已提供：试生产记录、须核对是否已提供：投产通知、须核对是否已提供：设备运行记录、须核对是否已提供：试生产记录、投产通知、设备运行记录）未取得本环节数据；该部分无法核对</w:t>
            </w:r>
          </w:p>
        </w:tc>
      </w:tr>
      <w:tr w14:paraId="37B48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4ED524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7610A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折旧计算表、纳税申报表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717C33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核对折旧起止、年限、方法与纳税调整</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B36AB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本环节所需资料中已提供部分、尚缺须核对是否已提供：折旧计算表；该环节未能完成核对（属检查程序待完善项；不计入资料缺失）</w:t>
            </w:r>
          </w:p>
        </w:tc>
      </w:tr>
      <w:tr w14:paraId="3684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33CB5D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5A97A6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设备产能、产量数据（本轮未提供）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216F11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用产能印证资产是否真实投用</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426270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因缺少资料（须核对是否已提供：设备产能、须核对是否已提供：产量数据、须核对是否已提供：设备产能、产量数据）未取得本环节数据；该部分无法核对</w:t>
            </w:r>
          </w:p>
        </w:tc>
      </w:tr>
    </w:tbl>
    <w:p w14:paraId="6212FE86">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2F66EC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本项要定性为成立还是不成立，须先把材料补齐：本项检查需要5项材料，目前没有一项材料与本项要求对应；确未提供的有5项（设备采购合同、发票、验收单、折旧计算表、纳税调整明细）。</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80"/>
        <w:gridCol w:w="4777"/>
        <w:gridCol w:w="4048"/>
        <w:gridCol w:w="1619"/>
        <w:gridCol w:w="9877"/>
      </w:tblGrid>
      <w:tr w14:paraId="24B93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10D4BA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49A4B6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1A654A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C0487A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E6EE7DA">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57A4D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6D752E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A86A8A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设备采购合同、发票与验收单</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4C3697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证明资产真实取得</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BC422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12FD54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本轮未提供本项所需材料（设备采购合同、验收单），无法组织本项证据</w:t>
            </w:r>
          </w:p>
        </w:tc>
      </w:tr>
      <w:tr w14:paraId="476C4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F3AD9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B828AD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投产通知、试生产记录、设备运行台账</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1F2D3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证明资产实际投入使用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08750B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7AD5B5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本轮未提供本项所需材料（投产通知、试生产记录、设备运行台账），无法组织本项证据</w:t>
            </w:r>
          </w:p>
        </w:tc>
      </w:tr>
      <w:tr w14:paraId="3B34E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7694DF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F19D3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折旧计算表与纳税调整明细</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8C01CA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核对折旧税前扣除合规</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62260E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AA492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本轮未提供本项所需材料（折旧计算表、纳税调整明细），无法组织本项证据</w:t>
            </w:r>
          </w:p>
        </w:tc>
      </w:tr>
      <w:tr w14:paraId="65E6C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82A96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EFA87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加速折旧备案或一次性扣除政策适用说明</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4CF21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适用加速折旧政策的已备案则合规</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6C2EBF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2320A7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6841E53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29518BD1">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78E523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固定资产取得、投用与折旧不匹配」逐条核对，未认定到任何一条构成要件成立；但本项已从账内资料中查明相关信号，且本项不等于已触碰红线、也不是违法认定。具体认定范围与需补充的资料见本项各段。判断本项是否成立，要看这几项标准是否同时满足：固定资产入账、投入使用、计提折旧的时点链条不闭合；已提折旧但无投用记录，或已投用但未见折旧计提；折旧年限、残值率或折旧方法与税法规定不一致且未作纳税调整；已完工在建工程长期不转固，推迟计提折旧；不属于下列正当情形：适用加速折旧或一次性扣除政策并已备案；在建工程尚未转固（有在建工程明细）；季节性停用或大修停用（税法允许停用期间不计提）。本轮从所报资料中直接核对到的事实是：银行流水发现2笔固定资产类付款，合计20,000.00元。本项检查共4环，其中第1环、第2环、第3环、第4环因本轮未取得该环节所需资料，未取得数据（各环实际读到的数据见上一段明细表）。就资料来说，支撑材料严重不足，核心材料缺失（名称逐字对应已提供0项；尚缺：设备采购合同、发票与验收单、折旧计算表与纳税调整明细（属合同文件类）；企业尚未提交正当理由的书面证明，现有资料不足以排除本项涉嫌风险）。企业如果认为这不成立，通常可以说明：适用加速折旧或一次性扣除政策并已备案；在建工程尚未转固（有在建工程明细）；季节性停用或大修停用（税法允许停用期间不计提）。但这些说明能不能采信，要看有没有书面协议和原始单据，口头解释不能作为认定依据。综合以上，本项结论是疑似逐条要件尚未认定成立（结论只到「账内已读到与该风险指向一致的信号」这一层），判断可信度约45%（偏低）。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w:t>
      </w:r>
    </w:p>
    <w:p w14:paraId="43C98B0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4E0105BB">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093E1C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虚增资产、多提折旧或虚抵进项的风险（涉及企业所得税、增值税）。主管税务机关可依《税收征收管理法》第三十二条加收滞纳金；构成偷税、抗税、骗税的，依第六十三条等规定追缴税款、滞纳金并处罚款。是否构成偷税、以及是否移送，须由税务机关依法调查认定。</w:t>
      </w:r>
    </w:p>
    <w:p w14:paraId="38B30D34">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0" w:beforeAutospacing="0" w:after="90" w:afterAutospacing="0" w:line="29" w:lineRule="atLeast"/>
        <w:ind w:left="0" w:right="0"/>
        <w:jc w:val="left"/>
        <w:rPr>
          <w:b/>
          <w:bCs/>
          <w:color w:val="991B1B"/>
          <w:sz w:val="20"/>
          <w:szCs w:val="20"/>
        </w:rPr>
      </w:pPr>
      <w:r>
        <w:rPr>
          <w:rFonts w:ascii="宋体" w:hAnsi="宋体" w:eastAsia="宋体" w:cs="宋体"/>
          <w:b/>
          <w:bCs/>
          <w:color w:val="991B1B"/>
          <w:kern w:val="0"/>
          <w:sz w:val="20"/>
          <w:szCs w:val="20"/>
          <w:bdr w:val="none" w:color="auto" w:sz="0" w:space="0"/>
          <w:shd w:val="clear" w:fill="FEF2F2"/>
          <w:lang w:val="en-US" w:eastAsia="zh-CN" w:bidi="ar"/>
        </w:rPr>
        <w:t>本项因缺资料未能查完</w:t>
      </w:r>
    </w:p>
    <w:p w14:paraId="11663C20">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未收到「企业所得税申报表」</w:t>
      </w:r>
    </w:p>
    <w:p w14:paraId="290F21B3">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25535E90">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由于资料条件不具备，本轮没法完成与“企业所得税申报表”相关的账、票、表、税、款交叉核对。目前仍无法排除相应的风险方向。涉及企业所得税申报表的检查结论不得显示为无异常或已经合规。</w:t>
      </w:r>
    </w:p>
    <w:p w14:paraId="5DC170D3">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企业应补充企业所得税申报表。如原资料客观上无法取得，可以提供能够证明同一事实的替代资料。</w:t>
      </w:r>
    </w:p>
    <w:p w14:paraId="35B50BFC">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69A44DBD">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60" w:beforeAutospacing="0" w:after="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EF2F2"/>
          <w:lang w:val="en-US" w:eastAsia="zh-CN" w:bidi="ar"/>
        </w:rPr>
        <w:t>（本项结论在资料补齐前不予认定；补齐后重新执行一键分析即完成本项核对。）</w:t>
      </w:r>
    </w:p>
    <w:p w14:paraId="1A36BEA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6C801A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在验证前不能认定本项成立：本项的直接证据尚为「缺失」，属前置条件未满足。</w:t>
      </w:r>
    </w:p>
    <w:p w14:paraId="14B115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7135E07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29DA844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直接证据：设备采购合同、发票与验收单　</w:t>
      </w:r>
      <w:r>
        <w:rPr>
          <w:rFonts w:ascii="宋体" w:hAnsi="宋体" w:eastAsia="宋体" w:cs="宋体"/>
          <w:color w:val="64748B"/>
          <w:kern w:val="0"/>
          <w:sz w:val="18"/>
          <w:szCs w:val="18"/>
          <w:bdr w:val="none" w:color="auto" w:sz="0" w:space="0"/>
          <w:shd w:val="clear" w:fill="F5F3FF"/>
          <w:lang w:val="en-US" w:eastAsia="zh-CN" w:bidi="ar"/>
        </w:rPr>
        <w:t>现状：缺失；证明目的：证明资产真实取得</w:t>
      </w:r>
    </w:p>
    <w:p w14:paraId="240CB9B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「设备采购合同、发票与验收单」本轮未提供，是支撑链上最弱的一环；缺它就无法认定本项成立 —— 只能列为「资料未齐、不作认定」。</w:t>
      </w:r>
    </w:p>
    <w:p w14:paraId="65AB899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「设备采购合同、发票与验收单」补齐后，若显示相关业务真实、口径一致 ⇒ 本项不成立（可自证清白）。</w:t>
      </w:r>
    </w:p>
    <w:p w14:paraId="5E10322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30B78B4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直接证据：投产通知、试生产记录、设备运行台账　</w:t>
      </w:r>
      <w:r>
        <w:rPr>
          <w:rFonts w:ascii="宋体" w:hAnsi="宋体" w:eastAsia="宋体" w:cs="宋体"/>
          <w:color w:val="64748B"/>
          <w:kern w:val="0"/>
          <w:sz w:val="18"/>
          <w:szCs w:val="18"/>
          <w:bdr w:val="none" w:color="auto" w:sz="0" w:space="0"/>
          <w:shd w:val="clear" w:fill="F5F3FF"/>
          <w:lang w:val="en-US" w:eastAsia="zh-CN" w:bidi="ar"/>
        </w:rPr>
        <w:t>现状：缺失；证明目的：证明资产实际投入使用</w:t>
      </w:r>
    </w:p>
    <w:p w14:paraId="7646167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情形与「设备采购合同、发票与验收单」相同（缺失）；不再重复同一段自我反驳。</w:t>
      </w:r>
    </w:p>
    <w:p w14:paraId="5E22D36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同上：该情形一旦核对通过，「投产通知、试生产记录、设备运行台账」这一条的支撑即成立。</w:t>
      </w:r>
    </w:p>
    <w:p w14:paraId="38473DB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7E4B895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直接证据：折旧计算表与纳税调整明细　</w:t>
      </w:r>
      <w:r>
        <w:rPr>
          <w:rFonts w:ascii="宋体" w:hAnsi="宋体" w:eastAsia="宋体" w:cs="宋体"/>
          <w:color w:val="64748B"/>
          <w:kern w:val="0"/>
          <w:sz w:val="18"/>
          <w:szCs w:val="18"/>
          <w:bdr w:val="none" w:color="auto" w:sz="0" w:space="0"/>
          <w:shd w:val="clear" w:fill="F5F3FF"/>
          <w:lang w:val="en-US" w:eastAsia="zh-CN" w:bidi="ar"/>
        </w:rPr>
        <w:t>现状：缺失；证明目的：核对折旧税前扣除合规</w:t>
      </w:r>
    </w:p>
    <w:p w14:paraId="6988B26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情形与「设备采购合同、发票与验收单」相同（缺失）；不再重复同一段自我反驳。</w:t>
      </w:r>
    </w:p>
    <w:p w14:paraId="67C49FB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同上：该情形一旦核对通过，「折旧计算表与纳税调整明细」这一条的支撑即成立。</w:t>
      </w:r>
    </w:p>
    <w:p w14:paraId="79457CD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43DDB1F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反证：加速折旧备案或一次性扣除政策适用说明　</w:t>
      </w:r>
      <w:r>
        <w:rPr>
          <w:rFonts w:ascii="宋体" w:hAnsi="宋体" w:eastAsia="宋体" w:cs="宋体"/>
          <w:color w:val="64748B"/>
          <w:kern w:val="0"/>
          <w:sz w:val="18"/>
          <w:szCs w:val="18"/>
          <w:bdr w:val="none" w:color="auto" w:sz="0" w:space="0"/>
          <w:shd w:val="clear" w:fill="F5F3FF"/>
          <w:lang w:val="en-US" w:eastAsia="zh-CN" w:bidi="ar"/>
        </w:rPr>
        <w:t>现状：待企业提交；证明目的：适用加速折旧政策的已备案则合规</w:t>
      </w:r>
    </w:p>
    <w:p w14:paraId="0383107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情形与「设备采购合同、发票与验收单」相同（待企业提交）；不再重复同一段自我反驳。</w:t>
      </w:r>
    </w:p>
    <w:p w14:paraId="281E0DA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同上：该情形一旦核对通过，「加速折旧备案或一次性扣除政策适用说明」这一条的支撑即成立。</w:t>
      </w:r>
    </w:p>
    <w:p w14:paraId="5458C17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3D02F31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材料齐全程度（取值 0.0）</w:t>
      </w:r>
    </w:p>
    <w:p w14:paraId="5685223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05A90C7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6606C7A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49D8C07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552285FF">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设备采购合同、发票与验收单</w:t>
      </w:r>
    </w:p>
    <w:p w14:paraId="5C0BAE2C">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2CD8E07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5AFC6FA3">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2. 投产通知、试生产记录、设备运行台账</w:t>
      </w:r>
    </w:p>
    <w:p w14:paraId="2F04B94F">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039C3D3D">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16A3ECDB">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3. 折旧计算表与纳税调整明细</w:t>
      </w:r>
    </w:p>
    <w:p w14:paraId="218BA848">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7A038658">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38705E21">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4. 加速折旧备案或一次性扣除政策适用说明</w:t>
      </w:r>
    </w:p>
    <w:p w14:paraId="06294C4C">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482C51D1">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2C222B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疑点13：向非居民支付境内所得未履行源泉扣缴</w:t>
      </w:r>
      <w:r>
        <w:rPr>
          <w:rFonts w:ascii="宋体" w:hAnsi="宋体" w:eastAsia="宋体" w:cs="宋体"/>
          <w:b/>
          <w:bCs/>
          <w:color w:val="FFFFFF"/>
          <w:kern w:val="0"/>
          <w:sz w:val="18"/>
          <w:szCs w:val="18"/>
          <w:bdr w:val="none" w:color="auto" w:sz="0" w:space="0"/>
          <w:shd w:val="clear" w:fill="B91C1C"/>
          <w:lang w:val="en-US" w:eastAsia="zh-CN" w:bidi="ar"/>
        </w:rPr>
        <w:t>办理顺序：第十三项</w:t>
      </w:r>
    </w:p>
    <w:p w14:paraId="67B73B99">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向非居民企业支付股息、利息、租金、特许权使用费、财产转让所得或服务费时未依法扣缴预提所得税。从本次上传资料来看，本企业本项已查明的风险；未认定到构成要件的可能性中等，但能补全尚缺的6项资料来排除此项税务风险嫌疑。本项涉税嫌疑，涉及企业所得税、增值税；潜在税额影响：未量化（缺明确金额，须补资料后测算）。</w:t>
      </w:r>
    </w:p>
    <w:p w14:paraId="3B0BCB1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15952C0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4E9851C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在账簿/申报资料中检测到涉及向非居民支付境内所得未履行源泉扣缴的相关线索（命中：技术服务费）。本项对应的风险指标是向非居民支付境内所得未履行源泉扣缴——凡出现上述情形即纳入检查范围；是否成立，另按本项构成要件逐条核对（见下）。</w:t>
      </w:r>
    </w:p>
    <w:p w14:paraId="0961546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1BC16C3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0E1972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向非居民支付境内所得未履行源泉扣缴认定到任何一条构成要件：账内检出需进一步核实的信号——在账簿/申报资料中检测到涉及向非居民支付境内所得未履行源泉扣缴的相关线索（命中：技术服务费）。下列要件清单是本项对应的判断标准，逐条核对结果见下：</w:t>
      </w:r>
    </w:p>
    <w:p w14:paraId="34AF78B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本项（向非居民支付境内所得未履行源泉扣缴）：经核对，本企业未涉及任何一条构成要件（仅已单独核对且符合情形的要件计入）；本项共 4 条构成要件：已单独核对 0 条（符合情形 0 条、未发现符合 0 条、有信号但未达数值门槛 0 条）；未形成核对结论 0 条（资料已取得但缺对应核对证据，不作未发现符合认定）；未单独核对 4 条（独立数据源本轮未取得，均不计入涉及）。</w:t>
      </w:r>
    </w:p>
    <w:p w14:paraId="4624815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存在向境外（含中国港澳台地区）单位或个人支付款项的记录（未单独核对（独立数据源本轮未取得）；独立数据源：境外付款台账、对外付汇凭证｜须核对）</w:t>
      </w:r>
    </w:p>
    <w:p w14:paraId="5D520F6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款项性质属于股息红利、利息、租金、特许权使用费、财产转让所得或境内劳务服务（未单独核对（独立数据源本轮未取得）；独立数据源：合同或协议、境外付款台账｜须核对）</w:t>
      </w:r>
    </w:p>
    <w:p w14:paraId="3AD547B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向境外支付特许权使用费未扣缴预提所得税（未单独核对（独立数据源本轮未取得）；独立数据源：合同或协议、扣缴企业所得税报告表｜缺失）</w:t>
      </w:r>
    </w:p>
    <w:p w14:paraId="16A8740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未见对应的扣缴企业所得税申报与完税凭证，且不属于已备案免税情形（未单独核对（独立数据源本轮未取得）；独立数据源：扣缴企业所得税报告表、完税凭证｜须核对）</w:t>
      </w:r>
    </w:p>
    <w:p w14:paraId="6E7DEF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企业所得税法》第三条第三款：非居民企业在中国境内未设立机构、场所的，或者虽设立机构、场所但取得的所得与其所设机构、场所没有实际联系的，应当就其来源于中国境内的所得缴纳企业所得税（2018年修正；主席令第二十三号（2018年12月29日第十三届全国人民代表大会常务委员会第七次会议修正），现行有效）；《企业所得税法》第三十七条：对非居民企业取得本法第三条第三款规定的所得应缴纳的所得税，实行源泉扣缴，以支付人为扣缴义务人；《企业所得税法实施条例》第九十一条：减按10%的税率征收企业所得税（2019年修订；国务院令第714号（2019年4月23日修订），现行有效）。</w:t>
      </w:r>
    </w:p>
    <w:p w14:paraId="634DEF9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12"/>
        <w:gridCol w:w="9604"/>
        <w:gridCol w:w="4388"/>
        <w:gridCol w:w="1661"/>
        <w:gridCol w:w="4636"/>
      </w:tblGrid>
      <w:tr w14:paraId="5EB8D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195AA3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1A0F8C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AADAE0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BE582E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7B2103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0EA6E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F53774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A309DF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存在向境外（含中国港澳台地区）单位或个人支付款项的记录</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D7BA5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境外付款台账、对外付汇凭证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FC5B0D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8D1A6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08017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0391FF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D54E04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款项性质属于股息红利、利息、租金、特许权使用费、财产转让所得或境内劳务服务</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5EDB35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合同或协议、境外付款台账</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22486F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F02B4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7665E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4A38E4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B0F59A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向境外支付特许权使用费未扣缴预提所得税</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D913C1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合同或协议、扣缴企业所得税报告表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1A3B52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3313D4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382E1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C8CB23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156A87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未见对应的扣缴企业所得税申报与完税凭证，且不属于已备案免税情形</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64F3D6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扣缴企业所得税报告表、完税凭证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FE62E3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8BA4CC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59BAE6AC">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4E89D9A6">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5F0788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银行流水、购付汇凭证、境外付款台账中识别收款方为境外主体或境外账户的付款记录，看到本环节未产出对题读数（所需资料已在本轮提供，属检查程序待完善项）；第2步从合同、协议、董事会决议、股息分配方案（本轮未提供）中判定款项性质（股息/利息/租金/特许权使用费/转让所得/服务费），看到因缺少资料（协议、合同、协议、董事会决议、股息分配方案、须核对是否已提供：董事会决议、须核对是否已提供：股息分配方案）未取得本环节数据，该部分无法核对；第3步从合同与发票（本轮未提供）中判定所得是否来源于中国境内、是否与境内机构场所有实际联系，看到因缺少资料（合同与发票）未取得本环节数据，该部分无法核对；第4步从扣缴企业所得税报告表、完税凭证、备案资料中核对是否已扣缴申报，或是否适用税收协定优惠并完成备案，看到本环节所需资料中已提供部分、尚缺扣缴企业所得税报告表、须核对是否已提供：备案资料，该环节未能完成核对（属检查程序待完善项，不计入资料缺失）。其中第2环、第3环因缺少资料未取得数据，已计入检查受限范围；第1环所需资料已在本轮提供、但该环节未产出可展示数据、第4环未取到该环节所需的 扣缴企业所得税报告表、须核对是否已提供：备案资料，未产出可展示数据（属检查程序待完善项，不计入资料缺失，不影响资料齐备性判断）。</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40"/>
        <w:gridCol w:w="4186"/>
        <w:gridCol w:w="4864"/>
        <w:gridCol w:w="11811"/>
      </w:tblGrid>
      <w:tr w14:paraId="51BC1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400919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环节</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82B730A">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对应资料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3B1A561">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做了什么</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D28647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实际看到的数据</w:t>
            </w:r>
          </w:p>
        </w:tc>
      </w:tr>
      <w:tr w14:paraId="67645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8072D2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914AAC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银行流水、购付汇凭证、境外付款台账</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99B2E7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识别收款方为境外主体或境外账户的付款记录</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5EEBE1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本环节未产出对题读数（所需资料已在本轮提供；属检查程序待完善项）</w:t>
            </w:r>
          </w:p>
        </w:tc>
      </w:tr>
      <w:tr w14:paraId="0C661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AEBBAD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84CF5F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合同、协议、董事会决议、股息分配方案（本轮未提供）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AC1665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判定款项性质（股息/利息/租金/特许权使用费/转让所得/服务费）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7E9E88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因缺少资料（协议、合同、协议、董事会决议、股息分配方案、须核对是否已提供：董事会决议、须核对是否已提供：股息分配方案）未取得本环节数据；该部分无法核对</w:t>
            </w:r>
          </w:p>
        </w:tc>
      </w:tr>
      <w:tr w14:paraId="19385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BFA53D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0F5D93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合同与发票（本轮未提供）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37E31F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判定所得是否来源于中国境内、是否与境内机构场所有实际联系</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09001A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因缺少资料（合同与发票）未取得本环节数据；该部分无法核对</w:t>
            </w:r>
          </w:p>
        </w:tc>
      </w:tr>
      <w:tr w14:paraId="14C0D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807C79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CD04DE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扣缴企业所得税报告表、完税凭证、备案资料</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8B555F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核对是否已扣缴申报，或是否适用税收协定优惠并完成备案</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4124BA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本环节所需资料中已提供部分、尚缺扣缴企业所得税报告表、须核对是否已提供：备案资料；该环节未能完成核对（属检查程序待完善项；不计入资料缺失）</w:t>
            </w:r>
          </w:p>
        </w:tc>
      </w:tr>
    </w:tbl>
    <w:p w14:paraId="6B3FC89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633416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9项材料，其中4项已提供同类资料（对外付汇凭证、银行流水、扣缴企业所得税报告表、完税凭证）、但与本项要求的范围未逐字对应，须确认是否覆盖；确未提供的有5项（境外方签署的合同、协议、董事会利润分配决议、境外方税收居民身份证明、税收协定待遇备案表）。</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5372"/>
        <w:gridCol w:w="3540"/>
        <w:gridCol w:w="1200"/>
        <w:gridCol w:w="10566"/>
      </w:tblGrid>
      <w:tr w14:paraId="257A8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76375B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7220BD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D5CD78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83E9E1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93A14D0">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5CDE2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9DACE9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6C480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与境外方签署的合同或协议、董事会利润分配决议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534E0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证明支付义务与款项性质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A17A4A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2EECD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本轮未提供本项所需材料（境外方签署的合同、董事会利润分配决议），无法组织本项证据</w:t>
            </w:r>
          </w:p>
        </w:tc>
      </w:tr>
      <w:tr w14:paraId="21284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52CCCB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BC1C35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对外付汇凭证与银行流水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4F9E53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证明款项已实际支付</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1DF6EB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87FB02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本项要求对外付汇凭证、银行流水；其中银行流水本轮已提供，但对外付汇凭证未在已提供资料中逐字见到，须人工确认已提供资料中是否包含该内容</w:t>
            </w:r>
          </w:p>
        </w:tc>
      </w:tr>
      <w:tr w14:paraId="24AEA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8D8ED9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6CBEDB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扣缴企业所得税报告表与完税凭证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EA4F08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证明是否已履行扣缴义务</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174FC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42B849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本项要求扣缴企业所得税报告表、完税凭证，未在已提供资料中逐字见到；清单中有类别相关的记账凭证，但二者不是同一份材料，须人工确认已提供资料中是否包含本项所需内容</w:t>
            </w:r>
          </w:p>
        </w:tc>
      </w:tr>
      <w:tr w14:paraId="7E85F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064C31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C53855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境外方税收居民身份证明、税收协定待遇备案表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55473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证明是否可适用协定优惠税率</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5288F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72541C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本轮未提供本项所需材料（境外方税收居民身份证明、税收协定待遇备案表），无法组织本项证据</w:t>
            </w:r>
          </w:p>
        </w:tc>
      </w:tr>
      <w:tr w14:paraId="49321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AFA751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26A346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境外劳务全部在境外发生、与境内无实际联系的证明（出入境记录、成果交付地证明）</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A28546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所得非来源于境内时不产生扣缴义务</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6C9E40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8F3CE4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r w14:paraId="1B608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D95A6C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C05578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非居民享受协定待遇的备案与税务机关受理回执</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0D909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已备案适用优惠税率或免税的可排除少缴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199839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6AF4E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6285BDF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4950147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588DF8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向非居民支付境内所得未履行源泉扣缴」逐条核对，未认定到任何一条构成要件成立；但本项已从账内资料中查明相关信号，且本项不等于已触碰红线、也不是违法认定。具体认定范围与需补充的资料见本项各段。判断本项是否成立，要看这几项标准是否同时满足：存在向境外（含中国港澳台地区）单位或个人支付款项的记录；款项性质属于股息红利、利息、租金、特许权使用费、财产转让所得或境内劳务服务；向境外支付特许权使用费未扣缴预提所得税；未见对应的扣缴企业所得税申报与完税凭证，且不属于已备案免税情形。本轮从所报资料中直接核对到的事实是：在账簿/申报资料中检测到涉及向非居民支付境内所得未履行源泉扣缴的相关线索（命中：技术服务费）。本项检查共4环，其中第1环、第2环、第3环、第4环因本轮未取得该环节所需资料，未取得数据（各环实际读到的数据见上一段明细表）。就资料来说，支撑材料严重不足，核心材料缺失（名称逐字对应已提供0项；另有4项已提供同类资料、范围须人工确认；尚缺：与境外方签署的合同或协议、董事会利润分配决议、境外方税收居民身份证明、税收协定待遇备案表（属合同文件、利润表类）；企业尚未提交正当理由的书面证明，现有资料不足以排除本项涉嫌风险）。企业如果认为这不成立，通常可以说明：境外劳务全部在境外发生，所得不属于来源于中国境内所得；已依法履行源泉扣缴并取得完税凭证；适用中国税收协定或安排规定的优惠税率/免税，且已完成备案。但这些说明能不能采信，要看有没有书面协议和原始单据，口头解释不能作为认定依据。综合以上，本项结论是疑似逐条要件尚未认定成立（结论只到「账内已读到与该风险指向一致的信号」这一层），判断可信度约45%（偏低）。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w:t>
      </w:r>
    </w:p>
    <w:p w14:paraId="448D73F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2640648E">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3614D3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向非居民企业支付股息、利息、租金、特许权使用费、财产转让所得或服务费时未依法扣缴预提所得税的风险（涉及企业所得税、增值税）。主管税务机关可依《税收征收管理法》第三十二条加收滞纳金；构成偷税、抗税、骗税的，依第六十三条等规定追缴税款、滞纳金并处罚款。是否构成偷税、以及是否移送，须由税务机关依法调查认定。</w:t>
      </w:r>
    </w:p>
    <w:p w14:paraId="5F8F89B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4FED58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在验证前不能认定本项成立：本项的直接证据尚为「缺失」，属前置条件未满足。</w:t>
      </w:r>
    </w:p>
    <w:p w14:paraId="43E396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5D60222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0AB4EB4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直接证据：与境外方签署的合同或协议、董事会利润分配决议　</w:t>
      </w:r>
      <w:r>
        <w:rPr>
          <w:rFonts w:ascii="宋体" w:hAnsi="宋体" w:eastAsia="宋体" w:cs="宋体"/>
          <w:color w:val="64748B"/>
          <w:kern w:val="0"/>
          <w:sz w:val="18"/>
          <w:szCs w:val="18"/>
          <w:bdr w:val="none" w:color="auto" w:sz="0" w:space="0"/>
          <w:shd w:val="clear" w:fill="F5F3FF"/>
          <w:lang w:val="en-US" w:eastAsia="zh-CN" w:bidi="ar"/>
        </w:rPr>
        <w:t>现状：缺失；证明目的：证明支付义务与款项性质</w:t>
      </w:r>
    </w:p>
    <w:p w14:paraId="164BEC5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「与境外方签署的合同或协议、董事会利润分配决议」本轮未提供，是支撑链上最弱的一环；缺它就无法认定本项成立 —— 只能列为「资料未齐、不作认定」。</w:t>
      </w:r>
    </w:p>
    <w:p w14:paraId="20CB9E6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「与境外方签署的合同或协议、董事会利润分配决议」补齐后，若显示相关业务真实、口径一致 ⇒ 本项不成立（可自证清白）。</w:t>
      </w:r>
    </w:p>
    <w:p w14:paraId="4F0984A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6E24F9B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直接证据：对外付汇凭证与银行流水　</w:t>
      </w:r>
      <w:r>
        <w:rPr>
          <w:rFonts w:ascii="宋体" w:hAnsi="宋体" w:eastAsia="宋体" w:cs="宋体"/>
          <w:color w:val="64748B"/>
          <w:kern w:val="0"/>
          <w:sz w:val="18"/>
          <w:szCs w:val="18"/>
          <w:bdr w:val="none" w:color="auto" w:sz="0" w:space="0"/>
          <w:shd w:val="clear" w:fill="F5F3FF"/>
          <w:lang w:val="en-US" w:eastAsia="zh-CN" w:bidi="ar"/>
        </w:rPr>
        <w:t>现状：须核对；证明目的：证明款项已实际支付</w:t>
      </w:r>
    </w:p>
    <w:p w14:paraId="35FD77F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「对外付汇凭证与银行流水」本轮未逐字见到，只是「同类资料已提供」；若「对外付汇凭证与银行流水」其实不含本项所需内容，本项的这一支撑即为空。</w:t>
      </w:r>
    </w:p>
    <w:p w14:paraId="1969E66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经核对，已提供的同类资料中确实包含本项所需内容且口径一致 ⇒ 支撑成立；若确认不包含 ⇒ 本项应退回「资料不足、不作认定」。</w:t>
      </w:r>
    </w:p>
    <w:p w14:paraId="6754061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4FE54D2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直接证据：扣缴企业所得税报告表与完税凭证　</w:t>
      </w:r>
      <w:r>
        <w:rPr>
          <w:rFonts w:ascii="宋体" w:hAnsi="宋体" w:eastAsia="宋体" w:cs="宋体"/>
          <w:color w:val="64748B"/>
          <w:kern w:val="0"/>
          <w:sz w:val="18"/>
          <w:szCs w:val="18"/>
          <w:bdr w:val="none" w:color="auto" w:sz="0" w:space="0"/>
          <w:shd w:val="clear" w:fill="F5F3FF"/>
          <w:lang w:val="en-US" w:eastAsia="zh-CN" w:bidi="ar"/>
        </w:rPr>
        <w:t>现状：须核对；证明目的：证明是否已履行扣缴义务</w:t>
      </w:r>
    </w:p>
    <w:p w14:paraId="18EAF93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情形与「对外付汇凭证与银行流水」相同；不再重复同一段自我反驳。</w:t>
      </w:r>
    </w:p>
    <w:p w14:paraId="4EC66D9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同上：该情形一旦核对通过，「扣缴企业所得税报告表与完税凭证」这一条的支撑即成立。</w:t>
      </w:r>
    </w:p>
    <w:p w14:paraId="0CFA584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082AE75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间接证据：境外方税收居民身份证明、税收协定待遇备案表　</w:t>
      </w:r>
      <w:r>
        <w:rPr>
          <w:rFonts w:ascii="宋体" w:hAnsi="宋体" w:eastAsia="宋体" w:cs="宋体"/>
          <w:color w:val="64748B"/>
          <w:kern w:val="0"/>
          <w:sz w:val="18"/>
          <w:szCs w:val="18"/>
          <w:bdr w:val="none" w:color="auto" w:sz="0" w:space="0"/>
          <w:shd w:val="clear" w:fill="F5F3FF"/>
          <w:lang w:val="en-US" w:eastAsia="zh-CN" w:bidi="ar"/>
        </w:rPr>
        <w:t>现状：缺失；证明目的：证明是否可适用协定优惠税率</w:t>
      </w:r>
    </w:p>
    <w:p w14:paraId="574048E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情形与「与境外方签署的合同或协议、董事会利润分配决议」相同（缺失）；不再重复同一段自我反驳。</w:t>
      </w:r>
    </w:p>
    <w:p w14:paraId="0220F0C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同上：该情形一旦核对通过，「境外方税收居民身份证明、税收协定待遇备案表」这一条的支撑即成立。</w:t>
      </w:r>
    </w:p>
    <w:p w14:paraId="0CE5201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6BF404B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反证：境外劳务全部在境外发生、与境内无实际联系的证明（出入境记录、成果交付地证明）　</w:t>
      </w:r>
      <w:r>
        <w:rPr>
          <w:rFonts w:ascii="宋体" w:hAnsi="宋体" w:eastAsia="宋体" w:cs="宋体"/>
          <w:color w:val="64748B"/>
          <w:kern w:val="0"/>
          <w:sz w:val="18"/>
          <w:szCs w:val="18"/>
          <w:bdr w:val="none" w:color="auto" w:sz="0" w:space="0"/>
          <w:shd w:val="clear" w:fill="F5F3FF"/>
          <w:lang w:val="en-US" w:eastAsia="zh-CN" w:bidi="ar"/>
        </w:rPr>
        <w:t>现状：待企业提交；证明目的：所得非来源于境内时不产生扣缴义务</w:t>
      </w:r>
    </w:p>
    <w:p w14:paraId="58A233E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情形与「与境外方签署的合同或协议、董事会利润分配决议」相同（待企业提交）；不再重复同一段自我反驳。</w:t>
      </w:r>
    </w:p>
    <w:p w14:paraId="6EB6C03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同上：该情形一旦核对通过，「境外劳务全部在境外发生、与境内无实际联系的证明（出入境记录、成果交付地证明）」这一条的支撑即成立。</w:t>
      </w:r>
    </w:p>
    <w:p w14:paraId="2369F81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229AD53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反证：非居民享受协定待遇的备案与税务机关受理回执　</w:t>
      </w:r>
      <w:r>
        <w:rPr>
          <w:rFonts w:ascii="宋体" w:hAnsi="宋体" w:eastAsia="宋体" w:cs="宋体"/>
          <w:color w:val="64748B"/>
          <w:kern w:val="0"/>
          <w:sz w:val="18"/>
          <w:szCs w:val="18"/>
          <w:bdr w:val="none" w:color="auto" w:sz="0" w:space="0"/>
          <w:shd w:val="clear" w:fill="F5F3FF"/>
          <w:lang w:val="en-US" w:eastAsia="zh-CN" w:bidi="ar"/>
        </w:rPr>
        <w:t>现状：待企业提交；证明目的：已备案适用优惠税率或免税的可排除少缴</w:t>
      </w:r>
    </w:p>
    <w:p w14:paraId="0EA5355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情形与「与境外方签署的合同或协议、董事会利润分配决议」相同（待企业提交）；不再重复同一段自我反驳。</w:t>
      </w:r>
    </w:p>
    <w:p w14:paraId="66CB257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同上：该情形一旦核对通过，「非居民享受协定待遇的备案与税务机关受理回执」这一条的支撑即成立。</w:t>
      </w:r>
    </w:p>
    <w:p w14:paraId="4EED4B9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73E2E66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材料齐全程度（取值 0.0）</w:t>
      </w:r>
    </w:p>
    <w:p w14:paraId="2824495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18B680B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23909E6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3FEBA88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2062581E">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与境外方签署的合同或协议、董事会利润分配决议</w:t>
      </w:r>
    </w:p>
    <w:p w14:paraId="623ABAE7">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5EFC727A">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6C4093CB">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2. 境外方税收居民身份证明、税收协定待遇备案表</w:t>
      </w:r>
    </w:p>
    <w:p w14:paraId="7DA4576B">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247E60C8">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13C79FA4">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3. 境外劳务全部在境外发生、与境内无实际联系的证明（出入境记录、成果交付地证明）</w:t>
      </w:r>
    </w:p>
    <w:p w14:paraId="5B0FE56A">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2453955E">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059F932C">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4. 非居民享受协定待遇的备案与税务机关受理回执</w:t>
      </w:r>
    </w:p>
    <w:p w14:paraId="7EFF5308">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050A5D9C">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01EF73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疑点14：广告/娱乐服务未申报文化事业建设费</w:t>
      </w:r>
      <w:r>
        <w:rPr>
          <w:rFonts w:ascii="宋体" w:hAnsi="宋体" w:eastAsia="宋体" w:cs="宋体"/>
          <w:b/>
          <w:bCs/>
          <w:color w:val="FFFFFF"/>
          <w:kern w:val="0"/>
          <w:sz w:val="18"/>
          <w:szCs w:val="18"/>
          <w:bdr w:val="none" w:color="auto" w:sz="0" w:space="0"/>
          <w:shd w:val="clear" w:fill="B91C1C"/>
          <w:lang w:val="en-US" w:eastAsia="zh-CN" w:bidi="ar"/>
        </w:rPr>
        <w:t>办理顺序：第十四项</w:t>
      </w:r>
    </w:p>
    <w:p w14:paraId="523A5EC9">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提供广告服务、娱乐服务取得收入未申报缴纳文化事业建设费。从本次上传资料来看，本企业本项已查明的风险；未认定到构成要件的可能性中等，但能补全尚缺的3项资料来排除此项税务风险嫌疑。本项涉税嫌疑，涉及文化事业建设费；潜在税额影响：未量化（缺明确金额，须补资料后测算）。</w:t>
      </w:r>
    </w:p>
    <w:p w14:paraId="68EE44F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0C5CE6FF">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0AD643A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本项之所以列入检查，是因为出现了以下情况：同一供应商同品名单价不一致（共5笔）（本表 5 行，涉及 5 个对象，金额合计 0.00 元）。本项对应的风险指标是广告/娱乐服务未申报文化事业建设费——凡出现上述情形即纳入检查范围；是否成立，另按本项构成要件逐条核对（见下）。</w:t>
      </w:r>
    </w:p>
    <w:p w14:paraId="6DD6070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11D3B0CF">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0AFE6E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广告/娱乐服务未申报文化事业建设费认定到任何一条构成要件：账内检出需进一步核实的信号——在账簿/申报/发票资料中检测到涉及文化事业建设费未申报的线索（命中：广告服务、广告发布、娱乐服务、文化服务）。下列要件清单是本项对应的判断标准，逐条核对结果见下：</w:t>
      </w:r>
    </w:p>
    <w:p w14:paraId="5051EB1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本项（广告/娱乐服务未申报文化事业建设费）：经核对，本企业未涉及任何一条构成要件（仅已单独核对且符合情形的要件计入）；本项共 5 条构成要件：已单独核对 0 条（符合情形 0 条、未发现符合 0 条、有信号但未达数值门槛 0 条）；未形成核对结论 0 条（资料已取得但缺对应核对证据，不作未发现符合认定）；未单独核对 5 条（独立数据源本轮未取得，均不计入涉及）。</w:t>
      </w:r>
    </w:p>
    <w:p w14:paraId="02221A6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企业提供广告服务（广告发布、广告代理、广告制作）或娱乐服务取得收入（未单独核对（独立数据源本轮未取得）；独立数据源：广告服务、娱乐服务收入台账｜缺失）</w:t>
      </w:r>
    </w:p>
    <w:p w14:paraId="6D89B80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计费销售额达到文化事业建设费起征点（缴纳义务人月销售额≥2万元，广告服务业）且未申报缴纳（未单独核对（独立数据源本轮未取得）；独立数据源：文化事业建设费申报表｜缺失）</w:t>
      </w:r>
    </w:p>
    <w:p w14:paraId="6B67703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增值税申报表或发票品名显示广告/娱乐服务收入，但无文化事业建设费申报或缴款记录（未单独核对（独立数据源本轮未取得）；独立数据源：增值税申报表、文化事业建设费申报表｜须核对）</w:t>
      </w:r>
    </w:p>
    <w:p w14:paraId="32B296C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将广告服务收入拆分、混入其他应税服务以逃避文化事业建设费计费基数（未单独核对（独立数据源本轮未取得）；独立数据源：广告服务、娱乐服务收入台账、服务合同｜缺失）</w:t>
      </w:r>
    </w:p>
    <w:p w14:paraId="494C4D1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不属于下列正当情形：提供的服务不属于广告服务或娱乐服务范围；月计费销售额未达起征点；已取得文化事业建设费减免或免征资格并留存证明（未单独核对（独立数据源本轮未取得）；独立数据源：文化事业建设费申报表、服务合同｜缺失）</w:t>
      </w:r>
    </w:p>
    <w:p w14:paraId="02E296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法定依据：财政部 国家税务总局关于营业税改征增值税试点有关文化事业建设费政策及征收管理问题的补充通知（财税〔2016〕25号）（版本未登记，须核对现行有效文本）；财政部 国家税务总局关于全面推开营业税改征增值税试点的通知（财税〔2016〕36号）（版本未登记，须核对现行有效文本）。</w:t>
      </w:r>
    </w:p>
    <w:p w14:paraId="738F95E6">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60"/>
        <w:gridCol w:w="12245"/>
        <w:gridCol w:w="3667"/>
        <w:gridCol w:w="1247"/>
        <w:gridCol w:w="3482"/>
      </w:tblGrid>
      <w:tr w14:paraId="293D8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621E3A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8210171">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644A77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07EAAE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F3B3DF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17888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0A117C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FBBFA9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企业提供广告服务（广告发布、广告代理、广告制作）或娱乐服务取得收入</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F4C8E0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广告服务、娱乐服务收入台账</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A455F8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CB96C2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5982D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9A9E60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7F524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计费销售额达到文化事业建设费起征点（缴纳义务人月销售额≥2万元，广告服务业）且未申报缴纳</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6BBF94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文化事业建设费申报表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1A02CC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B08597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1AD6D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68BD64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385B5C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增值税申报表或发票品名显示广告/娱乐服务收入，但无文化事业建设费申报或缴款记录</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243210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增值税申报表、文化事业建设费申报表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638F6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E84CB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6E620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B41E28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566D6F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将广告服务收入拆分、混入其他应税服务以逃避文化事业建设费计费基数</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F3DA50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广告服务、娱乐服务收入台账、服务合同</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10C63B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4EEAB6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32FD6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34DC2B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2E0F4E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不属于下列正当情形：提供的服务不属于广告服务或娱乐服务范围；月计费销售额未达起征点；已取得文化事业建设费减免或免征资格并留存证明</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FA33EA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文化事业建设费申报表、服务合同</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3C4137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140A3F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2DBB95F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70715B33">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33AD40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销项发票品名、合同、增值税申报表中提取广告/娱乐服务计费销售额，看到命中线索：广告服务、广告发布、娱乐服务（要件观察事实，是否构成该要件之情形须人工复核）；第2步从文化事业建设费申报表及缴款凭证中比对计费销售额是否申报缴纳，看到本环节未产出对题读数（所需资料已在本轮提供，属检查程序待完善项）；第3步从收入拆分明细、往来科目中检查是否通过拆分逃避计费基数，看到本环节所需资料中已提供部分、尚缺须核对是否已提供：收入拆分明细，该环节未能完成核对（属检查程序待完善项，不计入资料缺失）。第2环所需资料已在本轮提供、但该环节未产出可展示数据、第3环未取到该环节所需的 须核对是否已提供：收入拆分明细，未产出可展示数据（属检查程序待完善项，不计入资料缺失，不影响资料齐备性判断）。</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16"/>
        <w:gridCol w:w="3847"/>
        <w:gridCol w:w="3411"/>
        <w:gridCol w:w="13427"/>
      </w:tblGrid>
      <w:tr w14:paraId="4342F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5A3E90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环节</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D13688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对应资料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853F54A">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做了什么</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04B1BD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实际看到的数据</w:t>
            </w:r>
          </w:p>
        </w:tc>
      </w:tr>
      <w:tr w14:paraId="7B8BC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9079B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E731E8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销项发票品名、合同、增值税申报表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03A4E4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提取广告/娱乐服务计费销售额</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C26267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命中线索：广告服务、广告发布、娱乐服务（要件观察事实；是否构成该要件之情形须人工复核）</w:t>
            </w:r>
          </w:p>
        </w:tc>
      </w:tr>
      <w:tr w14:paraId="451F7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B06994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7A6262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文化事业建设费申报表及缴款凭证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544F27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比对计费销售额是否申报缴纳</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2F4D73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本环节未产出对题读数（所需资料已在本轮提供；属检查程序待完善项）</w:t>
            </w:r>
          </w:p>
        </w:tc>
      </w:tr>
      <w:tr w14:paraId="06980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FFD27A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6127E9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收入拆分明细、往来科目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4DAC0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检查是否通过拆分逃避计费基数</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8FBD1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本环节所需资料中已提供部分、尚缺须核对是否已提供：收入拆分明细；该环节未能完成核对（属检查程序待完善项；不计入资料缺失）</w:t>
            </w:r>
          </w:p>
        </w:tc>
      </w:tr>
    </w:tbl>
    <w:p w14:paraId="0547D303">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16CAF7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5项材料，其中5项已提供同类资料（广告、娱乐服务收入台账、销项发票、文化事业建设费申报表、缴款凭证）、但与本项要求的范围未逐字对应，须确认是否覆盖。</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3090"/>
        <w:gridCol w:w="3000"/>
        <w:gridCol w:w="1200"/>
        <w:gridCol w:w="13388"/>
      </w:tblGrid>
      <w:tr w14:paraId="30D53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F955FC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39EF1A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CAE80C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7939DE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44AED6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74360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AFD840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FABEB0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广告/娱乐服务收入台账与销项发票</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97CAAE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证明计费销售额</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0F6503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0DC9BBB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本项要求娱乐服务收入台账、销项发票；其中销项发票本轮已提供，但娱乐服务收入台账未在已提供资料中逐字见到，须人工确认已提供资料中是否包含该内容</w:t>
            </w:r>
          </w:p>
        </w:tc>
      </w:tr>
      <w:tr w14:paraId="17263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FDAFA9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445FCC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文化事业建设费申报表与缴款凭证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59B989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证明已申报缴纳</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92FACC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87F70E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本项要求文化事业建设费申报表、缴款凭证，未在已提供资料中逐字见到；清单中有类别相关的记账凭证，但二者不是同一份材料，须人工确认已提供资料中是否包含本项所需内容</w:t>
            </w:r>
          </w:p>
        </w:tc>
      </w:tr>
      <w:tr w14:paraId="726C6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6A8BC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1C764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服务范围说明与免征资格证明</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89B6C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证明不属于应税范围或已享受减免</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B63B2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C7F28F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0023AC30">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52BFBDB5">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33FD67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广告/娱乐服务未申报文化事业建设费」逐条核对，未认定到任何一条构成要件成立；但本项已从账内资料中查明相关信号，且本项不等于已触碰红线、也不是违法认定。具体认定范围与需补充的资料见本项各段。判断本项是否成立，要看这几项标准是否同时满足：企业提供广告服务（广告发布、广告代理、广告制作）或娱乐服务取得收入；计费销售额达到文化事业建设费起征点（缴纳义务人月销售额≥2万元，广告服务业）且未申报缴纳；增值税申报表或发票品名显示广告/娱乐服务收入，但无文化事业建设费申报或缴款记录；将广告服务收入拆分、混入其他应税服务以逃避文化事业建设费计费基数；不属于下列正当情形：提供的服务不属于广告服务或娱乐服务范围；月计费销售额未达起征点；已取得文化事业建设费减免或免征资格并留存证明。本轮从所报资料中直接核对到的事实是：在账簿/申报/发票资料中检测到涉及文化事业建设费未申报的线索（命中：广告服务、广告发布、娱乐服务、文化服务）。本项检查共3环，其中第2环、第3环因本轮未取得该环节所需资料，未取得数据（各环实际读到的数据见上一段明细表）。就资料来说，支撑材料严重不足，核心材料缺失（名称逐字对应已提供0项；另有5项已提供同类资料、范围须人工确认；企业尚未提交正当理由的书面证明，现有资料不足以排除本项涉嫌风险）。企业如果认为这不成立，通常可以说明：提供的服务不属于广告服务或娱乐服务范围，计费销售额不含应税收入；月计费销售额未达文化事业建设费起征点；已取得文化事业建设费减免或免征资格并留存相关证明。但这些说明能不能采信，要看有没有书面协议和原始单据，口头解释不能作为认定依据。综合以上，本项结论是疑似逐条要件尚未认定成立（结论只到「账内已读到与该风险指向一致的信号」这一层），判断可信度约48%（偏低）。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w:t>
      </w:r>
    </w:p>
    <w:p w14:paraId="36FDDAF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7F5DFA4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0E96C5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提供广告服务、娱乐服务取得收入未申报缴纳文化事业建设费的风险（涉及文化事业建设费）。按规定补缴并加收滞纳金；文化事业建设费是政府性基金，不是税，不适用《税收征收管理法》偷税条款。</w:t>
      </w:r>
    </w:p>
    <w:p w14:paraId="1ECE8B95">
      <w:pPr>
        <w:keepNext w:val="0"/>
        <w:keepLines w:val="0"/>
        <w:widowControl/>
        <w:suppressLineNumbers w:val="0"/>
        <w:pBdr>
          <w:top w:val="none" w:color="auto" w:sz="0" w:space="0"/>
          <w:left w:val="single" w:color="C2410C" w:sz="18" w:space="0"/>
          <w:bottom w:val="none" w:color="auto" w:sz="0" w:space="0"/>
          <w:right w:val="none" w:color="auto" w:sz="0" w:space="0"/>
        </w:pBdr>
        <w:shd w:val="clear" w:fill="FFF7ED"/>
        <w:spacing w:before="0" w:beforeAutospacing="0" w:after="75" w:afterAutospacing="0" w:line="28" w:lineRule="atLeast"/>
        <w:ind w:left="0" w:right="0"/>
        <w:jc w:val="left"/>
        <w:rPr>
          <w:b/>
          <w:bCs/>
          <w:color w:val="9A3412"/>
          <w:sz w:val="19"/>
          <w:szCs w:val="19"/>
        </w:rPr>
      </w:pPr>
      <w:r>
        <w:rPr>
          <w:rFonts w:ascii="宋体" w:hAnsi="宋体" w:eastAsia="宋体" w:cs="宋体"/>
          <w:b/>
          <w:bCs/>
          <w:color w:val="9A3412"/>
          <w:kern w:val="0"/>
          <w:sz w:val="19"/>
          <w:szCs w:val="19"/>
          <w:bdr w:val="none" w:color="auto" w:sz="0" w:space="0"/>
          <w:shd w:val="clear" w:fill="FFF7ED"/>
          <w:lang w:val="en-US" w:eastAsia="zh-CN" w:bidi="ar"/>
        </w:rPr>
        <w:t>本项还包含以下风险信号</w:t>
      </w:r>
    </w:p>
    <w:p w14:paraId="28C492D6">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文化事业建设费未申报</w:t>
      </w:r>
    </w:p>
    <w:p w14:paraId="6231AF89">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终局：可自证清白</w:t>
      </w:r>
    </w:p>
    <w:p w14:paraId="0DAF846C">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请补充下列资料后复核：广告服务/娱乐服务收入台账、增值税申报表、文化事业建设费申报表</w:t>
      </w:r>
    </w:p>
    <w:p w14:paraId="575503A9">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需补资料：</w:t>
      </w:r>
      <w:r>
        <w:rPr>
          <w:rFonts w:ascii="宋体" w:hAnsi="宋体" w:eastAsia="宋体" w:cs="宋体"/>
          <w:kern w:val="0"/>
          <w:sz w:val="18"/>
          <w:szCs w:val="18"/>
          <w:bdr w:val="none" w:color="auto" w:sz="0" w:space="0"/>
          <w:shd w:val="clear" w:fill="FFF7ED"/>
          <w:lang w:val="en-US" w:eastAsia="zh-CN" w:bidi="ar"/>
        </w:rPr>
        <w:t>本事项相关原始凭证（合同／发票／资金流水／账簿记录）——证明本事项所涉业务的真实性与账务处理依据</w:t>
      </w:r>
    </w:p>
    <w:p w14:paraId="28ADEE28">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0" w:beforeAutospacing="0" w:after="90" w:afterAutospacing="0" w:line="29" w:lineRule="atLeast"/>
        <w:ind w:left="0" w:right="0"/>
        <w:jc w:val="left"/>
        <w:rPr>
          <w:b/>
          <w:bCs/>
          <w:color w:val="991B1B"/>
          <w:sz w:val="20"/>
          <w:szCs w:val="20"/>
        </w:rPr>
      </w:pPr>
      <w:r>
        <w:rPr>
          <w:rFonts w:ascii="宋体" w:hAnsi="宋体" w:eastAsia="宋体" w:cs="宋体"/>
          <w:b/>
          <w:bCs/>
          <w:color w:val="991B1B"/>
          <w:kern w:val="0"/>
          <w:sz w:val="20"/>
          <w:szCs w:val="20"/>
          <w:bdr w:val="none" w:color="auto" w:sz="0" w:space="0"/>
          <w:shd w:val="clear" w:fill="FEF2F2"/>
          <w:lang w:val="en-US" w:eastAsia="zh-CN" w:bidi="ar"/>
        </w:rPr>
        <w:t>本项因缺资料未能查完</w:t>
      </w:r>
    </w:p>
    <w:p w14:paraId="37B633DB">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未收到「合同文件」</w:t>
      </w:r>
    </w:p>
    <w:p w14:paraId="1B4BA2A6">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34FACECD">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由于资料条件不具备，本轮没法完成与“合同文件”相关的账、票、表、税、款交叉核对。目前仍无法排除相应的风险方向。涉及合同文件的检查结论不得显示为无异常或已经合规。</w:t>
      </w:r>
    </w:p>
    <w:p w14:paraId="0CC297B7">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企业应补充合同文件。如原资料客观上无法取得，可以提供能够证明同一事实的替代资料。</w:t>
      </w:r>
    </w:p>
    <w:p w14:paraId="6D46E581">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18E09786">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60" w:beforeAutospacing="0" w:after="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EF2F2"/>
          <w:lang w:val="en-US" w:eastAsia="zh-CN" w:bidi="ar"/>
        </w:rPr>
        <w:t>（本项结论在资料补齐前不予认定；补齐后重新执行一键分析即完成本项核对。）</w:t>
      </w:r>
    </w:p>
    <w:p w14:paraId="7B8B0AB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04D003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在验证前不能认定本项成立：本项的直接证据尚为「须核对」，属前置条件未满足。</w:t>
      </w:r>
    </w:p>
    <w:p w14:paraId="537844B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71FDE2B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58B5DA3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直接证据：广告/娱乐服务收入台账与销项发票　</w:t>
      </w:r>
      <w:r>
        <w:rPr>
          <w:rFonts w:ascii="宋体" w:hAnsi="宋体" w:eastAsia="宋体" w:cs="宋体"/>
          <w:color w:val="64748B"/>
          <w:kern w:val="0"/>
          <w:sz w:val="18"/>
          <w:szCs w:val="18"/>
          <w:bdr w:val="none" w:color="auto" w:sz="0" w:space="0"/>
          <w:shd w:val="clear" w:fill="F5F3FF"/>
          <w:lang w:val="en-US" w:eastAsia="zh-CN" w:bidi="ar"/>
        </w:rPr>
        <w:t>现状：须核对；证明目的：证明计费销售额</w:t>
      </w:r>
    </w:p>
    <w:p w14:paraId="759CE84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「广告/娱乐服务收入台账与销项发票」本轮未逐字见到，只是「同类资料已提供」；若「广告/娱乐服务收入台账与销项发票」其实不含本项所需内容，本项的这一支撑即为空。</w:t>
      </w:r>
    </w:p>
    <w:p w14:paraId="771DF71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经核对，已提供的同类资料中确实包含本项所需内容且口径一致 ⇒ 支撑成立；若确认不包含 ⇒ 本项应退回「资料不足、不作认定」。</w:t>
      </w:r>
    </w:p>
    <w:p w14:paraId="7480B6E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0EF7E51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直接证据：文化事业建设费申报表与缴款凭证　</w:t>
      </w:r>
      <w:r>
        <w:rPr>
          <w:rFonts w:ascii="宋体" w:hAnsi="宋体" w:eastAsia="宋体" w:cs="宋体"/>
          <w:color w:val="64748B"/>
          <w:kern w:val="0"/>
          <w:sz w:val="18"/>
          <w:szCs w:val="18"/>
          <w:bdr w:val="none" w:color="auto" w:sz="0" w:space="0"/>
          <w:shd w:val="clear" w:fill="F5F3FF"/>
          <w:lang w:val="en-US" w:eastAsia="zh-CN" w:bidi="ar"/>
        </w:rPr>
        <w:t>现状：须核对；证明目的：证明已申报缴纳</w:t>
      </w:r>
    </w:p>
    <w:p w14:paraId="0DDD785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情形与「广告/娱乐服务收入台账与销项发票」相同；不再重复同一段自我反驳。</w:t>
      </w:r>
    </w:p>
    <w:p w14:paraId="06A452A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同上：该情形一旦核对通过，「文化事业建设费申报表与缴款凭证」这一条的支撑即成立。</w:t>
      </w:r>
    </w:p>
    <w:p w14:paraId="21F1226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409D7AC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反证：服务范围说明与免征资格证明　</w:t>
      </w:r>
      <w:r>
        <w:rPr>
          <w:rFonts w:ascii="宋体" w:hAnsi="宋体" w:eastAsia="宋体" w:cs="宋体"/>
          <w:color w:val="64748B"/>
          <w:kern w:val="0"/>
          <w:sz w:val="18"/>
          <w:szCs w:val="18"/>
          <w:bdr w:val="none" w:color="auto" w:sz="0" w:space="0"/>
          <w:shd w:val="clear" w:fill="F5F3FF"/>
          <w:lang w:val="en-US" w:eastAsia="zh-CN" w:bidi="ar"/>
        </w:rPr>
        <w:t>现状：待企业提交；证明目的：证明不属于应税范围或已享受减免</w:t>
      </w:r>
    </w:p>
    <w:p w14:paraId="5937AE3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「服务范围说明与免征资格证明」本轮未提供，是支撑链上最弱的一环；缺它就无法认定本项成立 —— 只能列为「资料未齐、不作认定」。</w:t>
      </w:r>
    </w:p>
    <w:p w14:paraId="5B34361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「服务范围说明与免征资格证明」补齐后，若显示相关业务真实、口径一致 ⇒ 本项不成立（可自证清白）。</w:t>
      </w:r>
    </w:p>
    <w:p w14:paraId="69C9B11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30C63F7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材料齐全程度（取值 0.0）</w:t>
      </w:r>
    </w:p>
    <w:p w14:paraId="555ED6B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047CA8D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53CE325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39DFE303">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795E426B">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服务范围说明与免征资格证明</w:t>
      </w:r>
    </w:p>
    <w:p w14:paraId="1A63BD14">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4A74AB3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51945D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疑点15：成本列支的资金与负债证据不足：真实性须核对</w:t>
      </w:r>
      <w:r>
        <w:rPr>
          <w:rFonts w:ascii="宋体" w:hAnsi="宋体" w:eastAsia="宋体" w:cs="宋体"/>
          <w:b/>
          <w:bCs/>
          <w:color w:val="FFFFFF"/>
          <w:kern w:val="0"/>
          <w:sz w:val="18"/>
          <w:szCs w:val="18"/>
          <w:bdr w:val="none" w:color="auto" w:sz="0" w:space="0"/>
          <w:shd w:val="clear" w:fill="B91C1C"/>
          <w:lang w:val="en-US" w:eastAsia="zh-CN" w:bidi="ar"/>
        </w:rPr>
        <w:t>办理顺序：第十五项</w:t>
      </w:r>
    </w:p>
    <w:p w14:paraId="44782FF1">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成本列支未形成付款或负债闭环，涉嫌虚列成本、发票未入账或接受虚开发票。从本次上传资料来看，本企业本项已查明的风险；未认定到构成要件的可能性中等，但能补全尚缺的4项资料来排除此项税务风险嫌疑。本项涉税嫌疑，涉及企业所得税、增值税；潜在税额影响：未量化（缺明确金额，须补资料后测算）。</w:t>
      </w:r>
    </w:p>
    <w:p w14:paraId="09F6D54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3756808F">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574EF5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本项之所以列入检查，是因为出现了以下情况：表1 主营成本总额，按供应商分布（合计 4,513,064.91 元，来源：采购发票，主营业务成本类）（本表 36 行，金额合计 2,724,926.66 元）；表2 公司已付金额，按供应商分布（合计 2,751,129.23 元，来源：银行流水，对公/平台代付匹配）（本表 23 行，金额合计 2,751,129.23 元）；表3 无供应商级明细可核对的成本，逐笔（共 6 笔，合计 13,432.48 元）（本表 6 行，金额合计 13,432.48 元）。本项对应的风险指标是成本列支的资金与负债证据不足：真实性须核对——凡出现上述情形即纳入检查范围；是否成立，另按本项构成要件逐条核对（见下）。</w:t>
      </w:r>
    </w:p>
    <w:p w14:paraId="2E64D6E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16FCEBF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5CA413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成本列支的资金与负债证据不足：真实性须核对认定到任何一条构成要件：账内检出需进一步核实的信号——主营业务成本中有13,432.48元（6笔）未匹配到任何支付渠道。下列要件清单是本项对应的判断标准，逐条核对结果见下：</w:t>
      </w:r>
    </w:p>
    <w:p w14:paraId="079514B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本项（成本列支的资金与负债证据不足：真实性）：经核对，本企业未涉及任何一条构成要件（仅已单独核对且符合情形的要件计入）；本项共 5 条构成要件：已单独核对 0 条（符合情形 0 条、未发现符合 0 条、有信号但未达数值门槛 0 条）；未形成核对结论 3 条（资料已取得但缺对应核对证据，不作未发现符合认定）；未单独核对 2 条（独立数据源本轮未取得，均不计入涉及）。</w:t>
      </w:r>
    </w:p>
    <w:p w14:paraId="78C657C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成本列支后无任何支付渠道记录（对公转账、第三方平台代付、票据结算、个人垫付报销、现金、债务抵销）（未形成核对结论（资料已取得但缺本要件的对应核对证据，不作未发现符合认定）；独立数据源：成本明细账、银行流水｜已有）</w:t>
      </w:r>
    </w:p>
    <w:p w14:paraId="06C0825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存在未付款金额且占同类成本比例超过行业基准进销比区间上沿（行业基准通用参考值，非税务机关官方口径，仅作线索参照）（未形成核对结论（资料已取得但缺本要件的对应核对证据，不作未发现符合认定）；独立数据源：成本明细账、应付账款明细｜已有）</w:t>
      </w:r>
    </w:p>
    <w:p w14:paraId="4D6F355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账面应付账款明细中亦无对应挂账（只有先排除挂账、票据结算、债务抵销等非现款结算，才可认定本项；成本列支的正常闭环是有付款或有负债二者至少其一）（未形成核对结论（资料已取得但缺本要件的对应核对证据，不作未发现符合认定）；独立数据源：应付账款明细、成本明细账｜已有）</w:t>
      </w:r>
    </w:p>
    <w:p w14:paraId="2540198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成本对应的供应商与销售客户为同一控制方，形成自买自卖闭环（未单独核对（独立数据源本轮未取得）；独立数据源：进项发票、采购合同｜须核对）</w:t>
      </w:r>
    </w:p>
    <w:p w14:paraId="231843D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不属于下列正当情形：尚在信用期内未付款（有应付账款挂账与账龄）；以银行承兑汇票背书结算（有票据台账与背书记录）；三方转账或债权抵销（有书面协议）；关联方内部往来统一结算（有结算协议）（未单独核对（独立数据源本轮未取得）；独立数据源：应付账款明细、银行流水、采购合同｜须核对）</w:t>
      </w:r>
    </w:p>
    <w:p w14:paraId="1D8D6F1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企业所得税法》第八条：企业实际发生的与取得收入有关的、合理的支出准予扣除（2018年修正；主席令第二十三号（2018年12月29日第十三届全国人民代表大会常务委员会第七次会议修正），现行有效）；《企业所得税税前扣除凭证管理办法（国家税务总局公告2018年第28号）》第四条：税前扣除凭证在管理中遵循真实性、合法性、关联性原则（版本未登记，须核对现行有效文本）；《发票管理办法》第二十二条：任何单位和个人不得有下列虚开发票行为（2023年修订；国务院令第764号（2023年7月20日修订），现行有效）。</w:t>
      </w:r>
    </w:p>
    <w:p w14:paraId="6FAD3A87">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11268"/>
        <w:gridCol w:w="3180"/>
        <w:gridCol w:w="1204"/>
        <w:gridCol w:w="5026"/>
      </w:tblGrid>
      <w:tr w14:paraId="2DF8A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CCA070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369D88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740B20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2E33E2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1D4B700">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56DEA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C1D70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04140E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成本列支后无任何支付渠道记录（对公转账、第三方平台代付、票据结算、个人垫付报销、现金、债务抵销）</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62A0B8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成本明细账、银行流水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DA63AB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FF6A76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67603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85E216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6D03A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存在未付款金额且占同类成本比例超过行业基准进销比区间上沿（行业基准通用参考值，非税务机关官方口径，仅作线索参照）</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D65ED4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成本明细账、应付账款明细</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85FB18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052BD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03DCC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BB2009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7E5293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账面应付账款明细中亦无对应挂账（只有先排除挂账、票据结算、债务抵销等非现款结算，才可认定本项；成本列支的正常闭环是「有付款」或「有负债」二者至少其一）</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B7731B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应付账款明细、成本明细账</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775073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F80A67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未形成核对结论（资料已取得但缺本要件的对应核对证据，不作『未发现符合』认定）</w:t>
            </w:r>
          </w:p>
        </w:tc>
      </w:tr>
      <w:tr w14:paraId="1BAE3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5DC306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D4A7A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成本对应的供应商与销售客户为同一控制方，形成自买自卖闭环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11119B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进项发票、采购合同</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3F1EDF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5061BF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0227D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6652C0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76C1EA5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不属于下列正当情形：尚在信用期内未付款（有应付账款挂账与账龄）；以银行承兑汇票背书结算（有票据台账与背书记录）；三方转账或债权抵销（有书面协议）；关联方内部往来统一结算（有结算协议）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906359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应付账款明细、银行流水、采购合同</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6AC557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5481AB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6045B0D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6CDD309F">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11FCF5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成本明细账、进项发票中按供应商归集采购成本与开票金额，看到本环节未产出对题读数（所需资料已在本轮提供，属检查程序待完善项）；第2步从银行流水（对公）中按供应商匹配付款记录（含第三方平台代付），看到主营成本4,513,064.91元中，1,498,692.68元未匹配到任何支付渠道（已放宽至发票日后合理账期与跨年付款窗口）；第3步从两者比对（本轮未提供）中计算未匹配付款的成本金额与占比；第4步从应付账款明细、票据台账、抵账协议中排除挂账、票据结算、债务抵销等非现款结算，看到账面应付账款挂账仅263,243.00元，未能覆盖上述差额（挂账、票据结算、债务抵销等非现款结算已先行排除）。第1环所需资料已在本轮提供、但该环节未产出可展示数据（属检查程序待完善项，不计入资料缺失，不影响资料齐备性判断）。</w:t>
      </w:r>
    </w:p>
    <w:p w14:paraId="64ED569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表1 主营成本总额·按供应商分布（合计 4,513,064.91 元，来源：采购发票·主营业务成本类）</w:t>
      </w:r>
    </w:p>
    <w:p w14:paraId="1367FEF9">
      <w:pPr>
        <w:pStyle w:val="5"/>
        <w:keepNext w:val="0"/>
        <w:keepLines w:val="0"/>
        <w:widowControl/>
        <w:suppressLineNumbers w:val="0"/>
        <w:pBdr>
          <w:top w:val="none" w:color="auto" w:sz="0" w:space="0"/>
          <w:left w:val="single" w:color="94A3B8" w:sz="18" w:space="7"/>
          <w:bottom w:val="none" w:color="auto" w:sz="0" w:space="0"/>
          <w:right w:val="none" w:color="auto" w:sz="0" w:space="0"/>
        </w:pBdr>
        <w:shd w:val="clear" w:fill="F8FAFC"/>
        <w:spacing w:before="90" w:beforeAutospacing="0" w:after="30" w:afterAutospacing="0" w:line="28" w:lineRule="atLeast"/>
        <w:ind w:left="0" w:right="0" w:firstLine="420"/>
        <w:jc w:val="both"/>
        <w:rPr>
          <w:color w:val="475569"/>
          <w:sz w:val="18"/>
          <w:szCs w:val="18"/>
        </w:rPr>
      </w:pPr>
      <w:r>
        <w:rPr>
          <w:color w:val="475569"/>
          <w:sz w:val="18"/>
          <w:szCs w:val="18"/>
          <w:bdr w:val="none" w:color="auto" w:sz="0" w:space="0"/>
          <w:shd w:val="clear" w:fill="F8FAFC"/>
        </w:rPr>
        <w:t>口径说明：本表列出的是该风险事项所依据的基础逐笔明细（全量）；正文与构成要件中写明的人数/笔数是按构成要件筛选后的结果，两者口径不同，判断具体涉及范围时以正文数字为准。</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936"/>
        <w:gridCol w:w="2901"/>
        <w:gridCol w:w="4864"/>
      </w:tblGrid>
      <w:tr w14:paraId="3318D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3E1CE0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供应商</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5C0FCA1">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笔数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C0094C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金额</w:t>
            </w:r>
          </w:p>
        </w:tc>
      </w:tr>
      <w:tr w14:paraId="697EE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CBCF8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郑州琥珀体育文化有限公司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67784F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FBBF23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641509.43</w:t>
            </w:r>
          </w:p>
        </w:tc>
      </w:tr>
      <w:tr w14:paraId="5B94F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BD32B3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华美博扬（深圳）数字科技有限公司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D132FB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681B83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501660.38</w:t>
            </w:r>
          </w:p>
        </w:tc>
      </w:tr>
      <w:tr w14:paraId="5AC36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53D001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宁夏博图数字传媒有限公司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E91292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CCDAEF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235849.06</w:t>
            </w:r>
          </w:p>
        </w:tc>
      </w:tr>
      <w:tr w14:paraId="1092C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FFAC8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江西君酌文化传播有限公司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EA4FDA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14BD19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201672.65</w:t>
            </w:r>
          </w:p>
        </w:tc>
      </w:tr>
      <w:tr w14:paraId="5FED6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C00F5F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悟研（邯郸）文化传媒有限公司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F58C08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BE6F74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200990.1</w:t>
            </w:r>
          </w:p>
        </w:tc>
      </w:tr>
      <w:tr w14:paraId="12F29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27F875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河南志森互动数字科技有限公司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5B509D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0B04D6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196358.49</w:t>
            </w:r>
          </w:p>
        </w:tc>
      </w:tr>
      <w:tr w14:paraId="1C078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3DD3AA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深圳市世纪联想广告有限公司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801F8E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963CCE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169811.32</w:t>
            </w:r>
          </w:p>
        </w:tc>
      </w:tr>
      <w:tr w14:paraId="0923F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680712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西安三顾行信息科技有限公司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1EFBC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1B4C8C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85049.5</w:t>
            </w:r>
          </w:p>
        </w:tc>
      </w:tr>
      <w:tr w14:paraId="6566D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28E858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南昌晨午文化传媒有限公司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7D9E0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62F18D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84833.3</w:t>
            </w:r>
          </w:p>
        </w:tc>
      </w:tr>
      <w:tr w14:paraId="46322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954041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上海卓信文化传媒有限公司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E1B4B0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A3F160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71350</w:t>
            </w:r>
          </w:p>
        </w:tc>
      </w:tr>
      <w:tr w14:paraId="01858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1AA22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深圳市龙岗区篮球协会</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FEFEE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0F10BE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59074.26</w:t>
            </w:r>
          </w:p>
        </w:tc>
      </w:tr>
      <w:tr w14:paraId="48004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D4CEB1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承德沣禾网络科技有限公司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6382A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D7B98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45795.05</w:t>
            </w:r>
          </w:p>
        </w:tc>
      </w:tr>
      <w:tr w14:paraId="76AF8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F03BC4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河北创研造意文化传媒有限公司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DAA6DF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602B8C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43861.39</w:t>
            </w:r>
          </w:p>
        </w:tc>
      </w:tr>
      <w:tr w14:paraId="0118D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DDE365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成都光厂创意科技有限公司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9FA381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B94EB2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33615.1</w:t>
            </w:r>
          </w:p>
        </w:tc>
      </w:tr>
      <w:tr w14:paraId="27D84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093B2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深圳嘀嗒数字互动有限公司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27AA4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55A08A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22641.51</w:t>
            </w:r>
          </w:p>
        </w:tc>
      </w:tr>
      <w:tr w14:paraId="49886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14CF2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极光星河（深圳）文化传媒有限公司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8374D5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218F6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18427.36</w:t>
            </w:r>
          </w:p>
        </w:tc>
      </w:tr>
      <w:tr w14:paraId="66E69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687F1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上海智扬唯美文化传播有限公司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7590E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0D9595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16981.13</w:t>
            </w:r>
          </w:p>
        </w:tc>
      </w:tr>
      <w:tr w14:paraId="79FD2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EB9AE2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承德汇沣网络科技有限公司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0A01B2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E03146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16538.61</w:t>
            </w:r>
          </w:p>
        </w:tc>
      </w:tr>
      <w:tr w14:paraId="5B2E8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7961F8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深圳市云走运动文化有限公司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60E730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CE250A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14851.49</w:t>
            </w:r>
          </w:p>
        </w:tc>
      </w:tr>
      <w:tr w14:paraId="75433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797168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杭州岳霖文化传媒有限公司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369B01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784B10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14851.49</w:t>
            </w:r>
          </w:p>
        </w:tc>
      </w:tr>
      <w:tr w14:paraId="12D03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6F3A8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江西一汀文化传播有限公司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F80A72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B22DC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12924.53</w:t>
            </w:r>
          </w:p>
        </w:tc>
      </w:tr>
      <w:tr w14:paraId="1F75D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16F901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安徽省醉美时光网络科技有限公司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614B55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76B7FC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9900.99</w:t>
            </w:r>
          </w:p>
        </w:tc>
      </w:tr>
      <w:tr w14:paraId="39C2A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565DA2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郑州博斯腾信息科技有限公司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64993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AFD6FD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6438.68</w:t>
            </w:r>
          </w:p>
        </w:tc>
      </w:tr>
      <w:tr w14:paraId="508F6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6B7C7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广州兮琳广告有限公司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623C94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77C0F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4455.45</w:t>
            </w:r>
          </w:p>
        </w:tc>
      </w:tr>
      <w:tr w14:paraId="30976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3246BC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上海那创网络科技有限公司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9BCE5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FD126A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4128.91</w:t>
            </w:r>
          </w:p>
        </w:tc>
      </w:tr>
      <w:tr w14:paraId="3E464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707133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北京探篮特文化传媒有限公司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412BD7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A1D59C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3762.38</w:t>
            </w:r>
          </w:p>
        </w:tc>
      </w:tr>
      <w:tr w14:paraId="2DAD0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305C2B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广州集澄悦广告有限公司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6E6E7F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D28FF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3465.35</w:t>
            </w:r>
          </w:p>
        </w:tc>
      </w:tr>
      <w:tr w14:paraId="0928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BF6340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宁夏航海传媒有限公司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61A245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20E8A4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1980.2</w:t>
            </w:r>
          </w:p>
        </w:tc>
      </w:tr>
      <w:tr w14:paraId="6AEB9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3E050A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北京犀牛灵动信息科技有限公司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22206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22AB58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1415.09</w:t>
            </w:r>
          </w:p>
        </w:tc>
      </w:tr>
      <w:tr w14:paraId="40657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DDC18B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上海几晟信息科技有限公司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58B1F7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5E1146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283.02</w:t>
            </w:r>
          </w:p>
        </w:tc>
      </w:tr>
      <w:tr w14:paraId="7A001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B9365D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北京度友科技有限公司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FA31AF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89CE2F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169.81</w:t>
            </w:r>
          </w:p>
        </w:tc>
      </w:tr>
      <w:tr w14:paraId="6B25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74BB7A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北京爱奇艺科技有限公司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08D56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EDA265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93.4</w:t>
            </w:r>
          </w:p>
        </w:tc>
      </w:tr>
      <w:tr w14:paraId="7FF59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BF6F73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苏州创旅天下信息技术有限公司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7E22AC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1CE9F5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70.76</w:t>
            </w:r>
          </w:p>
        </w:tc>
      </w:tr>
      <w:tr w14:paraId="31B4E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53CCBD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《中国国家地理》杂志社有限公司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0BEB9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B9B8B5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62.94</w:t>
            </w:r>
          </w:p>
        </w:tc>
      </w:tr>
      <w:tr w14:paraId="26B50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4DC7FB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北京京东世纪信息技术有限公司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814FDE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436670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45.28</w:t>
            </w:r>
          </w:p>
        </w:tc>
      </w:tr>
      <w:tr w14:paraId="478D2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A4FB6A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杭州小木吉软件科技有限公司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0F705B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4990EC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8.25</w:t>
            </w:r>
          </w:p>
        </w:tc>
      </w:tr>
    </w:tbl>
    <w:p w14:paraId="249D3628">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表2 公司已付金额·按供应商分布（合计 2,751,129.23 元，来源：银行流水·对公/平台代付匹配）</w:t>
      </w:r>
    </w:p>
    <w:p w14:paraId="55C99D3A">
      <w:pPr>
        <w:pStyle w:val="5"/>
        <w:keepNext w:val="0"/>
        <w:keepLines w:val="0"/>
        <w:widowControl/>
        <w:suppressLineNumbers w:val="0"/>
        <w:pBdr>
          <w:top w:val="none" w:color="auto" w:sz="0" w:space="0"/>
          <w:left w:val="single" w:color="94A3B8" w:sz="18" w:space="7"/>
          <w:bottom w:val="none" w:color="auto" w:sz="0" w:space="0"/>
          <w:right w:val="none" w:color="auto" w:sz="0" w:space="0"/>
        </w:pBdr>
        <w:shd w:val="clear" w:fill="F8FAFC"/>
        <w:spacing w:before="90" w:beforeAutospacing="0" w:after="30" w:afterAutospacing="0" w:line="28" w:lineRule="atLeast"/>
        <w:ind w:left="0" w:right="0" w:firstLine="420"/>
        <w:jc w:val="both"/>
        <w:rPr>
          <w:color w:val="475569"/>
          <w:sz w:val="18"/>
          <w:szCs w:val="18"/>
        </w:rPr>
      </w:pPr>
      <w:r>
        <w:rPr>
          <w:color w:val="475569"/>
          <w:sz w:val="18"/>
          <w:szCs w:val="18"/>
          <w:bdr w:val="none" w:color="auto" w:sz="0" w:space="0"/>
          <w:shd w:val="clear" w:fill="F8FAFC"/>
        </w:rPr>
        <w:t>口径说明：本表列出的是该风险事项所依据的基础逐笔明细（全量）；正文与构成要件中写明的人数/笔数是按构成要件筛选后的结果，两者口径不同，判断具体涉及范围时以正文数字为准。</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936"/>
        <w:gridCol w:w="2901"/>
        <w:gridCol w:w="4864"/>
      </w:tblGrid>
      <w:tr w14:paraId="3BF16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ABDDE23">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供应商</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0BECE0A">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笔数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28A9240">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金额</w:t>
            </w:r>
          </w:p>
        </w:tc>
      </w:tr>
      <w:tr w14:paraId="3EBD0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6C5587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郑州琥珀体育文化有限公司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E670A3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1B7D28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641509.43</w:t>
            </w:r>
          </w:p>
        </w:tc>
      </w:tr>
      <w:tr w14:paraId="023AC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6C5AC1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河南林超攀体育文化传播工作室</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FC44BA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8820E1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594059.4</w:t>
            </w:r>
          </w:p>
        </w:tc>
      </w:tr>
      <w:tr w14:paraId="276E5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220954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宁夏博图数字传媒有限公司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460A86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987BAB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235849.06</w:t>
            </w:r>
          </w:p>
        </w:tc>
      </w:tr>
      <w:tr w14:paraId="3A7A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0D5807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江西君酌文化传播有限公司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94A703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D3311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201672.65</w:t>
            </w:r>
          </w:p>
        </w:tc>
      </w:tr>
      <w:tr w14:paraId="0BB7F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1F9BA1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悟研（邯郸）文化传媒有限公司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E3E13A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49A9FF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200990.1</w:t>
            </w:r>
          </w:p>
        </w:tc>
      </w:tr>
      <w:tr w14:paraId="455CC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94248F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上海酷滑商务咨询有限公司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35B527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83E2A4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169811.32</w:t>
            </w:r>
          </w:p>
        </w:tc>
      </w:tr>
      <w:tr w14:paraId="7C987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121A1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深圳市世纪联想广告有限公司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F4EAAE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45D5CF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169811.32</w:t>
            </w:r>
          </w:p>
        </w:tc>
      </w:tr>
      <w:tr w14:paraId="37E36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46A76F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上海明冉企业咨询有限公司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EA2452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882BC5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141509.43</w:t>
            </w:r>
          </w:p>
        </w:tc>
      </w:tr>
      <w:tr w14:paraId="4D6A9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84122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南昌晨午文化传媒有限公司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5D951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3F488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84833.3</w:t>
            </w:r>
          </w:p>
        </w:tc>
      </w:tr>
      <w:tr w14:paraId="7569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29ED5E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上海卓信文化传媒有限公司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61B883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C06A93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71350</w:t>
            </w:r>
          </w:p>
        </w:tc>
      </w:tr>
      <w:tr w14:paraId="2C2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7BC160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承德沣禾网络科技有限公司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752E2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7</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DED28E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45795.05</w:t>
            </w:r>
          </w:p>
        </w:tc>
      </w:tr>
      <w:tr w14:paraId="727BE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B599F5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河北创研造意文化传媒有限公司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848F12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FECE51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43861.39</w:t>
            </w:r>
          </w:p>
        </w:tc>
      </w:tr>
      <w:tr w14:paraId="105B2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418033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北京探篮特文化传媒有限公司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F0A4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E74F27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25263.37</w:t>
            </w:r>
          </w:p>
        </w:tc>
      </w:tr>
      <w:tr w14:paraId="099B3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2AFE21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深圳嘀嗒数字互动有限公司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1E5DCD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258300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22641.51</w:t>
            </w:r>
          </w:p>
        </w:tc>
      </w:tr>
      <w:tr w14:paraId="0ED78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8621CE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极光星河（深圳）文化传媒有限公司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0D1023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7E5AD6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18427.36</w:t>
            </w:r>
          </w:p>
        </w:tc>
      </w:tr>
      <w:tr w14:paraId="27E1B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B7345D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上海智扬唯美文化传播有限公司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BFBABA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0EACE7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16981.13</w:t>
            </w:r>
          </w:p>
        </w:tc>
      </w:tr>
      <w:tr w14:paraId="3667B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6E18FC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承德汇沣网络科技有限公司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D98962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B11DA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16538.61</w:t>
            </w:r>
          </w:p>
        </w:tc>
      </w:tr>
      <w:tr w14:paraId="647C6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F93069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深圳市云走运动文化有限公司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23C815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BEA207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14851.49</w:t>
            </w:r>
          </w:p>
        </w:tc>
      </w:tr>
      <w:tr w14:paraId="423C8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D11346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江西一汀文化传播有限公司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1B20B5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1DFF5F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12924.53</w:t>
            </w:r>
          </w:p>
        </w:tc>
      </w:tr>
      <w:tr w14:paraId="1ABC3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B9869C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安徽省醉美时光网络科技有限公司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411D6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67E878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9900.99</w:t>
            </w:r>
          </w:p>
        </w:tc>
      </w:tr>
      <w:tr w14:paraId="31727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2F9A0E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郑州博斯腾信息科技有限公司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7C81EA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A7764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6438.68</w:t>
            </w:r>
          </w:p>
        </w:tc>
      </w:tr>
      <w:tr w14:paraId="7C756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545849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上海那创网络科技有限公司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A1B13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911A1D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4128.91</w:t>
            </w:r>
          </w:p>
        </w:tc>
      </w:tr>
      <w:tr w14:paraId="5FCF9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614727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宁夏航海传媒有限公司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2A7466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087BC4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1980.2</w:t>
            </w:r>
          </w:p>
        </w:tc>
      </w:tr>
    </w:tbl>
    <w:p w14:paraId="75993A01">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表3 无供应商级明细可核对的成本·逐笔（共 6 笔，合计 13,432.48 元）</w:t>
      </w:r>
    </w:p>
    <w:p w14:paraId="0D2046E2">
      <w:pPr>
        <w:pStyle w:val="5"/>
        <w:keepNext w:val="0"/>
        <w:keepLines w:val="0"/>
        <w:widowControl/>
        <w:suppressLineNumbers w:val="0"/>
        <w:pBdr>
          <w:top w:val="none" w:color="auto" w:sz="0" w:space="0"/>
          <w:left w:val="single" w:color="94A3B8" w:sz="18" w:space="7"/>
          <w:bottom w:val="none" w:color="auto" w:sz="0" w:space="0"/>
          <w:right w:val="none" w:color="auto" w:sz="0" w:space="0"/>
        </w:pBdr>
        <w:shd w:val="clear" w:fill="F8FAFC"/>
        <w:spacing w:before="90" w:beforeAutospacing="0" w:after="30" w:afterAutospacing="0" w:line="28" w:lineRule="atLeast"/>
        <w:ind w:left="0" w:right="0" w:firstLine="420"/>
        <w:jc w:val="both"/>
        <w:rPr>
          <w:color w:val="475569"/>
          <w:sz w:val="18"/>
          <w:szCs w:val="18"/>
        </w:rPr>
      </w:pPr>
      <w:r>
        <w:rPr>
          <w:color w:val="475569"/>
          <w:sz w:val="18"/>
          <w:szCs w:val="18"/>
          <w:bdr w:val="none" w:color="auto" w:sz="0" w:space="0"/>
          <w:shd w:val="clear" w:fill="F8FAFC"/>
        </w:rPr>
        <w:t>口径说明：本表列出的是该风险事项所依据的基础逐笔明细（全量）；正文与构成要件中写明的人数/笔数是按构成要件筛选后的结果，两者口径不同，判断具体涉及范围时以正文数字为准。</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005"/>
        <w:gridCol w:w="2791"/>
        <w:gridCol w:w="3602"/>
        <w:gridCol w:w="6303"/>
      </w:tblGrid>
      <w:tr w14:paraId="50641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11F75E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供应商</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AEC442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金额</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015267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日期</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8ACE9C1">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发票号</w:t>
            </w:r>
          </w:p>
        </w:tc>
      </w:tr>
      <w:tr w14:paraId="065B5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4CBF63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韵和星零售（深圳）有限公司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4148E8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8605.6</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1096FA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2025-07-03</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B1C591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25952000000135183659</w:t>
            </w:r>
          </w:p>
        </w:tc>
      </w:tr>
      <w:tr w14:paraId="42026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C12767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广州兮琳广告有限公司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EAA757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4455.45</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7A4904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2025-01-20</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8B7E54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25442000000045998219</w:t>
            </w:r>
          </w:p>
        </w:tc>
      </w:tr>
      <w:tr w14:paraId="62003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1653C4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北京度友科技有限公司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078352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169.81</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6005E7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2025-03-19</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A4D41E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25117000000313983313</w:t>
            </w:r>
          </w:p>
        </w:tc>
      </w:tr>
      <w:tr w14:paraId="3D266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AC7F3F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北京爱奇艺科技有限公司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89176E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93.4</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5164D9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2025-04-08</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6B9B260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25112000000070329599</w:t>
            </w:r>
          </w:p>
        </w:tc>
      </w:tr>
      <w:tr w14:paraId="28707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A66ECE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《中国国家地理》杂志社有限公司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876B96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62.94</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1E3E85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2025-02-10</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95FB63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25112000000025868712</w:t>
            </w:r>
          </w:p>
        </w:tc>
      </w:tr>
      <w:tr w14:paraId="7FDAD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990BE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北京京东世纪信息技术有限公司</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219B6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45.28</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94C508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2025-03-14</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47E35E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25117000000301591914</w:t>
            </w:r>
          </w:p>
        </w:tc>
      </w:tr>
    </w:tbl>
    <w:p w14:paraId="1BEB5CC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表4 应付账款核对（账面汇总 263,243.00 元，来源：科目余额表）</w:t>
      </w:r>
    </w:p>
    <w:p w14:paraId="05CE298F">
      <w:pPr>
        <w:pStyle w:val="5"/>
        <w:keepNext w:val="0"/>
        <w:keepLines w:val="0"/>
        <w:widowControl/>
        <w:suppressLineNumbers w:val="0"/>
        <w:pBdr>
          <w:top w:val="none" w:color="auto" w:sz="0" w:space="0"/>
          <w:left w:val="single" w:color="94A3B8" w:sz="18" w:space="7"/>
          <w:bottom w:val="none" w:color="auto" w:sz="0" w:space="0"/>
          <w:right w:val="none" w:color="auto" w:sz="0" w:space="0"/>
        </w:pBdr>
        <w:shd w:val="clear" w:fill="F8FAFC"/>
        <w:spacing w:before="90" w:beforeAutospacing="0" w:after="30" w:afterAutospacing="0" w:line="28" w:lineRule="atLeast"/>
        <w:ind w:left="0" w:right="0" w:firstLine="420"/>
        <w:jc w:val="both"/>
        <w:rPr>
          <w:color w:val="475569"/>
          <w:sz w:val="18"/>
          <w:szCs w:val="18"/>
        </w:rPr>
      </w:pPr>
      <w:r>
        <w:rPr>
          <w:color w:val="475569"/>
          <w:sz w:val="18"/>
          <w:szCs w:val="18"/>
          <w:bdr w:val="none" w:color="auto" w:sz="0" w:space="0"/>
          <w:shd w:val="clear" w:fill="F8FAFC"/>
        </w:rPr>
        <w:t>口径说明：本表列出的是该风险事项所依据的基础逐笔明细（全量）；正文与构成要件中写明的人数/笔数是按构成要件筛选后的结果，两者口径不同，判断具体涉及范围时以正文数字为准。</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843"/>
        <w:gridCol w:w="8858"/>
      </w:tblGrid>
      <w:tr w14:paraId="6D35A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40343F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项目</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AFB38BD">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金额</w:t>
            </w:r>
          </w:p>
        </w:tc>
      </w:tr>
      <w:tr w14:paraId="46D0F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34D0FC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主营成本总额</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6EE02B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4513064.91</w:t>
            </w:r>
          </w:p>
        </w:tc>
      </w:tr>
      <w:tr w14:paraId="1F416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2B9C94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公司已付印证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DA8098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2751129.23</w:t>
            </w:r>
          </w:p>
        </w:tc>
      </w:tr>
      <w:tr w14:paraId="6A6BA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5032A4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个人垫付印证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71D37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0</w:t>
            </w:r>
          </w:p>
        </w:tc>
      </w:tr>
      <w:tr w14:paraId="5F1DD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E90B76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账面应付挂账</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54EEA99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263243</w:t>
            </w:r>
          </w:p>
        </w:tc>
      </w:tr>
      <w:tr w14:paraId="7FF55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DC33C1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既无付款亦无挂账</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710D4F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1498692.68</w:t>
            </w:r>
          </w:p>
        </w:tc>
      </w:tr>
    </w:tbl>
    <w:p w14:paraId="174C9DA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592F06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5项材料，其中名称逐字对应、已确在手上的有2项（付款银行流水、第三方支付凭证），其中2项已提供同类资料（应付账款明细账、账龄分析）、但与本项要求的范围未逐字对应，须确认是否覆盖；确未提供的有1项（采购合同）。</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3"/>
        <w:gridCol w:w="3394"/>
        <w:gridCol w:w="3758"/>
        <w:gridCol w:w="1212"/>
        <w:gridCol w:w="12304"/>
      </w:tblGrid>
      <w:tr w14:paraId="25655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BEE7BF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2A4A0F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0675EB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ECFC377">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AC12F4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096AD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EBD8DF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14A226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采购合同</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F59563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证明采购业务真实发生</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17D8D0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A15FA8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本轮未提供本项所需材料（采购合同），无法组织本项证据</w:t>
            </w:r>
          </w:p>
        </w:tc>
      </w:tr>
      <w:tr w14:paraId="0AF14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345EC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DBBCFB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付款银行流水或第三方支付凭证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09645A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证明资金流真实，三流一致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934313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F4DC4B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本轮已提供银行流水（本项写作付款银行流水，属同一材料的不同叫法），可作为本项证据</w:t>
            </w:r>
          </w:p>
        </w:tc>
      </w:tr>
      <w:tr w14:paraId="180CC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3F024F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5C0E75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应付账款明细账及账龄分析</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4446CE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证明未付款部分已挂账，属正常信用期</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4357EF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36A94C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本项要求应付账款明细账、账龄分析；其中科目余额表本轮已提供，但账龄分析未在已提供资料中逐字见到，须人工确认已提供资料中是否包含该内容</w:t>
            </w:r>
          </w:p>
        </w:tc>
      </w:tr>
      <w:tr w14:paraId="7C222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AB5BD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E2E88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票据（银行承兑汇票）结算与背书记录</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5773C8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以票据结算的不走银行转账，可解释无流水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35E10C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6818000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r w14:paraId="09674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7F8C57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BE89F8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债务抵销协议、三方转账协议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97A041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以债权抵销方式结算的合法</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2CB67C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4E57DC9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58AC3A6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2C907FA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395CEC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成本列支的资金与负债证据不足：真实性须核对」逐条核对，未认定到任何一条构成要件成立；但本项已从账内资料中查明相关信号，且本项不等于已触碰红线、也不是违法认定。具体认定范围与需补充的资料见本项各段。判断本项是否成立，要看这几项标准是否同时满足：成本列支后无任何支付渠道记录（对公转账、第三方平台代付、票据结算、个人垫付报销、现金、债务抵销）；存在未付款金额且占同类成本比例超过行业基准进销比区间上沿（行业基准通用参考值，非税务机关官方口径，仅作线索参照）；账面应付账款明细中亦无对应挂账（只有先排除挂账、票据结算、债务抵销等非现款结算，才可认定本项；成本列支的正常闭环是有付款或有负债二者至少其一）；成本对应的供应商与销售客户为同一控制方，形成自买自卖闭环；不属于下列正当情形：尚在信用期内未付款（有应付账款挂账与账龄）；以银行承兑汇票背书结算（有票据台账与背书记录）；三方转账或债权抵销（有书面协议）；关联方内部往来统一结算（有结算协议）。本轮从所报资料中直接核对到的事实是：主营业务成本中有13,432.48元（6笔）未匹配到任何支付渠道。本轮实际读取到的资料是：进项发票、银行流水。本项检查共4环，其中第1环因本轮未取得该环节所需资料，未取得数据（各环实际读到的数据见上一段明细表）。就资料来说，支撑材料严重不足，核心材料缺失（名称逐字对应已提供2项；另有2项已提供同类资料、范围须人工确认；尚缺：采购合同（属合同文件类）；企业尚未提交正当理由的书面证明，现有资料不足以排除本项涉嫌风险）。企业如果认为这不成立，通常可以说明：尚在信用期内未付款（有应付账款挂账与账龄）；以银行承兑汇票背书方式结算（有票据台账与背书记录）；三方转账或债权抵销（有书面协议）。但这些说明能不能采信，要看有没有书面协议和原始单据，口头解释不能作为认定依据。综合以上，本项结论是疑似逐条要件尚未认定成立（结论只到「账内已读到与该风险指向一致的信号」这一层），判断可信度约66%（中等）。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 以行业基准进销比区间[0.100~0.500]为参照（来源 系统内置行业基准库（通用参考）；系统内置行业统计通用参考值，非税务机关官方口径，仅作线索参照、不构成判定依据） 本企业进销比实测 0.758，高于行业参考区间[0.100~0.500]（边界 0.500）；该偏离属须核对的线索，可能由经营模式、行业周期、税收优惠等合理因素造成，不作定性依据（来源 系统内置行业基准库（通用参考）；系统内置行业统计通用参考值，非税务机关官方口径，仅作线索参照、不构成判定依据）</w:t>
      </w:r>
    </w:p>
    <w:p w14:paraId="4E14E75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6030FC93">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4B574E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成本列支未形成付款或负债闭环，涉嫌虚列成本、发票未入账或接受虚开发票的风险（涉及企业所得税、增值税）。主管税务机关可依《税收征收管理法》第三十二条加收滞纳金；构成偷税、抗税、骗税的，依第六十三条等规定追缴税款、滞纳金并处罚款。是否构成偷税、以及是否移送，须由税务机关依法调查认定。</w:t>
      </w:r>
    </w:p>
    <w:p w14:paraId="60058A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主营业务成本两口径勾稽明细：发票类目口径 4,063,608.23 元（96 张）；账面口径 4,187,220.84 元（序时账·主营业务成本（6401）本期借方发生额）。差异 -123,612.61 元（-2.95%），两口径基本吻合。本明细仅陈述两口径构成与差异，不作定性；差异成因需要逐项核对账证后确认。</w:t>
      </w:r>
    </w:p>
    <w:p w14:paraId="4212C4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交叉核对：科目余额表「主营业务成本（6401）」本期借方发生额 4,187,220.84 元，与序时账 6401 借方合计 4,187,220.84 元一致。</w:t>
      </w:r>
    </w:p>
    <w:p w14:paraId="60CC60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差异归因（按可能性排序，均需要逐项核对后确认）：暂估入账（货到票未到）（较可能）：账面已计入成本但当期无对应进项发票，可核资料——核对存货入库单、暂估台账、次月红字冲回凭证；不开票采购（小额零星/个体户）（较可能）：有账面成本而无进项发票，可核资料——核对采购合同、付款流水、入库单、收据；人工与制造费用不在进项发票（较可能）：成本含人工/折旧/制造费用，本无发票可抵，可核资料——核对工资表、固定资产折旧表、制造费用明细账；费用混入成本（发票按品名误归）（亦需排除）：费用类发票被归入成本，抬高发票口径，可核资料——按品名逐张核对发票用途与费用归属；跨期（上期票本期入/成本与票跨期）（较可能）：发票与成本确认期间不一致，可核资料——核对发票开票日期与入账期间、成本结转期间；发票已收但当期未入账（亦需排除）：有发票无账面成本，可核资料——核对进项发票台账与记账凭证。</w:t>
      </w:r>
    </w:p>
    <w:p w14:paraId="60786D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发票类目口径的分类依据：按「广告传媒」行业核心投入认定主营业务成本类发票。</w:t>
      </w:r>
    </w:p>
    <w:p w14:paraId="077BC8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尚有 174 张进项发票按行业口径无法判定归属，未计入上表成本类；其归属确认后会改变发票类目口径。</w:t>
      </w:r>
    </w:p>
    <w:p w14:paraId="074A68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主营业务成本与期间费用的区分：按「广告传媒」行业口径判定，计入主营业务成本 2,690,500.52 元（23 类），计入期间费用 1,262,328.38 元（51 类，其中管理费用 839,269.99 元、销售费用 0 元），尚待项目/合同上下文才能定性 1,157,846.42 元（132 类）。判不出来的只列入须核对，未默认计入成本。</w:t>
      </w:r>
    </w:p>
    <w:p w14:paraId="7ECD1B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口径说明（主营业务成本的范围）：上表成本为**取得发票的外购成本**，不含直接人工（工资薪金）、折旧摊销及未取得发票的支出，也不含其他业务成本；故其金额低于账面主营业务成本（账面口径见前述两口径勾稽）。按「与项目收入直接配比」的口径，直接参与项目的员工薪酬、项目相关差旅费亦可计入主营业务成本；若需如此归集，请提供立项文件、成本构成资料、工时记录、劳动合同（并标明各项目对应金额）。</w:t>
      </w:r>
    </w:p>
    <w:p w14:paraId="12DABF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口径差异提示：本次「发票类目口径」认定为成本类的品名中，有 6 类经「成本/费用/须核对」区分后不属于主营业务成本（「*现代服务*服务费」629,469.39 元；「*现代服务*咨询服务费」594,059.40 元；「*体育服务*现代服务」141,509.43 元，其中金额最大一项应作「须核对」处理）；两套口径的差异须核对合同用途后确认。</w:t>
      </w:r>
    </w:p>
    <w:p w14:paraId="1A4A73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64748B"/>
          <w:sz w:val="18"/>
          <w:szCs w:val="18"/>
        </w:rPr>
      </w:pPr>
      <w:r>
        <w:rPr>
          <w:color w:val="64748B"/>
          <w:sz w:val="18"/>
          <w:szCs w:val="18"/>
          <w:bdr w:val="none" w:color="auto" w:sz="0" w:space="0"/>
        </w:rPr>
        <w:t>本明细只列经「成本/费用/须核对」区分后归属主营业务成本、且能定位到具体发票的支出；已判为期间费用或须核对的部分不计入本表（另见三态归属），无逐张发票可列的成本类支出亦不在本表。</w:t>
      </w:r>
    </w:p>
    <w:p w14:paraId="06DEDE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64748B"/>
        </w:rPr>
      </w:pPr>
      <w:r>
        <w:rPr>
          <w:color w:val="64748B"/>
          <w:bdr w:val="none" w:color="auto" w:sz="0" w:space="0"/>
        </w:rPr>
        <w:t>① 主营业务成本构成（按品名/类目，逐类小计） 下载 CSV</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6524"/>
        <w:gridCol w:w="1722"/>
        <w:gridCol w:w="3455"/>
      </w:tblGrid>
      <w:tr w14:paraId="2F335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3B33D2C3">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品名/类目</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48ACB9E2">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张数</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7F066514">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金额(元)</w:t>
            </w:r>
          </w:p>
        </w:tc>
      </w:tr>
      <w:tr w14:paraId="7954C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323A24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*现代服务*代言服务费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A34D93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9476C2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641,509.43</w:t>
            </w:r>
          </w:p>
        </w:tc>
      </w:tr>
      <w:tr w14:paraId="621CA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71B354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*信息系统服务*信息服务费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CE009E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FC0CCB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454,081.18</w:t>
            </w:r>
          </w:p>
        </w:tc>
      </w:tr>
      <w:tr w14:paraId="7AA91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7C5206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*现代服务*信息服务费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662A72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8BDE06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390,352.26</w:t>
            </w:r>
          </w:p>
        </w:tc>
      </w:tr>
      <w:tr w14:paraId="3B702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A58743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*广告服务*广告发布费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8D8416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58E2F8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316,411.61</w:t>
            </w:r>
          </w:p>
        </w:tc>
      </w:tr>
      <w:tr w14:paraId="1575B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298FAF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*信息技术服务*信息服务费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F64DC3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12</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484F8A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298,151.54</w:t>
            </w:r>
          </w:p>
        </w:tc>
      </w:tr>
      <w:tr w14:paraId="17205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E7EE3D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*设计服务*专业设计服务</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104608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10</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0583B1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244,851.49</w:t>
            </w:r>
          </w:p>
        </w:tc>
      </w:tr>
      <w:tr w14:paraId="53149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BC24A6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*现代服务*策划服务费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93D413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40A442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235,849.06</w:t>
            </w:r>
          </w:p>
        </w:tc>
      </w:tr>
      <w:tr w14:paraId="4FA9F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0BDA1C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*体育服务*赛事服务费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35DCAA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75FE86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59,074.26</w:t>
            </w:r>
          </w:p>
        </w:tc>
      </w:tr>
      <w:tr w14:paraId="65BFE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0EC93E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*会展服务*策划服务费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93759D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D02A52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22,641.51</w:t>
            </w:r>
          </w:p>
        </w:tc>
      </w:tr>
      <w:tr w14:paraId="2A9A4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809B1B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*会展服务*会议费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76F263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894D5F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9,900.99</w:t>
            </w:r>
          </w:p>
        </w:tc>
      </w:tr>
      <w:tr w14:paraId="28493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4C66CE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*设计服务*设计服务费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98A5DB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81427D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7,920.80</w:t>
            </w:r>
          </w:p>
        </w:tc>
      </w:tr>
      <w:tr w14:paraId="789C3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79825E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*现代服务*信息技术服务费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DD70E4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9CB523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6,438.68</w:t>
            </w:r>
          </w:p>
        </w:tc>
      </w:tr>
      <w:tr w14:paraId="4922B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FBCFA4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*现代服务*视频制作</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7F5E76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9342D7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1,980.20</w:t>
            </w:r>
          </w:p>
        </w:tc>
      </w:tr>
      <w:tr w14:paraId="60944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DE315E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*会展服务*会展服务</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15A069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60458D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283.02</w:t>
            </w:r>
          </w:p>
        </w:tc>
      </w:tr>
      <w:tr w14:paraId="4893E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95C05D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*信息技术服务*技术服务费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378CD1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4374AD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169.81</w:t>
            </w:r>
          </w:p>
        </w:tc>
      </w:tr>
      <w:tr w14:paraId="2B6EB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2FB55F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*信息技术服务*爱奇艺黄金vip会员6个月爱奇艺会员半年卡视频会员仙台有树 hy</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4A9B31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F7E143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93.40</w:t>
            </w:r>
          </w:p>
        </w:tc>
      </w:tr>
      <w:tr w14:paraId="3A640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0525FE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*信息系统服务*服务费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C9FFEA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5E194B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70.76</w:t>
            </w:r>
          </w:p>
        </w:tc>
      </w:tr>
      <w:tr w14:paraId="2DAFB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FFABCF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*印刷品*杂志</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229FA2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B5121E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62.94</w:t>
            </w:r>
          </w:p>
        </w:tc>
      </w:tr>
      <w:tr w14:paraId="67A8C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0B49B6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*信息系统增值服务*信息技术服务费</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42A738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BDA5D8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8.25</w:t>
            </w:r>
          </w:p>
        </w:tc>
      </w:tr>
      <w:tr w14:paraId="4EA1D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017DF0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*设计服务*素材设计服务</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95B791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8F424D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0.00</w:t>
            </w:r>
          </w:p>
        </w:tc>
      </w:tr>
      <w:tr w14:paraId="07250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45EB63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Style w:val="8"/>
                <w:rFonts w:ascii="宋体" w:hAnsi="宋体" w:eastAsia="宋体" w:cs="宋体"/>
                <w:color w:val="334155"/>
                <w:kern w:val="0"/>
                <w:sz w:val="18"/>
                <w:szCs w:val="18"/>
                <w:bdr w:val="none" w:color="auto" w:sz="0" w:space="0"/>
                <w:lang w:val="en-US" w:eastAsia="zh-CN" w:bidi="ar"/>
              </w:rPr>
              <w:t>合计</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18C364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Style w:val="8"/>
                <w:rFonts w:ascii="宋体" w:hAnsi="宋体" w:eastAsia="宋体" w:cs="宋体"/>
                <w:color w:val="334155"/>
                <w:kern w:val="0"/>
                <w:sz w:val="18"/>
                <w:szCs w:val="18"/>
                <w:bdr w:val="none" w:color="auto" w:sz="0" w:space="0"/>
                <w:lang w:val="en-US" w:eastAsia="zh-CN" w:bidi="ar"/>
              </w:rPr>
              <w:t>68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A24FB9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Style w:val="8"/>
                <w:rFonts w:ascii="宋体" w:hAnsi="宋体" w:eastAsia="宋体" w:cs="宋体"/>
                <w:color w:val="334155"/>
                <w:kern w:val="0"/>
                <w:sz w:val="18"/>
                <w:szCs w:val="18"/>
                <w:bdr w:val="none" w:color="auto" w:sz="0" w:space="0"/>
                <w:lang w:val="en-US" w:eastAsia="zh-CN" w:bidi="ar"/>
              </w:rPr>
              <w:t>2,689,851.19</w:t>
            </w:r>
          </w:p>
        </w:tc>
      </w:tr>
    </w:tbl>
    <w:p w14:paraId="20D29CE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pPr>
      <w:r>
        <w:rPr>
          <w:rFonts w:ascii="宋体" w:hAnsi="宋体" w:eastAsia="宋体" w:cs="宋体"/>
          <w:kern w:val="0"/>
          <w:sz w:val="24"/>
          <w:szCs w:val="24"/>
          <w:bdr w:val="none" w:color="auto" w:sz="0" w:space="0"/>
          <w:lang w:val="en-US" w:eastAsia="zh-CN" w:bidi="ar"/>
        </w:rPr>
        <w:t>① 发票逐张清单（68 张，点击展开）</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616"/>
        <w:gridCol w:w="3617"/>
        <w:gridCol w:w="3617"/>
        <w:gridCol w:w="3617"/>
        <w:gridCol w:w="3617"/>
        <w:gridCol w:w="3617"/>
      </w:tblGrid>
      <w:tr w14:paraId="5AC6E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319D0527">
            <w:pPr>
              <w:jc w:val="left"/>
              <w:rPr>
                <w:rFonts w:hint="eastAsia" w:ascii="宋体"/>
                <w:b/>
                <w:bCs/>
                <w:color w:val="334155"/>
                <w:sz w:val="18"/>
                <w:szCs w:val="18"/>
              </w:rPr>
            </w:pP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75227541">
            <w:pPr>
              <w:jc w:val="left"/>
              <w:rPr>
                <w:rFonts w:hint="eastAsia" w:ascii="宋体"/>
                <w:b/>
                <w:bCs/>
                <w:color w:val="334155"/>
                <w:sz w:val="18"/>
                <w:szCs w:val="18"/>
              </w:rPr>
            </w:pP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304C9B1F">
            <w:pPr>
              <w:jc w:val="left"/>
              <w:rPr>
                <w:rFonts w:hint="eastAsia" w:ascii="宋体"/>
                <w:b/>
                <w:bCs/>
                <w:color w:val="334155"/>
                <w:sz w:val="18"/>
                <w:szCs w:val="18"/>
              </w:rPr>
            </w:pP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7D4CA7B4">
            <w:pPr>
              <w:jc w:val="left"/>
              <w:rPr>
                <w:rFonts w:hint="eastAsia" w:ascii="宋体"/>
                <w:b/>
                <w:bCs/>
                <w:color w:val="334155"/>
                <w:sz w:val="18"/>
                <w:szCs w:val="18"/>
              </w:rPr>
            </w:pP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79E6438E">
            <w:pPr>
              <w:jc w:val="left"/>
              <w:rPr>
                <w:rFonts w:hint="eastAsia" w:ascii="宋体"/>
                <w:b/>
                <w:bCs/>
                <w:color w:val="334155"/>
                <w:sz w:val="18"/>
                <w:szCs w:val="18"/>
              </w:rPr>
            </w:pP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37141306">
            <w:pPr>
              <w:jc w:val="left"/>
              <w:rPr>
                <w:rFonts w:hint="eastAsia" w:ascii="宋体"/>
                <w:b/>
                <w:bCs/>
                <w:color w:val="334155"/>
                <w:sz w:val="18"/>
                <w:szCs w:val="18"/>
              </w:rPr>
            </w:pPr>
          </w:p>
        </w:tc>
      </w:tr>
      <w:tr w14:paraId="22A1F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E4003E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57310B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F997B8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4FBE64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9ED204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2345150">
            <w:pPr>
              <w:rPr>
                <w:rFonts w:hint="eastAsia" w:ascii="宋体"/>
                <w:color w:val="334155"/>
                <w:sz w:val="18"/>
                <w:szCs w:val="18"/>
              </w:rPr>
            </w:pPr>
          </w:p>
        </w:tc>
      </w:tr>
      <w:tr w14:paraId="6915E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BB30A7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F61CCD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19D977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E268A6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20BE08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374D54A">
            <w:pPr>
              <w:rPr>
                <w:rFonts w:hint="eastAsia" w:ascii="宋体"/>
                <w:color w:val="334155"/>
                <w:sz w:val="18"/>
                <w:szCs w:val="18"/>
              </w:rPr>
            </w:pPr>
          </w:p>
        </w:tc>
      </w:tr>
      <w:tr w14:paraId="45A6C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2453F6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AEADF9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C067E8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CF334E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F3EA83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3DE6B53">
            <w:pPr>
              <w:rPr>
                <w:rFonts w:hint="eastAsia" w:ascii="宋体"/>
                <w:color w:val="334155"/>
                <w:sz w:val="18"/>
                <w:szCs w:val="18"/>
              </w:rPr>
            </w:pPr>
          </w:p>
        </w:tc>
      </w:tr>
      <w:tr w14:paraId="1F95C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A73A54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3BA387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23EA74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E13DBB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521CC2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3572815">
            <w:pPr>
              <w:rPr>
                <w:rFonts w:hint="eastAsia" w:ascii="宋体"/>
                <w:color w:val="334155"/>
                <w:sz w:val="18"/>
                <w:szCs w:val="18"/>
              </w:rPr>
            </w:pPr>
          </w:p>
        </w:tc>
      </w:tr>
      <w:tr w14:paraId="13586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D837BF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5C96F7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F9E1B6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E26ECE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945768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0424DB5">
            <w:pPr>
              <w:rPr>
                <w:rFonts w:hint="eastAsia" w:ascii="宋体"/>
                <w:color w:val="334155"/>
                <w:sz w:val="18"/>
                <w:szCs w:val="18"/>
              </w:rPr>
            </w:pPr>
          </w:p>
        </w:tc>
      </w:tr>
      <w:tr w14:paraId="3272D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591847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0D00C4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4D54B6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17650C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538ADD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CB62A65">
            <w:pPr>
              <w:rPr>
                <w:rFonts w:hint="eastAsia" w:ascii="宋体"/>
                <w:color w:val="334155"/>
                <w:sz w:val="18"/>
                <w:szCs w:val="18"/>
              </w:rPr>
            </w:pPr>
          </w:p>
        </w:tc>
      </w:tr>
      <w:tr w14:paraId="21BC6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FB3639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BC85DB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6764D8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BB7273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E3C5A3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7FB9C69">
            <w:pPr>
              <w:rPr>
                <w:rFonts w:hint="eastAsia" w:ascii="宋体"/>
                <w:color w:val="334155"/>
                <w:sz w:val="18"/>
                <w:szCs w:val="18"/>
              </w:rPr>
            </w:pPr>
          </w:p>
        </w:tc>
      </w:tr>
      <w:tr w14:paraId="366F1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681542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03CEA7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CD4443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26895A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C6D3A4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8191060">
            <w:pPr>
              <w:rPr>
                <w:rFonts w:hint="eastAsia" w:ascii="宋体"/>
                <w:color w:val="334155"/>
                <w:sz w:val="18"/>
                <w:szCs w:val="18"/>
              </w:rPr>
            </w:pPr>
          </w:p>
        </w:tc>
      </w:tr>
      <w:tr w14:paraId="04159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E0E644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C097A0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7A50F9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DFE4C6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9DB95A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F6420D2">
            <w:pPr>
              <w:rPr>
                <w:rFonts w:hint="eastAsia" w:ascii="宋体"/>
                <w:color w:val="334155"/>
                <w:sz w:val="18"/>
                <w:szCs w:val="18"/>
              </w:rPr>
            </w:pPr>
          </w:p>
        </w:tc>
      </w:tr>
      <w:tr w14:paraId="60C03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8A74B7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26264C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BFE03B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823C14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BEE718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30D0798">
            <w:pPr>
              <w:rPr>
                <w:rFonts w:hint="eastAsia" w:ascii="宋体"/>
                <w:color w:val="334155"/>
                <w:sz w:val="18"/>
                <w:szCs w:val="18"/>
              </w:rPr>
            </w:pPr>
          </w:p>
        </w:tc>
      </w:tr>
      <w:tr w14:paraId="7AD65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4533D1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FD57BE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2279FB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15BD9E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A5FDA3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FCD6D72">
            <w:pPr>
              <w:rPr>
                <w:rFonts w:hint="eastAsia" w:ascii="宋体"/>
                <w:color w:val="334155"/>
                <w:sz w:val="18"/>
                <w:szCs w:val="18"/>
              </w:rPr>
            </w:pPr>
          </w:p>
        </w:tc>
      </w:tr>
      <w:tr w14:paraId="40B19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3F106E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9F1B58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56AFD1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842B5D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41F7C4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BFB1604">
            <w:pPr>
              <w:rPr>
                <w:rFonts w:hint="eastAsia" w:ascii="宋体"/>
                <w:color w:val="334155"/>
                <w:sz w:val="18"/>
                <w:szCs w:val="18"/>
              </w:rPr>
            </w:pPr>
          </w:p>
        </w:tc>
      </w:tr>
      <w:tr w14:paraId="01EAE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577213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F52BB5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0BCF7E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E6964C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DB5275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2AF678E">
            <w:pPr>
              <w:rPr>
                <w:rFonts w:hint="eastAsia" w:ascii="宋体"/>
                <w:color w:val="334155"/>
                <w:sz w:val="18"/>
                <w:szCs w:val="18"/>
              </w:rPr>
            </w:pPr>
          </w:p>
        </w:tc>
      </w:tr>
      <w:tr w14:paraId="6530C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EBE437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EAABBE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07499D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025AB9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1310F9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44C1D65">
            <w:pPr>
              <w:rPr>
                <w:rFonts w:hint="eastAsia" w:ascii="宋体"/>
                <w:color w:val="334155"/>
                <w:sz w:val="18"/>
                <w:szCs w:val="18"/>
              </w:rPr>
            </w:pPr>
          </w:p>
        </w:tc>
      </w:tr>
      <w:tr w14:paraId="24A47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3260F0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53C10A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528659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E44550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F87B42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36149A0">
            <w:pPr>
              <w:rPr>
                <w:rFonts w:hint="eastAsia" w:ascii="宋体"/>
                <w:color w:val="334155"/>
                <w:sz w:val="18"/>
                <w:szCs w:val="18"/>
              </w:rPr>
            </w:pPr>
          </w:p>
        </w:tc>
      </w:tr>
      <w:tr w14:paraId="2E4D5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FDF236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611715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76F40B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47AE93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9CC098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73A1EA1">
            <w:pPr>
              <w:rPr>
                <w:rFonts w:hint="eastAsia" w:ascii="宋体"/>
                <w:color w:val="334155"/>
                <w:sz w:val="18"/>
                <w:szCs w:val="18"/>
              </w:rPr>
            </w:pPr>
          </w:p>
        </w:tc>
      </w:tr>
      <w:tr w14:paraId="086C8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67A285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316767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1B946D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6546AD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71CC78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6530166">
            <w:pPr>
              <w:rPr>
                <w:rFonts w:hint="eastAsia" w:ascii="宋体"/>
                <w:color w:val="334155"/>
                <w:sz w:val="18"/>
                <w:szCs w:val="18"/>
              </w:rPr>
            </w:pPr>
          </w:p>
        </w:tc>
      </w:tr>
      <w:tr w14:paraId="2A3FD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543D4B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5025A5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B94056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A1B9AD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E798AC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317D208">
            <w:pPr>
              <w:rPr>
                <w:rFonts w:hint="eastAsia" w:ascii="宋体"/>
                <w:color w:val="334155"/>
                <w:sz w:val="18"/>
                <w:szCs w:val="18"/>
              </w:rPr>
            </w:pPr>
          </w:p>
        </w:tc>
      </w:tr>
      <w:tr w14:paraId="5B732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C9AFD8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5CC4D1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03EEEA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40A1D9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A71F81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FE24EEC">
            <w:pPr>
              <w:rPr>
                <w:rFonts w:hint="eastAsia" w:ascii="宋体"/>
                <w:color w:val="334155"/>
                <w:sz w:val="18"/>
                <w:szCs w:val="18"/>
              </w:rPr>
            </w:pPr>
          </w:p>
        </w:tc>
      </w:tr>
      <w:tr w14:paraId="03060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05AAE6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8A6998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0BCB77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35CF1E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3E4CAE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A920109">
            <w:pPr>
              <w:rPr>
                <w:rFonts w:hint="eastAsia" w:ascii="宋体"/>
                <w:color w:val="334155"/>
                <w:sz w:val="18"/>
                <w:szCs w:val="18"/>
              </w:rPr>
            </w:pPr>
          </w:p>
        </w:tc>
      </w:tr>
      <w:tr w14:paraId="4B513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D32399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1EB780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6EFD88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E20793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7EB169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51E2654">
            <w:pPr>
              <w:rPr>
                <w:rFonts w:hint="eastAsia" w:ascii="宋体"/>
                <w:color w:val="334155"/>
                <w:sz w:val="18"/>
                <w:szCs w:val="18"/>
              </w:rPr>
            </w:pPr>
          </w:p>
        </w:tc>
      </w:tr>
      <w:tr w14:paraId="0188F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452124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E5D58A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31F270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235C96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437FA8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68100EA">
            <w:pPr>
              <w:rPr>
                <w:rFonts w:hint="eastAsia" w:ascii="宋体"/>
                <w:color w:val="334155"/>
                <w:sz w:val="18"/>
                <w:szCs w:val="18"/>
              </w:rPr>
            </w:pPr>
          </w:p>
        </w:tc>
      </w:tr>
      <w:tr w14:paraId="4C84E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31773F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857A90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05B2D0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6607F8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0BAD5B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136CE7E">
            <w:pPr>
              <w:rPr>
                <w:rFonts w:hint="eastAsia" w:ascii="宋体"/>
                <w:color w:val="334155"/>
                <w:sz w:val="18"/>
                <w:szCs w:val="18"/>
              </w:rPr>
            </w:pPr>
          </w:p>
        </w:tc>
      </w:tr>
      <w:tr w14:paraId="2BD49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D7ECBB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450EAB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1A7898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61E709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FB1D1A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4A9B475">
            <w:pPr>
              <w:rPr>
                <w:rFonts w:hint="eastAsia" w:ascii="宋体"/>
                <w:color w:val="334155"/>
                <w:sz w:val="18"/>
                <w:szCs w:val="18"/>
              </w:rPr>
            </w:pPr>
          </w:p>
        </w:tc>
      </w:tr>
      <w:tr w14:paraId="24105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5BE743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A177E6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7382ED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DA1A44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816793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C772971">
            <w:pPr>
              <w:rPr>
                <w:rFonts w:hint="eastAsia" w:ascii="宋体"/>
                <w:color w:val="334155"/>
                <w:sz w:val="18"/>
                <w:szCs w:val="18"/>
              </w:rPr>
            </w:pPr>
          </w:p>
        </w:tc>
      </w:tr>
      <w:tr w14:paraId="1E99C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6C73E0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ACB7A2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9E1E30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B174B0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E9BACD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F44948D">
            <w:pPr>
              <w:rPr>
                <w:rFonts w:hint="eastAsia" w:ascii="宋体"/>
                <w:color w:val="334155"/>
                <w:sz w:val="18"/>
                <w:szCs w:val="18"/>
              </w:rPr>
            </w:pPr>
          </w:p>
        </w:tc>
      </w:tr>
      <w:tr w14:paraId="11F53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017461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AA79DA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41680E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17FFBB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6AFFB2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03B4FDA">
            <w:pPr>
              <w:rPr>
                <w:rFonts w:hint="eastAsia" w:ascii="宋体"/>
                <w:color w:val="334155"/>
                <w:sz w:val="18"/>
                <w:szCs w:val="18"/>
              </w:rPr>
            </w:pPr>
          </w:p>
        </w:tc>
      </w:tr>
      <w:tr w14:paraId="4AB2C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BFD09E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0CBD7F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135CEB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2389F5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87DF4E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7B1D0C6">
            <w:pPr>
              <w:rPr>
                <w:rFonts w:hint="eastAsia" w:ascii="宋体"/>
                <w:color w:val="334155"/>
                <w:sz w:val="18"/>
                <w:szCs w:val="18"/>
              </w:rPr>
            </w:pPr>
          </w:p>
        </w:tc>
      </w:tr>
      <w:tr w14:paraId="251EF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E44345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85FBF1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C74759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0A7FF8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66B684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5F88397">
            <w:pPr>
              <w:rPr>
                <w:rFonts w:hint="eastAsia" w:ascii="宋体"/>
                <w:color w:val="334155"/>
                <w:sz w:val="18"/>
                <w:szCs w:val="18"/>
              </w:rPr>
            </w:pPr>
          </w:p>
        </w:tc>
      </w:tr>
      <w:tr w14:paraId="3FA80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C23CA2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B009D9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E87587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0D1F31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919F55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24E4B59">
            <w:pPr>
              <w:rPr>
                <w:rFonts w:hint="eastAsia" w:ascii="宋体"/>
                <w:color w:val="334155"/>
                <w:sz w:val="18"/>
                <w:szCs w:val="18"/>
              </w:rPr>
            </w:pPr>
          </w:p>
        </w:tc>
      </w:tr>
      <w:tr w14:paraId="6CC0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390758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4C774C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67D3C4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68A78A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CD694B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92720A5">
            <w:pPr>
              <w:rPr>
                <w:rFonts w:hint="eastAsia" w:ascii="宋体"/>
                <w:color w:val="334155"/>
                <w:sz w:val="18"/>
                <w:szCs w:val="18"/>
              </w:rPr>
            </w:pPr>
          </w:p>
        </w:tc>
      </w:tr>
      <w:tr w14:paraId="10EC3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2EB1B0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F41B9F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79F3C2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534F8B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87CA9D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56EE03E">
            <w:pPr>
              <w:rPr>
                <w:rFonts w:hint="eastAsia" w:ascii="宋体"/>
                <w:color w:val="334155"/>
                <w:sz w:val="18"/>
                <w:szCs w:val="18"/>
              </w:rPr>
            </w:pPr>
          </w:p>
        </w:tc>
      </w:tr>
      <w:tr w14:paraId="39028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83C33B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C4BFD8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B1A171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C23D81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55C0E9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AAECE5E">
            <w:pPr>
              <w:rPr>
                <w:rFonts w:hint="eastAsia" w:ascii="宋体"/>
                <w:color w:val="334155"/>
                <w:sz w:val="18"/>
                <w:szCs w:val="18"/>
              </w:rPr>
            </w:pPr>
          </w:p>
        </w:tc>
      </w:tr>
      <w:tr w14:paraId="119CB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6C1395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8CB150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2082F5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DF045D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E1E39A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674AC2A">
            <w:pPr>
              <w:rPr>
                <w:rFonts w:hint="eastAsia" w:ascii="宋体"/>
                <w:color w:val="334155"/>
                <w:sz w:val="18"/>
                <w:szCs w:val="18"/>
              </w:rPr>
            </w:pPr>
          </w:p>
        </w:tc>
      </w:tr>
      <w:tr w14:paraId="4DA80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35FE97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5BF97F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9635B7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94F94C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3E7F50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C4BB2C1">
            <w:pPr>
              <w:rPr>
                <w:rFonts w:hint="eastAsia" w:ascii="宋体"/>
                <w:color w:val="334155"/>
                <w:sz w:val="18"/>
                <w:szCs w:val="18"/>
              </w:rPr>
            </w:pPr>
          </w:p>
        </w:tc>
      </w:tr>
      <w:tr w14:paraId="08A5A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362B4D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D20B17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A13C94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5B3A35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FA58F1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DC05D5A">
            <w:pPr>
              <w:rPr>
                <w:rFonts w:hint="eastAsia" w:ascii="宋体"/>
                <w:color w:val="334155"/>
                <w:sz w:val="18"/>
                <w:szCs w:val="18"/>
              </w:rPr>
            </w:pPr>
          </w:p>
        </w:tc>
      </w:tr>
      <w:tr w14:paraId="4374A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AC0C08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CEE22B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02C398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FB0133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F2A360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A39CDBE">
            <w:pPr>
              <w:rPr>
                <w:rFonts w:hint="eastAsia" w:ascii="宋体"/>
                <w:color w:val="334155"/>
                <w:sz w:val="18"/>
                <w:szCs w:val="18"/>
              </w:rPr>
            </w:pPr>
          </w:p>
        </w:tc>
      </w:tr>
      <w:tr w14:paraId="600CC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EAEE93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548CD8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ED0187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17425A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B4E5AD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B1A4FBE">
            <w:pPr>
              <w:rPr>
                <w:rFonts w:hint="eastAsia" w:ascii="宋体"/>
                <w:color w:val="334155"/>
                <w:sz w:val="18"/>
                <w:szCs w:val="18"/>
              </w:rPr>
            </w:pPr>
          </w:p>
        </w:tc>
      </w:tr>
      <w:tr w14:paraId="50165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A3312D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9E5186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CD6121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A8AF1B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50118F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5D94944">
            <w:pPr>
              <w:rPr>
                <w:rFonts w:hint="eastAsia" w:ascii="宋体"/>
                <w:color w:val="334155"/>
                <w:sz w:val="18"/>
                <w:szCs w:val="18"/>
              </w:rPr>
            </w:pPr>
          </w:p>
        </w:tc>
      </w:tr>
      <w:tr w14:paraId="5043E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686311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FC6DC5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8921C7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FD041C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F01A24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A7027C5">
            <w:pPr>
              <w:rPr>
                <w:rFonts w:hint="eastAsia" w:ascii="宋体"/>
                <w:color w:val="334155"/>
                <w:sz w:val="18"/>
                <w:szCs w:val="18"/>
              </w:rPr>
            </w:pPr>
          </w:p>
        </w:tc>
      </w:tr>
      <w:tr w14:paraId="6A8A6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5A11B4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9CD6F3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461EAD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0349AB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9F0380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69AEEA1">
            <w:pPr>
              <w:rPr>
                <w:rFonts w:hint="eastAsia" w:ascii="宋体"/>
                <w:color w:val="334155"/>
                <w:sz w:val="18"/>
                <w:szCs w:val="18"/>
              </w:rPr>
            </w:pPr>
          </w:p>
        </w:tc>
      </w:tr>
      <w:tr w14:paraId="75E54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C65E7A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EB9914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815E4E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BD4808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DE294F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C0998F7">
            <w:pPr>
              <w:rPr>
                <w:rFonts w:hint="eastAsia" w:ascii="宋体"/>
                <w:color w:val="334155"/>
                <w:sz w:val="18"/>
                <w:szCs w:val="18"/>
              </w:rPr>
            </w:pPr>
          </w:p>
        </w:tc>
      </w:tr>
      <w:tr w14:paraId="2DDB1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B74A51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C78650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E81AFA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5ADD33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FBFB51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2D6CC3A">
            <w:pPr>
              <w:rPr>
                <w:rFonts w:hint="eastAsia" w:ascii="宋体"/>
                <w:color w:val="334155"/>
                <w:sz w:val="18"/>
                <w:szCs w:val="18"/>
              </w:rPr>
            </w:pPr>
          </w:p>
        </w:tc>
      </w:tr>
      <w:tr w14:paraId="54BFC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5C379F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1D005F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FB5B40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4D4F45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4E4A8B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A0DD992">
            <w:pPr>
              <w:rPr>
                <w:rFonts w:hint="eastAsia" w:ascii="宋体"/>
                <w:color w:val="334155"/>
                <w:sz w:val="18"/>
                <w:szCs w:val="18"/>
              </w:rPr>
            </w:pPr>
          </w:p>
        </w:tc>
      </w:tr>
      <w:tr w14:paraId="48F75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3A757E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3103A9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4ADE63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6DA172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FF2E12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9A9694A">
            <w:pPr>
              <w:rPr>
                <w:rFonts w:hint="eastAsia" w:ascii="宋体"/>
                <w:color w:val="334155"/>
                <w:sz w:val="18"/>
                <w:szCs w:val="18"/>
              </w:rPr>
            </w:pPr>
          </w:p>
        </w:tc>
      </w:tr>
      <w:tr w14:paraId="4A202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09EBBE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889B8A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3C6A0A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C187E0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531365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D8188DB">
            <w:pPr>
              <w:rPr>
                <w:rFonts w:hint="eastAsia" w:ascii="宋体"/>
                <w:color w:val="334155"/>
                <w:sz w:val="18"/>
                <w:szCs w:val="18"/>
              </w:rPr>
            </w:pPr>
          </w:p>
        </w:tc>
      </w:tr>
      <w:tr w14:paraId="57509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D8DF74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1C14AF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EB2F70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0AFC9B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74F5C9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0F60C20">
            <w:pPr>
              <w:rPr>
                <w:rFonts w:hint="eastAsia" w:ascii="宋体"/>
                <w:color w:val="334155"/>
                <w:sz w:val="18"/>
                <w:szCs w:val="18"/>
              </w:rPr>
            </w:pPr>
          </w:p>
        </w:tc>
      </w:tr>
      <w:tr w14:paraId="024DC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6F15D0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8DC7C4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1BE961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BD0E47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79B452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E1C393E">
            <w:pPr>
              <w:rPr>
                <w:rFonts w:hint="eastAsia" w:ascii="宋体"/>
                <w:color w:val="334155"/>
                <w:sz w:val="18"/>
                <w:szCs w:val="18"/>
              </w:rPr>
            </w:pPr>
          </w:p>
        </w:tc>
      </w:tr>
      <w:tr w14:paraId="27AE1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C246C5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4291CD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E01728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DBD79C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DF0E01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4FBA3EC">
            <w:pPr>
              <w:rPr>
                <w:rFonts w:hint="eastAsia" w:ascii="宋体"/>
                <w:color w:val="334155"/>
                <w:sz w:val="18"/>
                <w:szCs w:val="18"/>
              </w:rPr>
            </w:pPr>
          </w:p>
        </w:tc>
      </w:tr>
      <w:tr w14:paraId="3EEE0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D01423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0931C6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E7B35D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528CAC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40C151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799312F">
            <w:pPr>
              <w:rPr>
                <w:rFonts w:hint="eastAsia" w:ascii="宋体"/>
                <w:color w:val="334155"/>
                <w:sz w:val="18"/>
                <w:szCs w:val="18"/>
              </w:rPr>
            </w:pPr>
          </w:p>
        </w:tc>
      </w:tr>
      <w:tr w14:paraId="6D5F3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BA4643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58792B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D0D065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A67805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FEFBBF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55C7D75">
            <w:pPr>
              <w:rPr>
                <w:rFonts w:hint="eastAsia" w:ascii="宋体"/>
                <w:color w:val="334155"/>
                <w:sz w:val="18"/>
                <w:szCs w:val="18"/>
              </w:rPr>
            </w:pPr>
          </w:p>
        </w:tc>
      </w:tr>
      <w:tr w14:paraId="489D8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0F3A4F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9C29E8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1153B2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751F27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5675CF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BA9FD44">
            <w:pPr>
              <w:rPr>
                <w:rFonts w:hint="eastAsia" w:ascii="宋体"/>
                <w:color w:val="334155"/>
                <w:sz w:val="18"/>
                <w:szCs w:val="18"/>
              </w:rPr>
            </w:pPr>
          </w:p>
        </w:tc>
      </w:tr>
      <w:tr w14:paraId="20AF7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804EE5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18BCDF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7E9A1A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B18D23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482FEF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DB5CFF6">
            <w:pPr>
              <w:rPr>
                <w:rFonts w:hint="eastAsia" w:ascii="宋体"/>
                <w:color w:val="334155"/>
                <w:sz w:val="18"/>
                <w:szCs w:val="18"/>
              </w:rPr>
            </w:pPr>
          </w:p>
        </w:tc>
      </w:tr>
      <w:tr w14:paraId="36F3D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305F3A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FD5EA2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A0394D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90F9D2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2EEDC2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1053E78">
            <w:pPr>
              <w:rPr>
                <w:rFonts w:hint="eastAsia" w:ascii="宋体"/>
                <w:color w:val="334155"/>
                <w:sz w:val="18"/>
                <w:szCs w:val="18"/>
              </w:rPr>
            </w:pPr>
          </w:p>
        </w:tc>
      </w:tr>
      <w:tr w14:paraId="7E9F7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B216FF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04757D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7EC6FA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C1996F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288D12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7008B71">
            <w:pPr>
              <w:rPr>
                <w:rFonts w:hint="eastAsia" w:ascii="宋体"/>
                <w:color w:val="334155"/>
                <w:sz w:val="18"/>
                <w:szCs w:val="18"/>
              </w:rPr>
            </w:pPr>
          </w:p>
        </w:tc>
      </w:tr>
      <w:tr w14:paraId="691AF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F812A9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D19A01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1798FD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8AA396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5AC82C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B1CB7A9">
            <w:pPr>
              <w:rPr>
                <w:rFonts w:hint="eastAsia" w:ascii="宋体"/>
                <w:color w:val="334155"/>
                <w:sz w:val="18"/>
                <w:szCs w:val="18"/>
              </w:rPr>
            </w:pPr>
          </w:p>
        </w:tc>
      </w:tr>
      <w:tr w14:paraId="56909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78727F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CE5BDD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C33D44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FE192C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4C1420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E26DD08">
            <w:pPr>
              <w:rPr>
                <w:rFonts w:hint="eastAsia" w:ascii="宋体"/>
                <w:color w:val="334155"/>
                <w:sz w:val="18"/>
                <w:szCs w:val="18"/>
              </w:rPr>
            </w:pPr>
          </w:p>
        </w:tc>
      </w:tr>
      <w:tr w14:paraId="492FC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FAA9BD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46E4B2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419A9B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EC8F81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5DD4F5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CA5B749">
            <w:pPr>
              <w:rPr>
                <w:rFonts w:hint="eastAsia" w:ascii="宋体"/>
                <w:color w:val="334155"/>
                <w:sz w:val="18"/>
                <w:szCs w:val="18"/>
              </w:rPr>
            </w:pPr>
          </w:p>
        </w:tc>
      </w:tr>
      <w:tr w14:paraId="30AF9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D1B7EE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BAC601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8C163B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8EB10A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AE8EE2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1A96A38">
            <w:pPr>
              <w:rPr>
                <w:rFonts w:hint="eastAsia" w:ascii="宋体"/>
                <w:color w:val="334155"/>
                <w:sz w:val="18"/>
                <w:szCs w:val="18"/>
              </w:rPr>
            </w:pPr>
          </w:p>
        </w:tc>
      </w:tr>
      <w:tr w14:paraId="1E7E4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0CEAEE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3E9CEB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19C28D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0D0B06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EC2C35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EAF33A3">
            <w:pPr>
              <w:rPr>
                <w:rFonts w:hint="eastAsia" w:ascii="宋体"/>
                <w:color w:val="334155"/>
                <w:sz w:val="18"/>
                <w:szCs w:val="18"/>
              </w:rPr>
            </w:pPr>
          </w:p>
        </w:tc>
      </w:tr>
      <w:tr w14:paraId="2542E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B5C52B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9E7339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582055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754BBC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C979DE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F2C2D27">
            <w:pPr>
              <w:rPr>
                <w:rFonts w:hint="eastAsia" w:ascii="宋体"/>
                <w:color w:val="334155"/>
                <w:sz w:val="18"/>
                <w:szCs w:val="18"/>
              </w:rPr>
            </w:pPr>
          </w:p>
        </w:tc>
      </w:tr>
      <w:tr w14:paraId="7DC5C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677440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10C2CA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BC1143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DAC50E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56AD43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3355BF5">
            <w:pPr>
              <w:rPr>
                <w:rFonts w:hint="eastAsia" w:ascii="宋体"/>
                <w:color w:val="334155"/>
                <w:sz w:val="18"/>
                <w:szCs w:val="18"/>
              </w:rPr>
            </w:pPr>
          </w:p>
        </w:tc>
      </w:tr>
      <w:tr w14:paraId="49C61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6E09C0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6ECF7F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AA1E40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06D1B4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36FB81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E70691C">
            <w:pPr>
              <w:rPr>
                <w:rFonts w:hint="eastAsia" w:ascii="宋体"/>
                <w:color w:val="334155"/>
                <w:sz w:val="18"/>
                <w:szCs w:val="18"/>
              </w:rPr>
            </w:pPr>
          </w:p>
        </w:tc>
      </w:tr>
      <w:tr w14:paraId="55E65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5C80E3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42DDDF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7E8C96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E8A261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FCAEA8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6F7A17A">
            <w:pPr>
              <w:rPr>
                <w:rFonts w:hint="eastAsia" w:ascii="宋体"/>
                <w:color w:val="334155"/>
                <w:sz w:val="18"/>
                <w:szCs w:val="18"/>
              </w:rPr>
            </w:pPr>
          </w:p>
        </w:tc>
      </w:tr>
      <w:tr w14:paraId="3A4AC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B27797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9365BD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C31E23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D3BF68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A4AE28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3A32EE7">
            <w:pPr>
              <w:rPr>
                <w:rFonts w:hint="eastAsia" w:ascii="宋体"/>
                <w:color w:val="334155"/>
                <w:sz w:val="18"/>
                <w:szCs w:val="18"/>
              </w:rPr>
            </w:pPr>
          </w:p>
        </w:tc>
      </w:tr>
      <w:tr w14:paraId="319FB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068087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480B36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F8C58D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1462FE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7E2755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65E44D8">
            <w:pPr>
              <w:rPr>
                <w:rFonts w:hint="eastAsia" w:ascii="宋体"/>
                <w:color w:val="334155"/>
                <w:sz w:val="18"/>
                <w:szCs w:val="18"/>
              </w:rPr>
            </w:pPr>
          </w:p>
        </w:tc>
      </w:tr>
      <w:tr w14:paraId="00F03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447E35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244110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5A2AC8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D12C08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0B6A62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08E4F76">
            <w:pPr>
              <w:rPr>
                <w:rFonts w:hint="eastAsia" w:ascii="宋体"/>
                <w:color w:val="334155"/>
                <w:sz w:val="18"/>
                <w:szCs w:val="18"/>
              </w:rPr>
            </w:pPr>
          </w:p>
        </w:tc>
      </w:tr>
      <w:tr w14:paraId="22D84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04CBA3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DB1783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A3DC6A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1506EC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338D9E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61D1266">
            <w:pPr>
              <w:rPr>
                <w:rFonts w:hint="eastAsia" w:ascii="宋体"/>
                <w:color w:val="334155"/>
                <w:sz w:val="18"/>
                <w:szCs w:val="18"/>
              </w:rPr>
            </w:pPr>
          </w:p>
        </w:tc>
      </w:tr>
    </w:tbl>
    <w:p w14:paraId="1F5442E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64748B"/>
          <w:sz w:val="18"/>
          <w:szCs w:val="18"/>
        </w:rPr>
      </w:pPr>
      <w:r>
        <w:rPr>
          <w:color w:val="64748B"/>
          <w:sz w:val="18"/>
          <w:szCs w:val="18"/>
          <w:bdr w:val="none" w:color="auto" w:sz="0" w:space="0"/>
        </w:rPr>
        <w:t>导出： 下载发票逐张清单 CSV</w:t>
      </w:r>
    </w:p>
    <w:p w14:paraId="439D70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64748B"/>
        </w:rPr>
      </w:pPr>
      <w:r>
        <w:rPr>
          <w:color w:val="64748B"/>
          <w:bdr w:val="none" w:color="auto" w:sz="0" w:space="0"/>
        </w:rPr>
        <w:t>② 账面口径构成（序时账 6401 本期借方发生额，按凭证号归集） 下载 CSV</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5710"/>
        <w:gridCol w:w="6829"/>
        <w:gridCol w:w="9162"/>
      </w:tblGrid>
      <w:tr w14:paraId="0EC62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29D8A497">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凭证号</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39139E57">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摘要</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73DBF053">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金额(元)</w:t>
            </w:r>
          </w:p>
        </w:tc>
      </w:tr>
      <w:tr w14:paraId="54944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A41A70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9E8FDD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976C8A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2,247,792.28</w:t>
            </w:r>
          </w:p>
        </w:tc>
      </w:tr>
      <w:tr w14:paraId="43B2A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7079DC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记-12</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2F940F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8CDA3E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701,281.00</w:t>
            </w:r>
          </w:p>
        </w:tc>
      </w:tr>
      <w:tr w14:paraId="52273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A99E8A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4AA86A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3B05B6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656,528.89</w:t>
            </w:r>
          </w:p>
        </w:tc>
      </w:tr>
      <w:tr w14:paraId="5AE87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D00C79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17913A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74B0E8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204,284.09</w:t>
            </w:r>
          </w:p>
        </w:tc>
      </w:tr>
      <w:tr w14:paraId="7069A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009CE1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记-29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60EC62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79E675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141,509.43</w:t>
            </w:r>
          </w:p>
        </w:tc>
      </w:tr>
      <w:tr w14:paraId="0C741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6B5FCF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记-28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6BA553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F85F36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68,396.23</w:t>
            </w:r>
          </w:p>
        </w:tc>
      </w:tr>
      <w:tr w14:paraId="19F9D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04395C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记-26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42EB4A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560E60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58,792.45</w:t>
            </w:r>
          </w:p>
        </w:tc>
      </w:tr>
      <w:tr w14:paraId="50CDB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623A05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记-27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86F0B7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AD13E3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37,864.08</w:t>
            </w:r>
          </w:p>
        </w:tc>
      </w:tr>
      <w:tr w14:paraId="18A9D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254772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记-24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BDC61F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1DA6D0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28,537.74</w:t>
            </w:r>
          </w:p>
        </w:tc>
      </w:tr>
      <w:tr w14:paraId="63FA3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47B9F2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记-32</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1CF28D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2A17E2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18,800.00</w:t>
            </w:r>
          </w:p>
        </w:tc>
      </w:tr>
      <w:tr w14:paraId="65E24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4ACCFC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记-31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D7B568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F6D56C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9,900.00</w:t>
            </w:r>
          </w:p>
        </w:tc>
      </w:tr>
      <w:tr w14:paraId="7472B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9899B0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记-23</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9B369D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A46386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7,843.56</w:t>
            </w:r>
          </w:p>
        </w:tc>
      </w:tr>
      <w:tr w14:paraId="3201B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6AB825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记-33</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711E64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0553B8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3,500.00</w:t>
            </w:r>
          </w:p>
        </w:tc>
      </w:tr>
      <w:tr w14:paraId="54030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0ED5FC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记-15</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1EF538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收到发票</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2BEA53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2,191.09</w:t>
            </w:r>
          </w:p>
        </w:tc>
      </w:tr>
      <w:tr w14:paraId="08036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FF0A23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Style w:val="8"/>
                <w:rFonts w:ascii="宋体" w:hAnsi="宋体" w:eastAsia="宋体" w:cs="宋体"/>
                <w:color w:val="334155"/>
                <w:kern w:val="0"/>
                <w:sz w:val="18"/>
                <w:szCs w:val="18"/>
                <w:bdr w:val="none" w:color="auto" w:sz="0" w:space="0"/>
                <w:lang w:val="en-US" w:eastAsia="zh-CN" w:bidi="ar"/>
              </w:rPr>
              <w:t>合计</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4C51A8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35287B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Style w:val="8"/>
                <w:rFonts w:ascii="宋体" w:hAnsi="宋体" w:eastAsia="宋体" w:cs="宋体"/>
                <w:color w:val="334155"/>
                <w:kern w:val="0"/>
                <w:sz w:val="18"/>
                <w:szCs w:val="18"/>
                <w:bdr w:val="none" w:color="auto" w:sz="0" w:space="0"/>
                <w:lang w:val="en-US" w:eastAsia="zh-CN" w:bidi="ar"/>
              </w:rPr>
              <w:t>4,187,220.84</w:t>
            </w:r>
          </w:p>
        </w:tc>
      </w:tr>
    </w:tbl>
    <w:p w14:paraId="4E502D1C">
      <w:pPr>
        <w:keepNext w:val="0"/>
        <w:keepLines w:val="0"/>
        <w:widowControl/>
        <w:suppressLineNumbers w:val="0"/>
        <w:spacing w:before="180" w:beforeAutospacing="0" w:after="60" w:afterAutospacing="0"/>
        <w:ind w:left="0" w:right="0"/>
        <w:jc w:val="left"/>
      </w:pPr>
      <w:r>
        <w:rPr>
          <w:rFonts w:ascii="宋体" w:hAnsi="宋体" w:eastAsia="宋体" w:cs="宋体"/>
          <w:kern w:val="0"/>
          <w:sz w:val="24"/>
          <w:szCs w:val="24"/>
          <w:bdr w:val="none" w:color="auto" w:sz="0" w:space="0"/>
          <w:lang w:val="en-US" w:eastAsia="zh-CN" w:bidi="ar"/>
        </w:rPr>
        <w:t>② 凭证逐笔清单（26 笔，点击展开）</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5425"/>
        <w:gridCol w:w="5425"/>
        <w:gridCol w:w="5425"/>
        <w:gridCol w:w="5426"/>
      </w:tblGrid>
      <w:tr w14:paraId="357BD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118E9683">
            <w:pPr>
              <w:jc w:val="left"/>
              <w:rPr>
                <w:rFonts w:hint="eastAsia" w:ascii="宋体"/>
                <w:b/>
                <w:bCs/>
                <w:color w:val="334155"/>
                <w:sz w:val="18"/>
                <w:szCs w:val="18"/>
              </w:rPr>
            </w:pP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4741681B">
            <w:pPr>
              <w:jc w:val="left"/>
              <w:rPr>
                <w:rFonts w:hint="eastAsia" w:ascii="宋体"/>
                <w:b/>
                <w:bCs/>
                <w:color w:val="334155"/>
                <w:sz w:val="18"/>
                <w:szCs w:val="18"/>
              </w:rPr>
            </w:pP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1893056F">
            <w:pPr>
              <w:jc w:val="left"/>
              <w:rPr>
                <w:rFonts w:hint="eastAsia" w:ascii="宋体"/>
                <w:b/>
                <w:bCs/>
                <w:color w:val="334155"/>
                <w:sz w:val="18"/>
                <w:szCs w:val="18"/>
              </w:rPr>
            </w:pP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764AEB71">
            <w:pPr>
              <w:jc w:val="left"/>
              <w:rPr>
                <w:rFonts w:hint="eastAsia" w:ascii="宋体"/>
                <w:b/>
                <w:bCs/>
                <w:color w:val="334155"/>
                <w:sz w:val="18"/>
                <w:szCs w:val="18"/>
              </w:rPr>
            </w:pPr>
          </w:p>
        </w:tc>
      </w:tr>
      <w:tr w14:paraId="7FADA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6D0BCE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3FA5AC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2B2589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4292191">
            <w:pPr>
              <w:rPr>
                <w:rFonts w:hint="eastAsia" w:ascii="宋体"/>
                <w:color w:val="334155"/>
                <w:sz w:val="18"/>
                <w:szCs w:val="18"/>
              </w:rPr>
            </w:pPr>
          </w:p>
        </w:tc>
      </w:tr>
      <w:tr w14:paraId="556CF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6B02A3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A7AA3F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42C312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6816690">
            <w:pPr>
              <w:rPr>
                <w:rFonts w:hint="eastAsia" w:ascii="宋体"/>
                <w:color w:val="334155"/>
                <w:sz w:val="18"/>
                <w:szCs w:val="18"/>
              </w:rPr>
            </w:pPr>
          </w:p>
        </w:tc>
      </w:tr>
      <w:tr w14:paraId="13ACD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3DFDC7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6B6CDA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E5A6E8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B582684">
            <w:pPr>
              <w:rPr>
                <w:rFonts w:hint="eastAsia" w:ascii="宋体"/>
                <w:color w:val="334155"/>
                <w:sz w:val="18"/>
                <w:szCs w:val="18"/>
              </w:rPr>
            </w:pPr>
          </w:p>
        </w:tc>
      </w:tr>
      <w:tr w14:paraId="05523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29829F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755174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3C4C75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59A3DF7">
            <w:pPr>
              <w:rPr>
                <w:rFonts w:hint="eastAsia" w:ascii="宋体"/>
                <w:color w:val="334155"/>
                <w:sz w:val="18"/>
                <w:szCs w:val="18"/>
              </w:rPr>
            </w:pPr>
          </w:p>
        </w:tc>
      </w:tr>
      <w:tr w14:paraId="05AB4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A2CF64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016AD5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CC946B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F343EF3">
            <w:pPr>
              <w:rPr>
                <w:rFonts w:hint="eastAsia" w:ascii="宋体"/>
                <w:color w:val="334155"/>
                <w:sz w:val="18"/>
                <w:szCs w:val="18"/>
              </w:rPr>
            </w:pPr>
          </w:p>
        </w:tc>
      </w:tr>
      <w:tr w14:paraId="448A3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8D9831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986DA3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48E1FE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1341573">
            <w:pPr>
              <w:rPr>
                <w:rFonts w:hint="eastAsia" w:ascii="宋体"/>
                <w:color w:val="334155"/>
                <w:sz w:val="18"/>
                <w:szCs w:val="18"/>
              </w:rPr>
            </w:pPr>
          </w:p>
        </w:tc>
      </w:tr>
      <w:tr w14:paraId="568EF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122515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858A51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D39CF2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535A091">
            <w:pPr>
              <w:rPr>
                <w:rFonts w:hint="eastAsia" w:ascii="宋体"/>
                <w:color w:val="334155"/>
                <w:sz w:val="18"/>
                <w:szCs w:val="18"/>
              </w:rPr>
            </w:pPr>
          </w:p>
        </w:tc>
      </w:tr>
      <w:tr w14:paraId="2EC16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F58C94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2E957A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EC40CF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5752AA4">
            <w:pPr>
              <w:rPr>
                <w:rFonts w:hint="eastAsia" w:ascii="宋体"/>
                <w:color w:val="334155"/>
                <w:sz w:val="18"/>
                <w:szCs w:val="18"/>
              </w:rPr>
            </w:pPr>
          </w:p>
        </w:tc>
      </w:tr>
      <w:tr w14:paraId="189B0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902249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A2DB98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56D753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CE11587">
            <w:pPr>
              <w:rPr>
                <w:rFonts w:hint="eastAsia" w:ascii="宋体"/>
                <w:color w:val="334155"/>
                <w:sz w:val="18"/>
                <w:szCs w:val="18"/>
              </w:rPr>
            </w:pPr>
          </w:p>
        </w:tc>
      </w:tr>
      <w:tr w14:paraId="5D8E2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34C4AE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13F307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158C2E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334528A">
            <w:pPr>
              <w:rPr>
                <w:rFonts w:hint="eastAsia" w:ascii="宋体"/>
                <w:color w:val="334155"/>
                <w:sz w:val="18"/>
                <w:szCs w:val="18"/>
              </w:rPr>
            </w:pPr>
          </w:p>
        </w:tc>
      </w:tr>
      <w:tr w14:paraId="0A6DB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C8A34B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55D97E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D84A9A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703B78E">
            <w:pPr>
              <w:rPr>
                <w:rFonts w:hint="eastAsia" w:ascii="宋体"/>
                <w:color w:val="334155"/>
                <w:sz w:val="18"/>
                <w:szCs w:val="18"/>
              </w:rPr>
            </w:pPr>
          </w:p>
        </w:tc>
      </w:tr>
      <w:tr w14:paraId="76EAF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8B4D96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24DC11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324840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B861630">
            <w:pPr>
              <w:rPr>
                <w:rFonts w:hint="eastAsia" w:ascii="宋体"/>
                <w:color w:val="334155"/>
                <w:sz w:val="18"/>
                <w:szCs w:val="18"/>
              </w:rPr>
            </w:pPr>
          </w:p>
        </w:tc>
      </w:tr>
      <w:tr w14:paraId="5C50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FBF165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A5945D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FE3AB5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62465D9">
            <w:pPr>
              <w:rPr>
                <w:rFonts w:hint="eastAsia" w:ascii="宋体"/>
                <w:color w:val="334155"/>
                <w:sz w:val="18"/>
                <w:szCs w:val="18"/>
              </w:rPr>
            </w:pPr>
          </w:p>
        </w:tc>
      </w:tr>
      <w:tr w14:paraId="5201E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210A18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697971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937CF6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E7E6846">
            <w:pPr>
              <w:rPr>
                <w:rFonts w:hint="eastAsia" w:ascii="宋体"/>
                <w:color w:val="334155"/>
                <w:sz w:val="18"/>
                <w:szCs w:val="18"/>
              </w:rPr>
            </w:pPr>
          </w:p>
        </w:tc>
      </w:tr>
      <w:tr w14:paraId="597C1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4F0501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D12E58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385A41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C893C5D">
            <w:pPr>
              <w:rPr>
                <w:rFonts w:hint="eastAsia" w:ascii="宋体"/>
                <w:color w:val="334155"/>
                <w:sz w:val="18"/>
                <w:szCs w:val="18"/>
              </w:rPr>
            </w:pPr>
          </w:p>
        </w:tc>
      </w:tr>
      <w:tr w14:paraId="7AC9A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D35B7E3">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257649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331F84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170BAD3">
            <w:pPr>
              <w:rPr>
                <w:rFonts w:hint="eastAsia" w:ascii="宋体"/>
                <w:color w:val="334155"/>
                <w:sz w:val="18"/>
                <w:szCs w:val="18"/>
              </w:rPr>
            </w:pPr>
          </w:p>
        </w:tc>
      </w:tr>
      <w:tr w14:paraId="3D754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2CA31E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BDB99F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C3B1FB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BFBF67F">
            <w:pPr>
              <w:rPr>
                <w:rFonts w:hint="eastAsia" w:ascii="宋体"/>
                <w:color w:val="334155"/>
                <w:sz w:val="18"/>
                <w:szCs w:val="18"/>
              </w:rPr>
            </w:pPr>
          </w:p>
        </w:tc>
      </w:tr>
      <w:tr w14:paraId="1469B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F28771A">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F29881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90435B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2A580FE">
            <w:pPr>
              <w:rPr>
                <w:rFonts w:hint="eastAsia" w:ascii="宋体"/>
                <w:color w:val="334155"/>
                <w:sz w:val="18"/>
                <w:szCs w:val="18"/>
              </w:rPr>
            </w:pPr>
          </w:p>
        </w:tc>
      </w:tr>
      <w:tr w14:paraId="7B06E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51A8EB9">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46C8DD7">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C93C3C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2EEB37F">
            <w:pPr>
              <w:rPr>
                <w:rFonts w:hint="eastAsia" w:ascii="宋体"/>
                <w:color w:val="334155"/>
                <w:sz w:val="18"/>
                <w:szCs w:val="18"/>
              </w:rPr>
            </w:pPr>
          </w:p>
        </w:tc>
      </w:tr>
      <w:tr w14:paraId="03E41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FE6DF6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E338E56">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56050CF">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2961CB7">
            <w:pPr>
              <w:rPr>
                <w:rFonts w:hint="eastAsia" w:ascii="宋体"/>
                <w:color w:val="334155"/>
                <w:sz w:val="18"/>
                <w:szCs w:val="18"/>
              </w:rPr>
            </w:pPr>
          </w:p>
        </w:tc>
      </w:tr>
      <w:tr w14:paraId="74309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3F807F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886F8F0">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AB0727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58485C3">
            <w:pPr>
              <w:rPr>
                <w:rFonts w:hint="eastAsia" w:ascii="宋体"/>
                <w:color w:val="334155"/>
                <w:sz w:val="18"/>
                <w:szCs w:val="18"/>
              </w:rPr>
            </w:pPr>
          </w:p>
        </w:tc>
      </w:tr>
      <w:tr w14:paraId="40671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D9BC44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2493DA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B94EA7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8CDCBBE">
            <w:pPr>
              <w:rPr>
                <w:rFonts w:hint="eastAsia" w:ascii="宋体"/>
                <w:color w:val="334155"/>
                <w:sz w:val="18"/>
                <w:szCs w:val="18"/>
              </w:rPr>
            </w:pPr>
          </w:p>
        </w:tc>
      </w:tr>
      <w:tr w14:paraId="573FB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A9870F4">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EC8D382">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A1ADF3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62326C7">
            <w:pPr>
              <w:rPr>
                <w:rFonts w:hint="eastAsia" w:ascii="宋体"/>
                <w:color w:val="334155"/>
                <w:sz w:val="18"/>
                <w:szCs w:val="18"/>
              </w:rPr>
            </w:pPr>
          </w:p>
        </w:tc>
      </w:tr>
      <w:tr w14:paraId="3C968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C54C3C1">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E261FCB">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B809B8D">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B0D29AD">
            <w:pPr>
              <w:rPr>
                <w:rFonts w:hint="eastAsia" w:ascii="宋体"/>
                <w:color w:val="334155"/>
                <w:sz w:val="18"/>
                <w:szCs w:val="18"/>
              </w:rPr>
            </w:pPr>
          </w:p>
        </w:tc>
      </w:tr>
      <w:tr w14:paraId="11774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004084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D3A6BEE">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E84A4C5">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35C1A13">
            <w:pPr>
              <w:rPr>
                <w:rFonts w:hint="eastAsia" w:ascii="宋体"/>
                <w:color w:val="334155"/>
                <w:sz w:val="18"/>
                <w:szCs w:val="18"/>
              </w:rPr>
            </w:pPr>
          </w:p>
        </w:tc>
      </w:tr>
      <w:tr w14:paraId="67214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032B1DC">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D5E2E2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E954D48">
            <w:pPr>
              <w:rPr>
                <w:rFonts w:hint="eastAsia" w:ascii="宋体"/>
                <w:color w:val="334155"/>
                <w:sz w:val="18"/>
                <w:szCs w:val="18"/>
              </w:rPr>
            </w:pP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03ADA1B">
            <w:pPr>
              <w:rPr>
                <w:rFonts w:hint="eastAsia" w:ascii="宋体"/>
                <w:color w:val="334155"/>
                <w:sz w:val="18"/>
                <w:szCs w:val="18"/>
              </w:rPr>
            </w:pPr>
          </w:p>
        </w:tc>
      </w:tr>
    </w:tbl>
    <w:p w14:paraId="70A1B7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64748B"/>
          <w:sz w:val="18"/>
          <w:szCs w:val="18"/>
        </w:rPr>
      </w:pPr>
      <w:r>
        <w:rPr>
          <w:color w:val="64748B"/>
          <w:sz w:val="18"/>
          <w:szCs w:val="18"/>
          <w:bdr w:val="none" w:color="auto" w:sz="0" w:space="0"/>
        </w:rPr>
        <w:t>导出： 下载凭证逐笔清单 CSV</w:t>
      </w:r>
    </w:p>
    <w:p w14:paraId="77BB00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64748B"/>
        </w:rPr>
      </w:pPr>
      <w:r>
        <w:rPr>
          <w:color w:val="64748B"/>
          <w:bdr w:val="none" w:color="auto" w:sz="0" w:space="0"/>
        </w:rPr>
        <w:t>③ 主营业务成本与期间费用的区分（三态，按行业口径判定）</w:t>
      </w:r>
    </w:p>
    <w:p w14:paraId="579A1C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行业口径：</w:t>
      </w:r>
      <w:r>
        <w:rPr>
          <w:rStyle w:val="8"/>
          <w:color w:val="1A1A2E"/>
          <w:bdr w:val="none" w:color="auto" w:sz="0" w:space="0"/>
        </w:rPr>
        <w:t>广告传媒</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435"/>
        <w:gridCol w:w="3956"/>
        <w:gridCol w:w="6310"/>
      </w:tblGrid>
      <w:tr w14:paraId="4863F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4A941A6A">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归属</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22339E67">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类别数</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515B030C">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金额(元)</w:t>
            </w:r>
          </w:p>
        </w:tc>
      </w:tr>
      <w:tr w14:paraId="50D45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44428D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主营业务成本</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BC761C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23</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EC88C7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2,690,500.52</w:t>
            </w:r>
          </w:p>
        </w:tc>
      </w:tr>
      <w:tr w14:paraId="18C23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11C395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期间费用</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C3F2B4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51</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2EFC5F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1,262,328.38</w:t>
            </w:r>
          </w:p>
        </w:tc>
      </w:tr>
      <w:tr w14:paraId="2FE13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D7A050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待核（须项目/合同上下文）</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00C8C3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132</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0B7640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1,157,846.42</w:t>
            </w:r>
          </w:p>
        </w:tc>
      </w:tr>
    </w:tbl>
    <w:p w14:paraId="04BCB2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64748B"/>
        </w:rPr>
      </w:pPr>
      <w:r>
        <w:rPr>
          <w:color w:val="64748B"/>
          <w:bdr w:val="none" w:color="auto" w:sz="0" w:space="0"/>
        </w:rPr>
        <w:t>主营业务成本逐类明细（23 类）</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599"/>
        <w:gridCol w:w="1260"/>
        <w:gridCol w:w="5842"/>
      </w:tblGrid>
      <w:tr w14:paraId="1AD61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6231FC9F">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品名</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1E1D525F">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金额(元)</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701AFF41">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判定依据</w:t>
            </w:r>
          </w:p>
        </w:tc>
      </w:tr>
      <w:tr w14:paraId="3A7DE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E45ED9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*现代服务*代言服务费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D15BAD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641,509.43</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1E3F5A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行业核心投入层｜品名含「服务」｜命中「代言」</w:t>
            </w:r>
          </w:p>
        </w:tc>
      </w:tr>
      <w:tr w14:paraId="0DD8C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47A080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*信息系统服务*信息服务费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5841B8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454,081.18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20039C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行业核心投入层｜品名含「服务」｜命中「信息服务」</w:t>
            </w:r>
          </w:p>
        </w:tc>
      </w:tr>
      <w:tr w14:paraId="1C416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7721CA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*现代服务*信息服务费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44A921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390,352.26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C7311E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行业核心投入层｜品名含「服务」｜命中「信息服务」</w:t>
            </w:r>
          </w:p>
        </w:tc>
      </w:tr>
      <w:tr w14:paraId="24790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1AD55A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*广告服务*广告发布费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95F177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316,411.61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F162AB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行业核心投入层｜开票项目含服务大类「广告服务」｜命中「广告发布」</w:t>
            </w:r>
          </w:p>
        </w:tc>
      </w:tr>
      <w:tr w14:paraId="0F24D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6D8AB3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*信息技术服务*信息服务费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6BB081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298,151.54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22DAA9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行业核心投入层｜开票项目含服务大类「信息技术服务」｜命中「信息服务」</w:t>
            </w:r>
          </w:p>
        </w:tc>
      </w:tr>
      <w:tr w14:paraId="22AA2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54E08D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*设计服务*专业设计服务</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26D9EC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244,851.49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9011D1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行业核心投入层｜开票项目含服务大类「设计服务」｜命中「设计服务」</w:t>
            </w:r>
          </w:p>
        </w:tc>
      </w:tr>
      <w:tr w14:paraId="74F20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565136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*现代服务*策划服务费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1D17F7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235,849.06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72E551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行业核心投入层｜品名含「服务」｜命中「策划服务」</w:t>
            </w:r>
          </w:p>
        </w:tc>
      </w:tr>
      <w:tr w14:paraId="526E3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760C3F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*体育服务*赛事服务费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32E7F6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59,074.26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3A0805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行业核心投入层｜品名含「服务」｜命中「赛事服务」</w:t>
            </w:r>
          </w:p>
        </w:tc>
      </w:tr>
      <w:tr w14:paraId="48AE5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B4ACEA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*会展服务*策划服务费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CAC530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22,641.51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080372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行业核心投入层｜品名含「服务」｜命中「策划服务」</w:t>
            </w:r>
          </w:p>
        </w:tc>
      </w:tr>
      <w:tr w14:paraId="3646A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32CF8C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*会展服务*会议费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CDD20A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9,900.99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6C701B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行业核心投入层｜品名含「服务」｜命中「会展服务」</w:t>
            </w:r>
          </w:p>
        </w:tc>
      </w:tr>
      <w:tr w14:paraId="0EDB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46A8B8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*设计服务*设计服务费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49E4C5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7,920.80</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D5695A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行业核心投入层｜开票项目含服务大类「设计服务」｜命中「设计服务」</w:t>
            </w:r>
          </w:p>
        </w:tc>
      </w:tr>
      <w:tr w14:paraId="7F5F3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814300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*现代服务*信息技术服务费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F902CE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6,438.68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72C4DA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行业核心投入层｜开票项目含服务大类「信息技术服务」｜命中「技术服务」</w:t>
            </w:r>
          </w:p>
        </w:tc>
      </w:tr>
      <w:tr w14:paraId="36D9F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92F141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*现代服务*视频制作</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6E8825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1,980.20</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808658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行业核心投入层｜品名含「服务」｜命中「视频制作」</w:t>
            </w:r>
          </w:p>
        </w:tc>
      </w:tr>
      <w:tr w14:paraId="60A52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D58237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*会展服务*会展服务</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C488BD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283.02</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5C30FA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行业核心投入层｜品名含「服务」｜命中「会展服务」</w:t>
            </w:r>
          </w:p>
        </w:tc>
      </w:tr>
      <w:tr w14:paraId="3F4E9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5D6F25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*信息技术服务*技术服务费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36291D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169.81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92673A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行业核心投入层｜开票项目含服务大类「信息技术服务」｜命中「技术服务」</w:t>
            </w:r>
          </w:p>
        </w:tc>
      </w:tr>
      <w:tr w14:paraId="79A75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8B7B15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*信息技术服务*爱奇艺黄金vip会员6个月爱奇艺会员半年卡视频会员仙台有树 hy</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46E7B4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93.40</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6B39CF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行业核心投入层｜开票项目含服务大类「信息技术服务」｜命中「技术服务」</w:t>
            </w:r>
          </w:p>
        </w:tc>
      </w:tr>
      <w:tr w14:paraId="00B53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31545A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*信息系统服务*服务费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4CD851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70.76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3D7B5D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行业核心投入层｜品名含「服务」｜命中「信息」</w:t>
            </w:r>
          </w:p>
        </w:tc>
      </w:tr>
      <w:tr w14:paraId="37EE7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6907D1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*印刷品*杂志</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D4375D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62.94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ED77B6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行业核心投入层｜行业口径「广告传媒」命中「印刷」</w:t>
            </w:r>
          </w:p>
        </w:tc>
      </w:tr>
      <w:tr w14:paraId="38782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076053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*信息系统增值服务*信息技术服务费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7FC2DF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8.25</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39C3A6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行业核心投入层｜开票项目含服务大类「信息技术服务」｜命中「技术服务」</w:t>
            </w:r>
          </w:p>
        </w:tc>
      </w:tr>
      <w:tr w14:paraId="1C76D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C99C4B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*设计服务*素材设计服务</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23FA5D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0.00</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7134DE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行业核心投入层｜开票项目含服务大类「设计服务」｜命中「设计服务」</w:t>
            </w:r>
          </w:p>
        </w:tc>
      </w:tr>
      <w:tr w14:paraId="7DA28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E2ACD0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*电子元件*beats 苹果配件</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1AB616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476.99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75DFFC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通用成本层｜命中「配件」</w:t>
            </w:r>
          </w:p>
        </w:tc>
      </w:tr>
      <w:tr w14:paraId="2026A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DEE529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*美容护肤品*花西子玉女桃花轻蜜粉经典版01肤若雪香粉盒85g04；*美容护肤品*花西子花露凝萃卸妆湿巾9g1片装02；*日用杂品*花西子代言人限定宋锦贴纸；*日用杂品*花西子代言人限定宋锦小卡D</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5A3445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128.09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45D213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行业核心投入层｜行业口径「广告传媒」命中「代言」</w:t>
            </w:r>
          </w:p>
        </w:tc>
      </w:tr>
      <w:tr w14:paraId="14B52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F19384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*游艺器材*配件</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9E7200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44.25</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4E4ACC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通用成本层｜命中「配件」</w:t>
            </w:r>
          </w:p>
        </w:tc>
      </w:tr>
    </w:tbl>
    <w:p w14:paraId="0665DA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64748B"/>
        </w:rPr>
      </w:pPr>
      <w:r>
        <w:rPr>
          <w:color w:val="64748B"/>
          <w:bdr w:val="none" w:color="auto" w:sz="0" w:space="0"/>
        </w:rPr>
        <w:t>期间费用逐类明细（51 类）</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6478"/>
        <w:gridCol w:w="1260"/>
        <w:gridCol w:w="3963"/>
      </w:tblGrid>
      <w:tr w14:paraId="41E6C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74099ADE">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品名</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5C84EEC5">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金额(元)</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70069433">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判定依据</w:t>
            </w:r>
          </w:p>
        </w:tc>
      </w:tr>
      <w:tr w14:paraId="6ABDF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BA8D41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*现代服务*咨询服务费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D5AB3E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594,059.40</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451DFE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通用费用层｜品名含「服务」｜命中「咨询」（管理费用）</w:t>
            </w:r>
          </w:p>
        </w:tc>
      </w:tr>
      <w:tr w14:paraId="542EF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C4B004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*现代服务*退票费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519880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67.94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461B16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差旅出行层｜品名含「服务」｜命中「退票费」（差旅费）</w:t>
            </w:r>
          </w:p>
        </w:tc>
      </w:tr>
      <w:tr w14:paraId="33741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526DD3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*餐饮服务*餐饮费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C32C69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186,643.99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AD8930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通用费用层｜品名含「服务」｜命中「餐饮」（管理费用）</w:t>
            </w:r>
          </w:p>
        </w:tc>
      </w:tr>
      <w:tr w14:paraId="71E78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307D7C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*住宿服务*住宿费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C9A834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110,136.95</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BA12DF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差旅出行层｜品名含「服务」｜命中「住宿」（差旅费）</w:t>
            </w:r>
          </w:p>
        </w:tc>
      </w:tr>
      <w:tr w14:paraId="16BF3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FB7942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*经纪代理服务*机票款</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F47BB6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105,883.20</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5DB313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差旅出行层｜品名含「服务」｜命中「机票」（差旅费）</w:t>
            </w:r>
          </w:p>
        </w:tc>
      </w:tr>
      <w:tr w14:paraId="5B125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830DB4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*运输服务*客运服务费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628D77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51,446.61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41E3CD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差旅出行层｜品名含「服务」｜命中「客运」（差旅费）</w:t>
            </w:r>
          </w:p>
        </w:tc>
      </w:tr>
      <w:tr w14:paraId="5B4CD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6EABC1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*餐饮服务*餐费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5AD32C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21,575.89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EB4F69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通用费用层｜品名含「服务」｜命中「餐饮」（管理费用）</w:t>
            </w:r>
          </w:p>
        </w:tc>
      </w:tr>
      <w:tr w14:paraId="3EA4B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285DF2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*旅游服务*综合服务费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1AD7F9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17,698.11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0B7B28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差旅出行层｜开票项目含服务大类「旅游服务」｜命中「旅游服务」（差旅费）</w:t>
            </w:r>
          </w:p>
        </w:tc>
      </w:tr>
      <w:tr w14:paraId="7CB38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DE6A2F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*餐饮服务*餐饮服务</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E02771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15,428.21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0CF44D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通用费用层｜品名含「服务」｜命中「餐饮」（管理费用）</w:t>
            </w:r>
          </w:p>
        </w:tc>
      </w:tr>
      <w:tr w14:paraId="55EA6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6490AD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*住宿服务*房费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984C79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13,417.91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3DB05F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差旅出行层｜品名含「服务」｜命中「住宿」（差旅费）</w:t>
            </w:r>
          </w:p>
        </w:tc>
      </w:tr>
      <w:tr w14:paraId="41032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74CE4C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*经纪代理服务*代订机票费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4377CB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13,222.65</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D1A735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差旅出行层｜品名含「服务」｜命中「代订机票」（差旅费）</w:t>
            </w:r>
          </w:p>
        </w:tc>
      </w:tr>
      <w:tr w14:paraId="73A6E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97E472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*经纪代理服务*代订机票产品</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D3EEF7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12,695.28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0ABE12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差旅出行层｜品名含「服务」｜命中「代订机票」（差旅费）</w:t>
            </w:r>
          </w:p>
        </w:tc>
      </w:tr>
      <w:tr w14:paraId="4E4DF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E56147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*经纪代理服务*代订住宿费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55AF34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12,654.72</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E2B5F1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差旅出行层｜品名含「服务」｜命中「代订住宿」（差旅费）</w:t>
            </w:r>
          </w:p>
        </w:tc>
      </w:tr>
      <w:tr w14:paraId="2E70E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543A93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*住宿服务*住宿服务</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144512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11,037.47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D6F9B2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差旅出行层｜品名含「服务」｜命中「住宿」（差旅费）</w:t>
            </w:r>
          </w:p>
        </w:tc>
      </w:tr>
      <w:tr w14:paraId="0B5D2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69BBDB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*经纪代理服务*机票款；*经纪代理服务*服务费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670D1E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10,809.46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B0888D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差旅出行层｜品名含「服务」｜命中「机票」（差旅费）</w:t>
            </w:r>
          </w:p>
        </w:tc>
      </w:tr>
      <w:tr w14:paraId="55CC7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9D704A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*运输服务*交通费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FD2AF3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9,900.99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2B6048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差旅出行层｜品名含「服务」｜命中「交通费」（差旅费）</w:t>
            </w:r>
          </w:p>
        </w:tc>
      </w:tr>
      <w:tr w14:paraId="307D0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1987E3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*诉讼代理*律师代理费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30FA7F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9,433.96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60754C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通用费用层｜命中「律师」（管理费用）</w:t>
            </w:r>
          </w:p>
        </w:tc>
      </w:tr>
      <w:tr w14:paraId="0C59F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2209AD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*经纪代理服务*代订机票产品；*经纪代理服务*代订附加产品</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B0D9DE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8,256.59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30574D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差旅出行层｜品名含「服务」｜命中「代订机票」（差旅费）</w:t>
            </w:r>
          </w:p>
        </w:tc>
      </w:tr>
      <w:tr w14:paraId="3158A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305D6D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*运输服务*国内机票款；*运输服务*燃油附加费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2EABD3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7,587.16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48228B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差旅出行层｜品名含「服务」｜命中「燃油附加费」（差旅费）</w:t>
            </w:r>
          </w:p>
        </w:tc>
      </w:tr>
      <w:tr w14:paraId="5C5B8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65ACB2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*经纪代理服务*代订机票套餐产品；*经纪代理服务*服务费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B6F06C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7,497.18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33EA8B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差旅出行层｜品名含「服务」｜命中「代订机票」（差旅费）</w:t>
            </w:r>
          </w:p>
        </w:tc>
      </w:tr>
      <w:tr w14:paraId="6FB6C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1684F1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*旅游服务*代订住宿费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CF0479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7,384.47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FC2FB5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差旅出行层｜开票项目含服务大类「旅游服务」｜命中「代订住宿」（差旅费）</w:t>
            </w:r>
          </w:p>
        </w:tc>
      </w:tr>
      <w:tr w14:paraId="7A023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9E1759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*生活服务*房费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AF21D6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5,871.70</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DF5B7B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差旅出行层｜开票项目含服务大类「生活服务」｜命中「房费」（差旅费）</w:t>
            </w:r>
          </w:p>
        </w:tc>
      </w:tr>
      <w:tr w14:paraId="20808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1C4BB6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*经纪代理服务*代订房费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08DDCF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4,005.36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850C81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差旅出行层｜品名含「服务」｜命中「代订房」（差旅费）</w:t>
            </w:r>
          </w:p>
        </w:tc>
      </w:tr>
      <w:tr w14:paraId="2DEA0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ACC053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*供电*电费；*水冰雪*水费；*企业管理服务*电梯维护、垃圾清运</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F1D4B3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3,080.56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2DC2B0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通用费用层｜品名含「服务」｜命中「垃圾」（管理费用）</w:t>
            </w:r>
          </w:p>
        </w:tc>
      </w:tr>
      <w:tr w14:paraId="5A2E6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04DCC9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*生活服务*代订住宿费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4A484E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2,966.98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F9F0C3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差旅出行层｜开票项目含服务大类「生活服务」｜命中「代订住宿」（差旅费）</w:t>
            </w:r>
          </w:p>
        </w:tc>
      </w:tr>
      <w:tr w14:paraId="1100E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2C63F9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*水冰雪*水费；*供电*电费；*企业管理服务*物业管理费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D78E88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2,515.72</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421C98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通用费用层｜品名含「服务」｜命中「物业管理」（管理费用）</w:t>
            </w:r>
          </w:p>
        </w:tc>
      </w:tr>
      <w:tr w14:paraId="60582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DFA72E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*住宿服务**住宿服务</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273702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2,465.09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E21764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差旅出行层｜品名含「服务」｜命中「住宿」（差旅费）</w:t>
            </w:r>
          </w:p>
        </w:tc>
      </w:tr>
      <w:tr w14:paraId="3159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07651D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*餐饮服务*餐饮</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04CC79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2,242.57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9B658B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通用费用层｜品名含「服务」｜命中「餐饮」（管理费用）</w:t>
            </w:r>
          </w:p>
        </w:tc>
      </w:tr>
      <w:tr w14:paraId="69800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A2F606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*保险服务*航空旅客人身意外伤害保险（互联网）</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504CC8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1,330.24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645F3F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通用费用层｜品名含「服务」｜命中「保险」（管理费用）</w:t>
            </w:r>
          </w:p>
        </w:tc>
      </w:tr>
      <w:tr w14:paraId="3E88F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4D99E7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*经纪代理服务*代订机票款；*经纪代理服务*服务费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2946C3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1,307.55</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10F4FA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差旅出行层｜品名含「服务」｜命中「代订机票」（差旅费）</w:t>
            </w:r>
          </w:p>
        </w:tc>
      </w:tr>
      <w:tr w14:paraId="61749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DC1B4B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*运输服务*票价；*代收民航发展基金*民航发展基金；*运输服务*燃油附加费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EE118B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1,077.52</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E986B6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差旅出行层｜品名含「服务」｜命中「燃油附加费」（差旅费）</w:t>
            </w:r>
          </w:p>
        </w:tc>
      </w:tr>
      <w:tr w14:paraId="27EEC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458144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*旅游服务*旅游服务费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A9FD8B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799.06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59A36D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差旅出行层｜开票项目含服务大类「旅游服务」｜命中「旅游服务」（差旅费）</w:t>
            </w:r>
          </w:p>
        </w:tc>
      </w:tr>
      <w:tr w14:paraId="154F2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0797CD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*运输服务*国内航空旅客运输服务；*代收民航发展基金*机场建设费；*运输服务*燃油附加费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1316DB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756.42</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E8EFC9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差旅出行层｜品名含「服务」｜命中「燃油附加费」（差旅费）</w:t>
            </w:r>
          </w:p>
        </w:tc>
      </w:tr>
      <w:tr w14:paraId="6FD4D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AD639C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*经纪代理服务*代订机票款</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8CA1D9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494.34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3B1658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差旅出行层｜品名含「服务」｜命中「代订机票」（差旅费）</w:t>
            </w:r>
          </w:p>
        </w:tc>
      </w:tr>
      <w:tr w14:paraId="67FF9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FEABAD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*餐饮服务*乌兰烧烤</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A9D6AD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413.86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DE47E2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通用费用层｜品名含「服务」｜命中「餐饮」（管理费用）</w:t>
            </w:r>
          </w:p>
        </w:tc>
      </w:tr>
      <w:tr w14:paraId="6CEE4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15BC9F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*快递服务*收派服务费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B540E7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401.27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5781EB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通用费用层｜品名含「服务」｜命中「快递」（管理费用）</w:t>
            </w:r>
          </w:p>
        </w:tc>
      </w:tr>
      <w:tr w14:paraId="439E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3E660C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*纸制品*打印装订</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B58B95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383.17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A3AFDA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通用费用层｜命中「打印」（管理费用）</w:t>
            </w:r>
          </w:p>
        </w:tc>
      </w:tr>
      <w:tr w14:paraId="52382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37507A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*保险服务*保费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415FA2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377.36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345A49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通用费用层｜品名含「服务」｜命中「保险」（管理费用）</w:t>
            </w:r>
          </w:p>
        </w:tc>
      </w:tr>
      <w:tr w14:paraId="10ACE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4E7514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*旅游服务*住宿费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E6792E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373.71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E59297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差旅出行层｜开票项目含服务大类「旅游服务」｜命中「旅游服务」（差旅费）</w:t>
            </w:r>
          </w:p>
        </w:tc>
      </w:tr>
      <w:tr w14:paraId="05097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60A370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软饮料*可口可乐迷你混合装汽水饮料200ml*6；*方便食品*卫龙辣条散装混合味225g（约13小包）；*焙烤食品*优赐半蒸芝士蛋糕480g（约含12枚）；*熟肉制品*欢妙高蛋白肉脯原味300g（约含19包）；*果类加工品*优赐每日坚果525g（25g*21包）；*焙烤食品*面包新语豆乳夹心面包200g（5个装）；*鞋*可爱小熊舒适凉拖绿色36-37码；*焙烤食品*欢妙蛋黄酥红豆味600g（含12枚）；*软饮料*农夫山泉东方树叶茉莉花茶335ml*6；*口腔清洁护理品*李施德林冰蓝劲爽漱口水100ml；*乳制品*维记鲜牛奶946ml/盒；*软饮料*杨协成马蹄爽300ml*6；*软饮料*蔻泉100%NFC椰子水350ml*8瓶；*果类加工品*坚果星球每日坚果20g*5；*焙烤食品*弘焙高钙水牛奶蛋糕225g（含8枚）；*软饮料*景田饮用纯净水560ml*12；*软饮料*维他低糖柠檬茶250ml*6；*纸制品*维达超韧3层抽纸110抽*12包；*焙烤食品*优赐黄油华夫饼505g（含16枚）；*物流辅助服务*配送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2231F0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331.01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6E3FEE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通用费用层｜开票项目含服务大类「物流辅助服务」｜命中「清洁」（管理费用）</w:t>
            </w:r>
          </w:p>
        </w:tc>
      </w:tr>
    </w:tbl>
    <w:p w14:paraId="3C71441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64748B"/>
        </w:rPr>
      </w:pPr>
      <w:r>
        <w:rPr>
          <w:color w:val="64748B"/>
          <w:bdr w:val="none" w:color="auto" w:sz="0" w:space="0"/>
        </w:rPr>
        <w:t>待核（须项目/合同上下文）逐类明细（132 类）</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303"/>
        <w:gridCol w:w="1260"/>
        <w:gridCol w:w="6138"/>
      </w:tblGrid>
      <w:tr w14:paraId="5A97B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5E759CE7">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品名</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39FAD2D6">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金额(元)</w:t>
            </w:r>
          </w:p>
        </w:tc>
        <w:tc>
          <w:tcPr>
            <w:tcW w:w="0" w:type="auto"/>
            <w:tcBorders>
              <w:top w:val="single" w:color="CBD5E1" w:sz="6" w:space="0"/>
              <w:left w:val="single" w:color="CBD5E1" w:sz="6" w:space="0"/>
              <w:bottom w:val="single" w:color="CBD5E1" w:sz="6" w:space="0"/>
              <w:right w:val="single" w:color="CBD5E1" w:sz="6" w:space="0"/>
            </w:tcBorders>
            <w:shd w:val="clear" w:color="auto" w:fill="F1F5F9"/>
            <w:noWrap/>
            <w:tcMar>
              <w:top w:w="120" w:type="dxa"/>
              <w:left w:w="180" w:type="dxa"/>
              <w:bottom w:w="120" w:type="dxa"/>
              <w:right w:w="180" w:type="dxa"/>
            </w:tcMar>
            <w:vAlign w:val="center"/>
          </w:tcPr>
          <w:p w14:paraId="06A0AFE4">
            <w:pPr>
              <w:keepNext w:val="0"/>
              <w:keepLines w:val="0"/>
              <w:widowControl/>
              <w:suppressLineNumbers w:val="0"/>
              <w:spacing w:before="0" w:beforeAutospacing="0" w:after="0" w:afterAutospacing="0"/>
              <w:ind w:left="0" w:right="0"/>
              <w:jc w:val="left"/>
              <w:rPr>
                <w:b/>
                <w:bCs/>
                <w:color w:val="334155"/>
                <w:sz w:val="18"/>
                <w:szCs w:val="18"/>
              </w:rPr>
            </w:pPr>
            <w:r>
              <w:rPr>
                <w:rFonts w:ascii="宋体" w:hAnsi="宋体" w:eastAsia="宋体" w:cs="宋体"/>
                <w:b/>
                <w:bCs/>
                <w:color w:val="334155"/>
                <w:kern w:val="0"/>
                <w:sz w:val="18"/>
                <w:szCs w:val="18"/>
                <w:bdr w:val="none" w:color="auto" w:sz="0" w:space="0"/>
                <w:lang w:val="en-US" w:eastAsia="zh-CN" w:bidi="ar"/>
              </w:rPr>
              <w:t>判定依据</w:t>
            </w:r>
          </w:p>
        </w:tc>
      </w:tr>
      <w:tr w14:paraId="0AA56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DC9072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119424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629,469.39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80C2AF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服务轨道｜品名含「服务」｜未落入行业核心投入/通用成本/存货采购支持/通用费用</w:t>
            </w:r>
          </w:p>
        </w:tc>
      </w:tr>
      <w:tr w14:paraId="579F9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CA32E3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*体育服务*现代服务</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3989DC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141,509.43</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5B81F3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服务轨道｜品名含「服务」｜未落入行业核心投入/通用成本/存货采购支持/通用费用</w:t>
            </w:r>
          </w:p>
        </w:tc>
      </w:tr>
      <w:tr w14:paraId="6184F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A1331D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*移动通信设备*三星 Galaxy S25 Ultra （SM-S9380）全网通5G版；*其他电子设备*配件-三星：45W 旅行充电器（24Y新品）黑色；*现代服务*九讯无忧保 旗舰版 12月</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B1FAA1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8,605.60</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369908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资本化层｜命中「设备」</w:t>
            </w:r>
          </w:p>
        </w:tc>
      </w:tr>
      <w:tr w14:paraId="5E22A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F3D310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*现代服务*京东小家电4年免费换新-E（新）</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1042BE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45.28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9CDBD3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服务轨道｜品名含「服务」｜未落入行业核心投入/通用成本/存货采购支持/通用费用</w:t>
            </w:r>
          </w:p>
        </w:tc>
      </w:tr>
      <w:tr w14:paraId="70811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2AE48F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*体育服务*检测服务费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5F99D64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37,864.08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0FF31B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服务轨道｜品名含「服务」｜未落入行业核心投入/通用成本/存货采购支持/通用费用</w:t>
            </w:r>
          </w:p>
        </w:tc>
      </w:tr>
      <w:tr w14:paraId="57F3A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DB76E4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*经营租赁*不动产租金</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58C6AA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23,773.33</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28767E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需上下文｜未就用途取得项目/合同上下文，同一品名可能计入成本也可能计入期间费用（生产耗用 vs 办公耗用、项目用 vs 管理用），须凭项目/合同上下文定性</w:t>
            </w:r>
          </w:p>
        </w:tc>
      </w:tr>
      <w:tr w14:paraId="621F2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E0F837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*运输服务*票价</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E4F2DC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12,740.33</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FD1285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服务轨道｜品名含「服务」｜未落入行业核心投入/通用成本/存货采购支持/通用费用</w:t>
            </w:r>
          </w:p>
        </w:tc>
      </w:tr>
      <w:tr w14:paraId="377AE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02BE0F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*软件维护服务*软件维护服务</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1746BE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9,900.99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08A113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服务轨道｜品名含「服务」｜未落入行业核心投入/通用成本/存货采购支持/通用费用</w:t>
            </w:r>
          </w:p>
        </w:tc>
      </w:tr>
      <w:tr w14:paraId="51598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9CED48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*移动通信设备*荣耀</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0E6E70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9,292.04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531864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资本化层｜命中「设备」</w:t>
            </w:r>
          </w:p>
        </w:tc>
      </w:tr>
      <w:tr w14:paraId="25BC5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1270F4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*电子计算机*中央处理器；*计算机配套产品*内存；*计算机外部设备*固态硬盘</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8EE3A6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4,424.79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345FB4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资本化层｜命中「设备」</w:t>
            </w:r>
          </w:p>
        </w:tc>
      </w:tr>
      <w:tr w14:paraId="19309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621EBA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*计算机配套产品*电源；*计算机外部设备*固态硬盘；*计算机配套产品*主板；*计算机配套产品*散热器；*计算机配套产品*机箱</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099896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4,424.78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7244D9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资本化层｜命中「设备」</w:t>
            </w:r>
          </w:p>
        </w:tc>
      </w:tr>
      <w:tr w14:paraId="74EA4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084015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*酒*白酒</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E543F1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3,742.57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EFF985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4ADB9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32B858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*经营租赁*租车费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A5DE21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3,235.64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D85545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需上下文｜未就用途取得项目/合同上下文，同一品名可能计入成本也可能计入期间费用（生产耗用 vs 办公耗用、项目用 vs 管理用），须凭项目/合同上下文定性</w:t>
            </w:r>
          </w:p>
        </w:tc>
      </w:tr>
      <w:tr w14:paraId="4C61A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24602C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*经营租赁*租赁费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4756A9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3,122.29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CFC306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需上下文｜未就用途取得项目/合同上下文，同一品名可能计入成本也可能计入期间费用（生产耗用 vs 办公耗用、项目用 vs 管理用），须凭项目/合同上下文定性</w:t>
            </w:r>
          </w:p>
        </w:tc>
      </w:tr>
      <w:tr w14:paraId="7F72E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CF4510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*乙醇汽油*95号 车用乙醇汽油（E10）(ⅥB)</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8843A6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2,706.41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5C3A8C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需上下文｜未就用途取得项目/合同上下文，同一品名可能计入成本也可能计入期间费用（生产耗用 vs 办公耗用、项目用 vs 管理用），须凭项目/合同上下文定性</w:t>
            </w:r>
          </w:p>
        </w:tc>
      </w:tr>
      <w:tr w14:paraId="57D08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F8B01A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*劳务*维修费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A28896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2,128.32</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93A286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需上下文｜未就用途取得项目/合同上下文，同一品名可能计入成本也可能计入期间费用（生产耗用 vs 办公耗用、项目用 vs 管理用），须凭项目/合同上下文定性</w:t>
            </w:r>
          </w:p>
        </w:tc>
      </w:tr>
      <w:tr w14:paraId="1B123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08ADF4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*乙醇汽油*92号 车用乙醇汽油（E10）(ⅥB)；*乙醇汽油*95号 车用乙醇汽油（E10）(ⅥB)</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1459B0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1,173.35</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1F76E7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需上下文｜未就用途取得项目/合同上下文，同一品名可能计入成本也可能计入期间费用（生产耗用 vs 办公耗用、项目用 vs 管理用），须凭项目/合同上下文定性</w:t>
            </w:r>
          </w:p>
        </w:tc>
      </w:tr>
      <w:tr w14:paraId="5EBDE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6C3EDA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*电子元件*韶音（SHOKZ）【重磅新品】OpenFit 2 T920开放式耳机挂耳式蓝牙耳机非骨传导舒适佩戴 羊毛白</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EDA83E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1,025.37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83389E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6D5F5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606BB1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*其他电子设备*三星Galaxy Buds3 Pro 智能降噪运动耳机</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05DCF3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972.57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C80213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资本化层｜命中「设备」</w:t>
            </w:r>
          </w:p>
        </w:tc>
      </w:tr>
      <w:tr w14:paraId="3B674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14D9C0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*乙醇汽油*95号 车用乙醇汽油（E10）(ⅥB)；*乙醇汽油*92号 车用乙醇汽油（E10）(ⅥB)</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7D7847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941.04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5071E8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需上下文｜未就用途取得项目/合同上下文，同一品名可能计入成本也可能计入期间费用（生产耗用 vs 办公耗用、项目用 vs 管理用），须凭项目/合同上下文定性</w:t>
            </w:r>
          </w:p>
        </w:tc>
      </w:tr>
      <w:tr w14:paraId="42B6E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915845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*海水产品*海鲜礼盒</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0AB741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886.24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B4CC96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7CB25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7EDA9F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*日用杂品*Tagi.哈兜callme收纳袋防水便携洗漱包大容量收纳包相机包化妆包</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FA3756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704.44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72D484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0ABDB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9C5A43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*非金属矿物制品*箭牌挂件四件套AF5611TZSS</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777628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638.63</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BF6ABE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24A18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A62B55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*美容护肤品*chillmore且悠氨基酸香氛沐浴露礼盒留香滋润全香型</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1A0CBF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615.05</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93C544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3B364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0BE742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水果*进口山竹300g-350g/份；*水果*即食红心芭乐约400g/份（2-3粒）；*海水产品*鲜活基围虾250±9g（15-20只）；*蔬菜*菜心苗300g；*水果*即食徐香猕猴桃中果500g±15g/份（单果80g起）；*畜禽产品*头窝鲜鸡蛋525g（15枚）；*蔬菜*鲜切马蹄200g/份（去皮）；*蔬菜*有机上海青300g；*薯类*糖化胭脂红蜜薯约500g；*薯类*新土豆约600g；*肉及肉制品*鲜宰猪梅头上肉300g±9g；*谷物*优野甜玉米约750g；*蔬菜*西红柿约500g；*水果*秭归伦晚橙约1kg/份；*豆制品*随滋嫩豆腐400g；*蔬菜*鲜切黑皮冬瓜约800g；*方便食品*公仔碗仔面4连杯149g；*淀粉制品*双塔龙口粉丝150g；*水果*四川青红脆李500g±9g/份；*水产加工品*二去深海金鲳鱼300g；*软饮料*可口可乐迷你混合装汽水饮料200ml*6；*冷冻饮品*美丰鲜奶味提子雪糕420g（6支）；*水果*新疆无籽露葡萄500±10g/份；*海水产品*鲜活美贝美国蛤480-500g/份（20粒内）；*软饮料*农夫山泉饮用天然水4.5L；*水果*沙漠金蛋蜜瓜约2kg/个；*乳制品*认养一头牛金装纯牛奶250ml*15/箱；*软饮料*维他柠檬茶250ml*6；*水果*美早樱桃中果100g/份（小份尝鲜装）；*乳制品*德国德亚低脂高钙牛奶200ml*6/组；*乳制品*卡士鲜酪乳120g*3/组；*水果*大连油桃250g±9g/份；*水果*国产红肉火龙果量贩装约1kg/份（3-5个）；*酒*RIO锐澳清爽5度鸡尾酒混合装330ml*3/组；*蔬菜*火锅菜·单颗小娃娃菜200g；*蔬菜*葱姜蒜辣椒组合200g；*水果*红颜草莓实惠装500g±10g/盒（中果）；*水果*智利进口蓝莓125g/盒；*海水产品*更大只·鲜活特大美国蛤500g/份（约13粒）；*淡水产品*鲜活大头河虾罗氏虾250±9g/份；*蔬菜*优野香菜小米椒香葱蒜头调味组合150g；*水果*突尼斯软籽石榴约750g（2个）；*薯类*土豆约600g；*蔬菜*贝贝南瓜600g；*水果*平和红肉蜜柚1.5kg-1.8kg/个；*淡水产品*阳澄湖大闸蟹公蟹3两/只；*植物油*金龙鱼大豆油5L；*软饮料*农夫山泉饮用天然水4L+500ml加量装；*水果*香印阳光玫瑰250g±9g/份；*水果*西昌淑女红无籽红提250g±9g/份；*水果*云南冰糖橙500g±15g/份；*水果*高乐蜜芒果约800g/份；*水果*即食智利进口牛油果260-300g/份（2个）</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1554C4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613.00</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7A3190F">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6841E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9E89B9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*纺织产品*牧高笛暖霞超声波游戏野餐垫户外露营帐篷防潮垫飞行棋儿童垫子</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93F283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598.24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AD2BEDB">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2538B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B584B0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*物流辅助服务*收派服务费</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3768D0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589.73</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D9B027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服务轨道｜开票项目含服务大类「物流辅助服务」｜未落入行业核心投入/通用成本/存货采购支持/通用费用</w:t>
            </w:r>
          </w:p>
        </w:tc>
      </w:tr>
      <w:tr w14:paraId="22BB3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7BE9B8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物流辅助服务*派送服务；*酒*汾酒53度清香型白酒475ml；*糖*舒可曼小粒黄冰糖400g（新老包装随机发货）；*糖*姚朵朵小粒黄冰糖200g（新老包装随机发货）；*无形资产*会员费；*蔬菜*爆汁番茄约500g；*冷冻饮品*美丰绿豆沙冰棍70g*6支；*方便食品*白象汤好喝辣牛肉汤面111.5g*5袋；*蔬菜*有机娃娃菜400g；*冷冻饮品*小象食用冰（袋冰）800g；*冷冻饮品*绿莎莎蒙牛绿色心情雪糕70g*8支；*蔬菜*宁夏菜心约300g；*肉及肉制品*优质冷鲜鸡小胸400g；*肉及肉制品*烧烤季单冻鸡心400g；*蔬菜*象大厨什锦蔬菜粒350g（含3种）；*水产加工品*饺子馅生冻小虾仁 100g（约20-27粒）；*蔬菜*彩椒约450g；*蔬菜*安心香葱 50g（不用蓝矾）；*调味品*李锦记黑椒汁调味酱230g；*食用菌*白蘑菇230g；*乳制品*安佳原味黄油10g*6粒 新西兰进口；*调味品*小熊驾到黑胡椒海盐粒70g；*蔬菜*千禧圣女果约500g；*肉及肉制品*进口谷饲原切西冷牛排400g（2片）（赠和牛牛油）；*蔬菜*青蒜苗约300g；*食用菌*金针菇150g；*罐头*甘竹牌豆豉鱼罐头184g；*蔬菜*指天椒50g；*肉及肉制品*鲜切黄牛嫩肉潮汕火锅肉片120g；*蔬菜*大红番茄500g；*蔬菜*控温锁鲜农家小青菜约300g；*软饮料*可口可乐零度汽水330ml*6罐；*软饮料*娃哈哈饮用水596ml*12瓶；*蔬菜*青泡椒约300g；*肉及肉制品*鲜宰猪瘦肉300g；*肉及肉制品*鲜宰煲汤猪骨400g；*蔬菜*高原夏菜安心香葱 50g（不用蓝矾）；*软饮料*康师傅喝开水熟水饮用水550ml*12瓶；*畜禽产品*平价土鸡蛋8枚400g；*蔬菜*香菜香葱组合80g；*蔬菜*高原夏菜甜杆西兰苔约300g；*洗涤剂*象小家青柠精华洗洁精1.5kg；*海水产品*鲜活多宝鱼1条450-550g；*蔬菜*秋葵约300g；*软饮料*怡宝饮用纯净水（量贩装）555ml*12瓶；*果类加工品*洽洽皇葵原味瓜子160g；*调味品*海天上等蚝油1kg；*软饮料*小象深层饮用天然水550ml*12瓶</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AEF0D8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556.98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338BB6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资本化层｜命中「无形资产」</w:t>
            </w:r>
          </w:p>
        </w:tc>
      </w:tr>
      <w:tr w14:paraId="5CF04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9362C8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*计算机外部设备*157097/STKY2000400铭系列USB3.0（黑）希捷2TB移动硬盘</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130DAC0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530.09</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5063B6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资本化层｜命中「设备」</w:t>
            </w:r>
          </w:p>
        </w:tc>
      </w:tr>
      <w:tr w14:paraId="589C7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81B4E1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*美容护肤品*知花者也护手霜礼盒</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414F4CD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488.48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2B588E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7D934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6254CFA">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*饲料*Orijen渴望鸡肉味猫粮5.4kg 成猫幼猫通用粮【美版】</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85AAF7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479.06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5FC626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2821D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950F00D">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*玩具*【新品】泡泡玛特THE MONSTERS可口可乐系列-搪胶脸盲盒摆件</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94D228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422.12</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316417D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117AB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3060F1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果类加工品*坚果星球每日坚果20g*5；*茶*融耳赤小豆薏米茯苓茶140g（20g*7）；*软饮料*优赐鲜榨沙棘果汁300ml；*软饮料*金晔山楂清清原味山楂汁310ml*6；*软饮料*优赐小青柠汁饮料300ml*4；*熟肉制品*欢妙高蛋白肉脯原味300g（约含19包）；*软饮料*元气森林白桃味苏打气泡水汽水330ml*6；*软饮料*三麟泰国原装进口椰子水330ml*12；*软饮料*优赐柠檬味苏打汽水330ml*6（冰镇）；*果类加工品*优赐DHA开心果奇亚籽坚果棒150g；*乳制品*维记鲜牛奶946ml/盒；*软饮料*可口可乐迷你混合装汽水饮料200ml*6；*水果*即食红心芭乐约400g/份（2-3粒）；*软饮料*维他低糖柠檬茶250ml*6；*软饮料*椰树椰汁植物蛋白饮料245ml*6；*软饮料*奈雪的茶葡萄乌龙茶250ml*6瓶；*软饮料*三得利无糖乌龙茶饮料350ml*6；*冷冻饮品*优赐80%生牛乳六合一冰淇淋360g（6杯）；*方便食品*乐事大波浪多口味薯片礼包400g（含10包）；*冷冻饮品*伊利甄稀冰淇淋多口味90g*4杯；*果类加工品*优赐DHA开心果奇亚籽坚果棒150g（约含10小包）；*乳制品*卡士零添加原味酸奶110g*3/组；*软饮料*信远斋桂花酸梅汤饮料300ml</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A392BB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389.14</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634585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65692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C6E5CB6">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乳制品*君乐宝悦鲜活3.6g蛋白鲜牛奶260ml/瓶；*熟肉制品*良品铺子高蛋白肉脯110g；*移动通信设备*品胜苹果PD27W快充高密多彩编织数据线Type-C转Lightning1.2m；*果类加工品*优赐每日坚果525g（25g*21包）；*纸制品*维达超韧3层抽纸110抽*12包；*糖果类食品*金丝猴丑八怪坚果黑巧克力100g；*焙烤食品*菲尔仕可生食鸡蛋嫩蛋糕400g；*焙烤食品*雅佳福豆乳餐包300g（约含6包）；*焙烤食品*丹夫抹茶巧克力夹心薄脆176g；*熟肉制品*优赐原味猪肉脯140g；*乳制品*伊利畅轻西柚芒果青稞爆珠风味发酵乳250g；*软饮料*农夫山泉东方树叶茉莉花茶335ml*6；*焙烤食品*优赐半蒸芝士蛋糕480g（约含12枚）；*焙烤食品*丹夫黄油薄脆88g；*熟肉制品*欢妙高蛋白肉脯原味300g（约含19包）；*焙烤食品*华美椰子卷180g（含18包）；*果类加工品*优赐DHA开心果奇亚籽坚果棒150g（约含10小包）；*文具*齐心易擦白板笔3支（2黑+1红）；*焙烤食品*优赐黑松露火腿苏打饼干藜麦奇亚籽风味600g（含22包）</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952532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374.67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7147BFCE">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资本化层｜命中「设备」</w:t>
            </w:r>
          </w:p>
        </w:tc>
      </w:tr>
      <w:tr w14:paraId="3896B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A028C08">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*家用厨房电器具*小熊美式咖啡机家用小型全自动滴漏式咖啡烧水壶滴滤新手煮咖啡壶</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0D00092C">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326.20</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502B6F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657B6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01D9D8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*计算机外部设备*米家口袋照片打印机</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218EFF41">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322.96</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781B6B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资本化层｜命中「设备」</w:t>
            </w:r>
          </w:p>
        </w:tc>
      </w:tr>
      <w:tr w14:paraId="6EDEB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454A427">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软饮料*果子熟了多多柠檬茶青柠风味茶饮料250ml*6；*软饮料*杨协成马蹄爽300ml*2+仙草凉粉爽300ml*1；*软饮料*统一奶茶麦香口味奶茶饮料250ml*6；*软饮料*农夫山泉天然水380ml*12；*软饮料*可口可乐迷你混合装汽水饮料200ml*6；*洗涤剂*AXE斧头牌柠檬护肤洗洁精1.08kg；*软饮料*蔻泉100%NFC椰子水350ml*8瓶；*软饮料*农夫山泉东方树叶茉莉花茶335ml*6；*软饮料*维果清HPP羽衣甘蓝复合果蔬汁250ml；*软饮料*农夫山泉东方树叶桂花乌龙茶335ml*6；*软饮料*可口可乐4+雪碧1+芬达1混合装330ml*6（冰镇）；*软饮料*好望水望山楂山楂果汁气泡水300ml；*果类加工品*洽洽小黄袋每日坚果150g（含6袋）；*焙烤食品*旺旺小小酥原味200g（含8袋）；*焙烤食品*泰国老板仔经典香脆紫菜27g；*软饮料*元气森林白桃味苏打气泡水汽水330ml*6；*水产加工品*劲仔散装小鱼全家福400g（约含35包）；*软饮料*信远斋桂花酸梅汤饮料300ml；*农副产品*欢妙胎菊40g；*焙烤食品*优赐黄油华夫饼505g（含16枚）；*软饮料*优赐小青柠汁饮料300ml*4；*软饮料*奈雪鸭屎香柠檬茶300ml*6</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68AABBA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318.71</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A45025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5996E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15BE3CB9">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*纸制品*【活动价】【99元3件】苏菲卫生巾安心裤量多夜用超薄0皮筋裤型安睡裤卫生巾；*纸制品*【活动价】sofy/苏菲卫生巾裸感S贵族棉&amp;trade;蕾丝安心裤夜用防漏安睡裤姨妈巾</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76A27C0">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315.57</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09EF04B3">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r w14:paraId="13F5C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6967630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*汽油*92号车用汽油（VIB)</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3C05A665">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300.88</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5106E71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需上下文｜未就用途取得项目/合同上下文，同一品名可能计入成本也可能计入期间费用（生产耗用 vs 办公耗用、项目用 vs 管理用），须凭项目/合同上下文定性</w:t>
            </w:r>
          </w:p>
        </w:tc>
      </w:tr>
      <w:tr w14:paraId="7851D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20EE317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*软饮料*【优惠价】Peets皮爷胶囊咖啡原装进口多风味100颗适配nespresso胶囊机</w:t>
            </w:r>
          </w:p>
        </w:tc>
        <w:tc>
          <w:tcPr>
            <w:tcW w:w="0" w:type="auto"/>
            <w:tcBorders>
              <w:top w:val="single" w:color="E2E8F0" w:sz="6" w:space="0"/>
              <w:left w:val="single" w:color="E2E8F0" w:sz="6" w:space="0"/>
              <w:bottom w:val="single" w:color="E2E8F0" w:sz="6" w:space="0"/>
              <w:right w:val="single" w:color="E2E8F0" w:sz="6" w:space="0"/>
            </w:tcBorders>
            <w:shd w:val="clear"/>
            <w:noWrap/>
            <w:tcMar>
              <w:top w:w="105" w:type="dxa"/>
              <w:left w:w="180" w:type="dxa"/>
              <w:bottom w:w="105" w:type="dxa"/>
              <w:right w:w="180" w:type="dxa"/>
            </w:tcMar>
            <w:vAlign w:val="top"/>
          </w:tcPr>
          <w:p w14:paraId="714455F2">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267.62</w:t>
            </w:r>
          </w:p>
        </w:tc>
        <w:tc>
          <w:tcPr>
            <w:tcW w:w="0" w:type="auto"/>
            <w:tcBorders>
              <w:top w:val="single" w:color="E2E8F0" w:sz="6" w:space="0"/>
              <w:left w:val="single" w:color="E2E8F0" w:sz="6" w:space="0"/>
              <w:bottom w:val="single" w:color="E2E8F0" w:sz="6" w:space="0"/>
              <w:right w:val="single" w:color="E2E8F0" w:sz="6" w:space="0"/>
            </w:tcBorders>
            <w:shd w:val="clear"/>
            <w:tcMar>
              <w:top w:w="105" w:type="dxa"/>
              <w:left w:w="180" w:type="dxa"/>
              <w:bottom w:w="105" w:type="dxa"/>
              <w:right w:w="180" w:type="dxa"/>
            </w:tcMar>
            <w:vAlign w:val="top"/>
          </w:tcPr>
          <w:p w14:paraId="447B3AF4">
            <w:pPr>
              <w:keepNext w:val="0"/>
              <w:keepLines w:val="0"/>
              <w:widowControl/>
              <w:suppressLineNumbers w:val="0"/>
              <w:spacing w:before="0" w:beforeAutospacing="0" w:after="0" w:afterAutospacing="0" w:line="26" w:lineRule="atLeast"/>
              <w:ind w:left="0" w:right="0"/>
              <w:jc w:val="left"/>
              <w:textAlignment w:val="top"/>
              <w:rPr>
                <w:color w:val="334155"/>
                <w:sz w:val="18"/>
                <w:szCs w:val="18"/>
              </w:rPr>
            </w:pPr>
            <w:r>
              <w:rPr>
                <w:rFonts w:ascii="宋体" w:hAnsi="宋体" w:eastAsia="宋体" w:cs="宋体"/>
                <w:color w:val="334155"/>
                <w:kern w:val="0"/>
                <w:sz w:val="18"/>
                <w:szCs w:val="18"/>
                <w:bdr w:val="none" w:color="auto" w:sz="0" w:space="0"/>
                <w:lang w:val="en-US" w:eastAsia="zh-CN" w:bidi="ar"/>
              </w:rPr>
              <w:t>未命中任何权威层（行业核心投入/通用成本/需上下文/通用费用）＋业态「服务型」无存货可比照</w:t>
            </w:r>
          </w:p>
        </w:tc>
      </w:tr>
    </w:tbl>
    <w:p w14:paraId="3ED0A1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待核项须补充的资料：项目合同、验收（入库）单与付款凭证、资产验收单与折旧年限资料、出差审批单/行程单（如属为客户代订等非员工差旅，另需项目合同）。</w:t>
      </w:r>
    </w:p>
    <w:p w14:paraId="75DC41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口径差异（发票类目口径认为属成本类，本表口径区分后不属主营业务成本）：「*现代服务*服务费」应作「须核对」处理，服务类采购无存货可比照，既不能推定成本也不宜直接计入费用，须凭项目/合同上下文定性</w:t>
      </w:r>
    </w:p>
    <w:p w14:paraId="605B14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口径差异（发票类目口径认为属成本类，本表口径区分后不属主营业务成本）：「*现代服务*咨询服务费」应作「期间费用」处理，计入管理费用</w:t>
      </w:r>
    </w:p>
    <w:p w14:paraId="66EDF2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口径差异（发票类目口径认为属成本类，本表口径区分后不属主营业务成本）：「*体育服务*现代服务」应作「须核对」处理，服务类采购无存货可比照，既不能推定成本也不宜直接计入费用，须凭项目/合同上下文定性</w:t>
      </w:r>
    </w:p>
    <w:p w14:paraId="340201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口径差异（发票类目口径认为属成本类，本表口径区分后不属主营业务成本）：「*移动通信设备*三星 Galaxy S25 Ultra （SM-S9380）全网通5G版；*其他电子设备*配件-三星：45W 旅行充电器（24Y新品）黑色；*现代服务*九讯无忧保 旗舰版 12月」应作「资本性支出」处理，形成长期资产，须资本化后按折旧/摊销分期扣除，不得一次性计入当期成本费用</w:t>
      </w:r>
    </w:p>
    <w:p w14:paraId="7E8078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8" w:lineRule="atLeast"/>
        <w:ind w:left="0" w:right="0" w:firstLine="420"/>
        <w:jc w:val="both"/>
        <w:rPr>
          <w:color w:val="1A1A2E"/>
        </w:rPr>
      </w:pPr>
      <w:r>
        <w:rPr>
          <w:color w:val="1A1A2E"/>
          <w:bdr w:val="none" w:color="auto" w:sz="0" w:space="0"/>
        </w:rPr>
        <w:t>口径差异（发票类目口径认为属成本类，本表口径区分后不属主营业务成本）：「*现代服务*退票费」应作「期间费用」处理，员工出行票务与住宿属期间费用（管理费用—差旅费）；如实属为客户/项目代订并另行收费，须凭项目合同改计成本</w:t>
      </w:r>
    </w:p>
    <w:p w14:paraId="3C427228">
      <w:pPr>
        <w:keepNext w:val="0"/>
        <w:keepLines w:val="0"/>
        <w:widowControl/>
        <w:suppressLineNumbers w:val="0"/>
        <w:pBdr>
          <w:top w:val="none" w:color="auto" w:sz="0" w:space="0"/>
          <w:left w:val="single" w:color="C2410C" w:sz="18" w:space="0"/>
          <w:bottom w:val="none" w:color="auto" w:sz="0" w:space="0"/>
          <w:right w:val="none" w:color="auto" w:sz="0" w:space="0"/>
        </w:pBdr>
        <w:shd w:val="clear" w:fill="FFF7ED"/>
        <w:spacing w:before="0" w:beforeAutospacing="0" w:after="75" w:afterAutospacing="0" w:line="28" w:lineRule="atLeast"/>
        <w:ind w:left="0" w:right="0"/>
        <w:jc w:val="left"/>
        <w:rPr>
          <w:b/>
          <w:bCs/>
          <w:color w:val="9A3412"/>
          <w:sz w:val="19"/>
          <w:szCs w:val="19"/>
        </w:rPr>
      </w:pPr>
      <w:r>
        <w:rPr>
          <w:rFonts w:ascii="宋体" w:hAnsi="宋体" w:eastAsia="宋体" w:cs="宋体"/>
          <w:b/>
          <w:bCs/>
          <w:color w:val="9A3412"/>
          <w:kern w:val="0"/>
          <w:sz w:val="19"/>
          <w:szCs w:val="19"/>
          <w:bdr w:val="none" w:color="auto" w:sz="0" w:space="0"/>
          <w:shd w:val="clear" w:fill="FFF7ED"/>
          <w:lang w:val="en-US" w:eastAsia="zh-CN" w:bidi="ar"/>
        </w:rPr>
        <w:t>本项还包含以下风险信号</w:t>
      </w:r>
    </w:p>
    <w:p w14:paraId="6D5A5C7B">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主营业务成本资金与负债支撑材料核实</w:t>
      </w:r>
    </w:p>
    <w:p w14:paraId="75A4B37F">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等级：中风险　|　终局：可自证清白</w:t>
      </w:r>
    </w:p>
    <w:p w14:paraId="3A958888">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围绕「主营业务成本资金与负债支撑材料核实」，核对其所涉及的银行流水、科目余额表、进项发票、银行流水等资料的真实性与账务、申报处理口径；对确认存在的差错，完成账务更正或申报更正，并留存更正凭证与情况说明；补齐上述资料后重新执行一键分析，由系统复查本事项是否已消除。</w:t>
      </w:r>
    </w:p>
    <w:p w14:paraId="62F57C2E">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应付账款发生额对等逐月不匹配</w:t>
      </w:r>
    </w:p>
    <w:p w14:paraId="0A632BD1">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终局：可自证清白</w:t>
      </w:r>
    </w:p>
    <w:p w14:paraId="2DF27B47">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编制该期间差异调节表，逐笔说明差异原因（含税口径/跨期/未同步/漏记），必要时补充申报或更正账务。</w:t>
      </w:r>
    </w:p>
    <w:p w14:paraId="568C26FE">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b/>
          <w:bCs/>
        </w:rPr>
      </w:pPr>
      <w:r>
        <w:rPr>
          <w:rFonts w:ascii="宋体" w:hAnsi="宋体" w:eastAsia="宋体" w:cs="宋体"/>
          <w:b/>
          <w:bCs/>
          <w:kern w:val="0"/>
          <w:sz w:val="24"/>
          <w:szCs w:val="24"/>
          <w:bdr w:val="none" w:color="auto" w:sz="0" w:space="0"/>
          <w:shd w:val="clear" w:fill="FFF7ED"/>
          <w:lang w:val="en-US" w:eastAsia="zh-CN" w:bidi="ar"/>
        </w:rPr>
        <w:t>应付账款发生额对等逐年不匹配（2025）</w:t>
      </w:r>
    </w:p>
    <w:p w14:paraId="78AF657A">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0" w:beforeAutospacing="0" w:after="0" w:afterAutospacing="0" w:line="28"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FF7ED"/>
          <w:lang w:val="en-US" w:eastAsia="zh-CN" w:bidi="ar"/>
        </w:rPr>
        <w:t>终局：可自证清白</w:t>
      </w:r>
    </w:p>
    <w:p w14:paraId="5B128388">
      <w:pPr>
        <w:keepNext w:val="0"/>
        <w:keepLines w:val="0"/>
        <w:widowControl/>
        <w:suppressLineNumbers w:val="0"/>
        <w:pBdr>
          <w:top w:val="none" w:color="auto" w:sz="0" w:space="0"/>
          <w:left w:val="none" w:color="auto" w:sz="0" w:space="0"/>
          <w:bottom w:val="none" w:color="auto" w:sz="0" w:space="0"/>
          <w:right w:val="none" w:color="auto" w:sz="0" w:space="0"/>
        </w:pBdr>
        <w:shd w:val="clear" w:fill="FFF7ED"/>
        <w:spacing w:before="30" w:beforeAutospacing="0" w:after="0" w:afterAutospacing="0" w:line="28" w:lineRule="atLeast"/>
        <w:ind w:left="0" w:right="0"/>
        <w:jc w:val="left"/>
        <w:rPr>
          <w:sz w:val="18"/>
          <w:szCs w:val="18"/>
        </w:rPr>
      </w:pPr>
      <w:r>
        <w:rPr>
          <w:rFonts w:ascii="宋体" w:hAnsi="宋体" w:eastAsia="宋体" w:cs="宋体"/>
          <w:color w:val="9A3412"/>
          <w:kern w:val="0"/>
          <w:sz w:val="18"/>
          <w:szCs w:val="18"/>
          <w:bdr w:val="none" w:color="auto" w:sz="0" w:space="0"/>
          <w:shd w:val="clear" w:fill="FFF7ED"/>
          <w:lang w:val="en-US" w:eastAsia="zh-CN" w:bidi="ar"/>
        </w:rPr>
        <w:t>怎么解除：</w:t>
      </w:r>
      <w:r>
        <w:rPr>
          <w:rFonts w:ascii="宋体" w:hAnsi="宋体" w:eastAsia="宋体" w:cs="宋体"/>
          <w:kern w:val="0"/>
          <w:sz w:val="18"/>
          <w:szCs w:val="18"/>
          <w:bdr w:val="none" w:color="auto" w:sz="0" w:space="0"/>
          <w:shd w:val="clear" w:fill="FFF7ED"/>
          <w:lang w:val="en-US" w:eastAsia="zh-CN" w:bidi="ar"/>
        </w:rPr>
        <w:t>编制该期间差异调节表，逐笔说明差异原因（含税口径/跨期/未同步/漏记），必要时补充申报或更正账务。</w:t>
      </w:r>
    </w:p>
    <w:p w14:paraId="56864FBB">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0" w:beforeAutospacing="0" w:after="90" w:afterAutospacing="0" w:line="29" w:lineRule="atLeast"/>
        <w:ind w:left="0" w:right="0"/>
        <w:jc w:val="left"/>
        <w:rPr>
          <w:b/>
          <w:bCs/>
          <w:color w:val="991B1B"/>
          <w:sz w:val="20"/>
          <w:szCs w:val="20"/>
        </w:rPr>
      </w:pPr>
      <w:r>
        <w:rPr>
          <w:rFonts w:ascii="宋体" w:hAnsi="宋体" w:eastAsia="宋体" w:cs="宋体"/>
          <w:b/>
          <w:bCs/>
          <w:color w:val="991B1B"/>
          <w:kern w:val="0"/>
          <w:sz w:val="20"/>
          <w:szCs w:val="20"/>
          <w:bdr w:val="none" w:color="auto" w:sz="0" w:space="0"/>
          <w:shd w:val="clear" w:fill="FEF2F2"/>
          <w:lang w:val="en-US" w:eastAsia="zh-CN" w:bidi="ar"/>
        </w:rPr>
        <w:t>本项因缺资料未能查完</w:t>
      </w:r>
    </w:p>
    <w:p w14:paraId="3AAB42ED">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未收到「合同文件」</w:t>
      </w:r>
    </w:p>
    <w:p w14:paraId="12C2BFC2">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34BE3325">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由于资料条件不具备，本轮没法完成与“合同文件”相关的账、票、表、税、款交叉核对。目前仍无法排除相应的风险方向。涉及合同文件的检查结论不得显示为无异常或已经合规。</w:t>
      </w:r>
    </w:p>
    <w:p w14:paraId="41EEED18">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企业应补充合同文件。如原资料客观上无法取得，可以提供能够证明同一事实的替代资料。</w:t>
      </w:r>
    </w:p>
    <w:p w14:paraId="26DA8CE4">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45CB5499">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60" w:beforeAutospacing="0" w:after="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EF2F2"/>
          <w:lang w:val="en-US" w:eastAsia="zh-CN" w:bidi="ar"/>
        </w:rPr>
        <w:t>（本项结论在资料补齐前不予认定；补齐后重新执行一键分析即完成本项核对。）</w:t>
      </w:r>
    </w:p>
    <w:p w14:paraId="202B8AB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62A129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在验证前不能认定本项成立：本项的直接证据尚为「缺失」，属前置条件未满足。</w:t>
      </w:r>
    </w:p>
    <w:p w14:paraId="1636F4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4C5FAB3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11B6D2D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直接证据：采购合同　</w:t>
      </w:r>
      <w:r>
        <w:rPr>
          <w:rFonts w:ascii="宋体" w:hAnsi="宋体" w:eastAsia="宋体" w:cs="宋体"/>
          <w:color w:val="64748B"/>
          <w:kern w:val="0"/>
          <w:sz w:val="18"/>
          <w:szCs w:val="18"/>
          <w:bdr w:val="none" w:color="auto" w:sz="0" w:space="0"/>
          <w:shd w:val="clear" w:fill="F5F3FF"/>
          <w:lang w:val="en-US" w:eastAsia="zh-CN" w:bidi="ar"/>
        </w:rPr>
        <w:t>现状：缺失；证明目的：证明采购业务真实发生</w:t>
      </w:r>
    </w:p>
    <w:p w14:paraId="0582BCB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「采购合同」本轮未提供，是支撑链上最弱的一环；缺它就无法认定本项成立 —— 只能列为「资料未齐、不作认定」。</w:t>
      </w:r>
    </w:p>
    <w:p w14:paraId="23B216F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「采购合同」补齐后，若显示相关业务真实、口径一致 ⇒ 本项不成立（可自证清白）。</w:t>
      </w:r>
    </w:p>
    <w:p w14:paraId="5330675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51E2F31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166534"/>
          <w:kern w:val="0"/>
          <w:sz w:val="19"/>
          <w:szCs w:val="19"/>
          <w:bdr w:val="none" w:color="auto" w:sz="0" w:space="0"/>
          <w:shd w:val="clear" w:fill="F5F3FF"/>
          <w:lang w:val="en-US" w:eastAsia="zh-CN" w:bidi="ar"/>
        </w:rPr>
        <w:t>［强］</w:t>
      </w:r>
      <w:r>
        <w:rPr>
          <w:rFonts w:ascii="宋体" w:hAnsi="宋体" w:eastAsia="宋体" w:cs="宋体"/>
          <w:kern w:val="0"/>
          <w:sz w:val="19"/>
          <w:szCs w:val="19"/>
          <w:bdr w:val="none" w:color="auto" w:sz="0" w:space="0"/>
          <w:shd w:val="clear" w:fill="F5F3FF"/>
          <w:lang w:val="en-US" w:eastAsia="zh-CN" w:bidi="ar"/>
        </w:rPr>
        <w:t>直接证据：付款银行流水或第三方支付凭证　</w:t>
      </w:r>
      <w:r>
        <w:rPr>
          <w:rFonts w:ascii="宋体" w:hAnsi="宋体" w:eastAsia="宋体" w:cs="宋体"/>
          <w:color w:val="64748B"/>
          <w:kern w:val="0"/>
          <w:sz w:val="18"/>
          <w:szCs w:val="18"/>
          <w:bdr w:val="none" w:color="auto" w:sz="0" w:space="0"/>
          <w:shd w:val="clear" w:fill="F5F3FF"/>
          <w:lang w:val="en-US" w:eastAsia="zh-CN" w:bidi="ar"/>
        </w:rPr>
        <w:t>现状：已有；证明目的：证明资金流真实，三流一致</w:t>
      </w:r>
    </w:p>
    <w:p w14:paraId="585426D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「付款银行流水或第三方支付凭证」本轮已提供，但是否覆盖本项要求的范围与口径尚未逐项确认；若其覆盖范围不足，「已提供」不等于「足以支撑本项」。</w:t>
      </w:r>
    </w:p>
    <w:p w14:paraId="33A03CD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经核对，「付款银行流水或第三方支付凭证」确已覆盖本项要求的全部范围与口径 ⇒ 这一条的支撑成立（不推翻本项，但本项的可信度应据此上调）。</w:t>
      </w:r>
    </w:p>
    <w:p w14:paraId="685495E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该资料是否覆盖本项要求的范围（如：是否含全部账户、是否逐笔到明细、是否含附表）</w:t>
      </w:r>
    </w:p>
    <w:p w14:paraId="1003810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A16207"/>
          <w:kern w:val="0"/>
          <w:sz w:val="19"/>
          <w:szCs w:val="19"/>
          <w:bdr w:val="none" w:color="auto" w:sz="0" w:space="0"/>
          <w:shd w:val="clear" w:fill="F5F3FF"/>
          <w:lang w:val="en-US" w:eastAsia="zh-CN" w:bidi="ar"/>
        </w:rPr>
        <w:t>［中］</w:t>
      </w:r>
      <w:r>
        <w:rPr>
          <w:rFonts w:ascii="宋体" w:hAnsi="宋体" w:eastAsia="宋体" w:cs="宋体"/>
          <w:kern w:val="0"/>
          <w:sz w:val="19"/>
          <w:szCs w:val="19"/>
          <w:bdr w:val="none" w:color="auto" w:sz="0" w:space="0"/>
          <w:shd w:val="clear" w:fill="F5F3FF"/>
          <w:lang w:val="en-US" w:eastAsia="zh-CN" w:bidi="ar"/>
        </w:rPr>
        <w:t>直接证据：应付账款明细账及账龄分析　</w:t>
      </w:r>
      <w:r>
        <w:rPr>
          <w:rFonts w:ascii="宋体" w:hAnsi="宋体" w:eastAsia="宋体" w:cs="宋体"/>
          <w:color w:val="64748B"/>
          <w:kern w:val="0"/>
          <w:sz w:val="18"/>
          <w:szCs w:val="18"/>
          <w:bdr w:val="none" w:color="auto" w:sz="0" w:space="0"/>
          <w:shd w:val="clear" w:fill="F5F3FF"/>
          <w:lang w:val="en-US" w:eastAsia="zh-CN" w:bidi="ar"/>
        </w:rPr>
        <w:t>现状：须核对；证明目的：证明未付款部分已挂账，属正常信用期</w:t>
      </w:r>
    </w:p>
    <w:p w14:paraId="5D2EA49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「应付账款明细账及账龄分析」本轮未逐字见到，只是「同类资料已提供」；若「应付账款明细账及账龄分析」其实不含本项所需内容，本项的这一支撑即为空。</w:t>
      </w:r>
    </w:p>
    <w:p w14:paraId="770D066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经核对，已提供的同类资料中确实包含本项所需内容且口径一致 ⇒ 支撑成立；若确认不包含 ⇒ 本项应退回「资料不足、不作认定」。</w:t>
      </w:r>
    </w:p>
    <w:p w14:paraId="6B6FF4B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该类资料中是否真含本项所需的具体内容（逐字比对，不是凭名称相似）</w:t>
      </w:r>
    </w:p>
    <w:p w14:paraId="6758F6C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反证：票据（银行承兑汇票）结算与背书记录　</w:t>
      </w:r>
      <w:r>
        <w:rPr>
          <w:rFonts w:ascii="宋体" w:hAnsi="宋体" w:eastAsia="宋体" w:cs="宋体"/>
          <w:color w:val="64748B"/>
          <w:kern w:val="0"/>
          <w:sz w:val="18"/>
          <w:szCs w:val="18"/>
          <w:bdr w:val="none" w:color="auto" w:sz="0" w:space="0"/>
          <w:shd w:val="clear" w:fill="F5F3FF"/>
          <w:lang w:val="en-US" w:eastAsia="zh-CN" w:bidi="ar"/>
        </w:rPr>
        <w:t>现状：待企业提交；证明目的：以票据结算的不走银行转账，可解释无流水</w:t>
      </w:r>
    </w:p>
    <w:p w14:paraId="045A4FC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情形与「采购合同」相同（待企业提交）；不再重复同一段自我反驳。</w:t>
      </w:r>
    </w:p>
    <w:p w14:paraId="61568A9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同上：该情形一旦核对通过，「票据（银行承兑汇票）结算与背书记录」这一条的支撑即成立。</w:t>
      </w:r>
    </w:p>
    <w:p w14:paraId="557AFBE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5BC28EF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反证：债务抵销协议、三方转账协议　</w:t>
      </w:r>
      <w:r>
        <w:rPr>
          <w:rFonts w:ascii="宋体" w:hAnsi="宋体" w:eastAsia="宋体" w:cs="宋体"/>
          <w:color w:val="64748B"/>
          <w:kern w:val="0"/>
          <w:sz w:val="18"/>
          <w:szCs w:val="18"/>
          <w:bdr w:val="none" w:color="auto" w:sz="0" w:space="0"/>
          <w:shd w:val="clear" w:fill="F5F3FF"/>
          <w:lang w:val="en-US" w:eastAsia="zh-CN" w:bidi="ar"/>
        </w:rPr>
        <w:t>现状：待企业提交；证明目的：以债权抵销方式结算的合法</w:t>
      </w:r>
    </w:p>
    <w:p w14:paraId="79FEEE9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情形与「采购合同」相同（待企业提交）；不再重复同一段自我反驳。</w:t>
      </w:r>
    </w:p>
    <w:p w14:paraId="0307728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同上：该情形一旦核对通过，「债务抵销协议、三方转账协议」这一条的支撑即成立。</w:t>
      </w:r>
    </w:p>
    <w:p w14:paraId="15EEEC5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79410362">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反证已提交比例（反向计分）（取值 0.0）</w:t>
      </w:r>
    </w:p>
    <w:p w14:paraId="7EF6B3F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6F2C8D9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0D83831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3039815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4C81AA36">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采购合同</w:t>
      </w:r>
    </w:p>
    <w:p w14:paraId="7D1C691F">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235E9EB4">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367716E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2. 票据（银行承兑汇票）结算与背书记录</w:t>
      </w:r>
    </w:p>
    <w:p w14:paraId="05132DB0">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66585BA7">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5078DCF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3. 债务抵销协议、三方转账协议</w:t>
      </w:r>
    </w:p>
    <w:p w14:paraId="601E6B39">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348A9761">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3B5403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疑点16：股权转让未申报个人所得税</w:t>
      </w:r>
      <w:r>
        <w:rPr>
          <w:rFonts w:ascii="宋体" w:hAnsi="宋体" w:eastAsia="宋体" w:cs="宋体"/>
          <w:b/>
          <w:bCs/>
          <w:color w:val="FFFFFF"/>
          <w:kern w:val="0"/>
          <w:sz w:val="18"/>
          <w:szCs w:val="18"/>
          <w:bdr w:val="none" w:color="auto" w:sz="0" w:space="0"/>
          <w:shd w:val="clear" w:fill="B91C1C"/>
          <w:lang w:val="en-US" w:eastAsia="zh-CN" w:bidi="ar"/>
        </w:rPr>
        <w:t>办理顺序：第十八项</w:t>
      </w:r>
    </w:p>
    <w:p w14:paraId="0AACD568">
      <w:pPr>
        <w:pStyle w:val="5"/>
        <w:keepNext w:val="0"/>
        <w:keepLines w:val="0"/>
        <w:widowControl/>
        <w:suppressLineNumbers w:val="0"/>
        <w:pBdr>
          <w:top w:val="none" w:color="auto" w:sz="0" w:space="0"/>
          <w:left w:val="single" w:color="2563EB" w:sz="18" w:space="9"/>
          <w:bottom w:val="none" w:color="auto" w:sz="0" w:space="0"/>
          <w:right w:val="none" w:color="auto" w:sz="0" w:space="0"/>
        </w:pBdr>
        <w:shd w:val="clear" w:fill="F8FAFC"/>
        <w:spacing w:before="90" w:beforeAutospacing="0" w:after="150" w:afterAutospacing="0" w:line="28" w:lineRule="atLeast"/>
        <w:ind w:left="0" w:right="0" w:firstLine="420"/>
        <w:jc w:val="both"/>
        <w:rPr>
          <w:color w:val="1A1A2E"/>
          <w:sz w:val="19"/>
          <w:szCs w:val="19"/>
        </w:rPr>
      </w:pPr>
      <w:r>
        <w:rPr>
          <w:color w:val="1A1A2E"/>
          <w:sz w:val="19"/>
          <w:szCs w:val="19"/>
          <w:bdr w:val="none" w:color="auto" w:sz="0" w:space="0"/>
          <w:shd w:val="clear" w:fill="F8FAFC"/>
        </w:rPr>
        <w:t>涉嫌个人转让股权未依法申报缴纳个人所得税，或转让价格明显偏低且无正当理由。从本次上传资料来看，本企业本项已查明的风险；未认定到构成要件的可能性中等，但能补全尚缺的3项资料来排除此项税务风险嫌疑。本项涉税嫌疑，涉及个人所得税；潜在税额影响：未量化（缺明确金额，须补资料后测算）。</w:t>
      </w:r>
    </w:p>
    <w:p w14:paraId="04B438B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7061B375">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为何列入检查</w:t>
      </w:r>
    </w:p>
    <w:p w14:paraId="1F5118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之所以列入检查，是因为出现了以下情况：在股权转让协议、工商变更（本轮未提供）环节读到：检出股权转让/股权变更相关记录1条；转让方是否为自然人仍须核对。本项对应的风险指标是股权转让未申报个人所得税——凡出现上述情形即纳入检查范围；是否成立，另按本项构成要件逐条核对（见下）。</w:t>
      </w:r>
    </w:p>
    <w:p w14:paraId="22292030">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1D4ED8"/>
          <w:kern w:val="0"/>
          <w:sz w:val="18"/>
          <w:szCs w:val="18"/>
          <w:bdr w:val="single" w:color="C7D2FE" w:sz="6" w:space="0"/>
          <w:shd w:val="clear" w:fill="EEF2FF"/>
          <w:lang w:val="en-US" w:eastAsia="zh-CN" w:bidi="ar"/>
        </w:rPr>
        <w:t>总述</w:t>
      </w:r>
    </w:p>
    <w:p w14:paraId="0000B931">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一、涉及的风险事项</w:t>
      </w:r>
    </w:p>
    <w:p w14:paraId="1BF2DC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经检查，本企业未就股权转让未申报个人所得税认定到任何一条构成要件：账内检出需进一步核实的信号——本轮资料中未见股权转让个人所得税的完税凭证或缴款记录。下列要件清单是本项对应的判断标准，逐条核对结果见下：</w:t>
      </w:r>
    </w:p>
    <w:p w14:paraId="63ECD22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本项（股权转让未申报个人所得税）：经核对，本企业未涉及任何一条构成要件（仅已单独核对且符合情形的要件计入）；本项共 5 条构成要件：已单独核对 0 条（符合情形 0 条、未发现符合 0 条、有信号但未达数值门槛 0 条）；未形成核对结论 0 条（资料已取得但缺对应核对证据，不作未发现符合认定）；未单独核对 5 条（独立数据源本轮未取得，均不计入涉及）。</w:t>
      </w:r>
    </w:p>
    <w:p w14:paraId="6264CA5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① 发生个人转让股权行为（股权转让协议签署、工商股权变更、实缴出资转让等），且转让方为自然人（未单独核对（独立数据源本轮未取得）；独立数据源：合同文件、工商变更登记｜缺失）</w:t>
      </w:r>
    </w:p>
    <w:p w14:paraId="1F79284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② 股权转让收入（或核定收入）减去股权原值和合理费用后的余额为正，应纳个人所得税但未申报或未足额申报（未单独核对（独立数据源本轮未取得）；独立数据源：银行流水、资产负债表｜须核对）</w:t>
      </w:r>
    </w:p>
    <w:p w14:paraId="036C85C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③ 股权转让价格明显偏低（低于对应净资产份额、低于初始投资成本且无正当理由），或申报转让价格与评估/账面净资产明显不符（未单独核对（独立数据源本轮未取得）；独立数据源：资产负债表、评估报告｜缺失）</w:t>
      </w:r>
    </w:p>
    <w:p w14:paraId="7178935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④ 支付方（企业）未履行代扣代缴义务，或个人未自行申报，且税款未缴纳（未单独核对（独立数据源本轮未取得）；独立数据源：银行流水、合同文件｜须核对）</w:t>
      </w:r>
    </w:p>
    <w:p w14:paraId="2E4A35D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45" w:beforeAutospacing="0" w:after="45" w:afterAutospacing="0" w:line="29" w:lineRule="atLeast"/>
        <w:ind w:left="360" w:right="0" w:hanging="360"/>
      </w:pPr>
      <w:r>
        <w:rPr>
          <w:bdr w:val="none" w:color="auto" w:sz="0" w:space="0"/>
        </w:rPr>
        <w:t>⑤ 不属于下列正当情形：转让价格符合67号公告第十三条正当理由（国家政策调整低价转让、转让给配偶等直系亲属等）；转让亏损（收入低于原值及合理费用）无应纳税所得；已按规定申报缴纳并取得完税凭证（未单独核对（独立数据源本轮未取得）；独立数据源：合同文件、评估报告、完税凭证｜须核对）</w:t>
      </w:r>
    </w:p>
    <w:p w14:paraId="1888DE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法定依据：《国家税务总局公告2014年第67号》（版本未登记，须核对现行有效文本）；《股权转让所得个人所得税管理办法（试行）》（2014年发布；国家税务总局公告2014年第67号，现行有效）；《中华人民共和国个人所得税法》（2018年第七次修正；主席令第九号（2018年8月31日第十三届全国人民代表大会常务委员会第五次会议修正），现行有效）。</w:t>
      </w:r>
    </w:p>
    <w:p w14:paraId="3C2F088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构成要件独立核对表（每要件独立数据源与独立结论）</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3"/>
        <w:gridCol w:w="13294"/>
        <w:gridCol w:w="2820"/>
        <w:gridCol w:w="1204"/>
        <w:gridCol w:w="3360"/>
      </w:tblGrid>
      <w:tr w14:paraId="2BF4D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57C30FB">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要件序号</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793842F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构成要件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8F5D8A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独立数据源</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C7F46D6">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数据源状态</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F51132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核对结论</w:t>
            </w:r>
          </w:p>
        </w:tc>
      </w:tr>
      <w:tr w14:paraId="79EDF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BD5273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DE2CE8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发生个人转让股权行为（股权转让协议签署、工商股权变更、实缴出资转让等），且转让方为自然人</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D1E608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合同文件、工商变更登记</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83C342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99B7D4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43D8E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9A3F72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654F6B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股权转让收入（或核定收入）减去股权原值和合理费用后的余额为正，应纳个人所得税但未申报或未足额申报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EB33AD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银行流水、资产负债表</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DE47A8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B0D6F0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769F3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D4FF7B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62910F0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股权转让价格明显偏低（低于对应净资产份额、低于初始投资成本且无正当理由），或申报转让价格与评估/账面净资产明显不符</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DE6849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资产负债表、评估报告</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6D1A4F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3C888E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68EFD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574F22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第4条</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3616A0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支付方（企业）未履行代扣代缴义务，或个人未自行申报，且税款未缴纳</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C1E5EE9">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银行流水、合同文件</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82743CF">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27B3B3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r w14:paraId="6B054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68BDFD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第5条</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5FEEA9C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不属于下列正当情形：转让价格符合67号公告第十三条正当理由（国家政策调整低价转让、转让给配偶等直系亲属等）；转让亏损（收入低于原值及合理费用）无应纳税所得；已按规定申报缴纳并取得完税凭证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0C8E4F0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合同文件、评估报告、完税凭证</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664A77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须核对</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A990E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未单独核对（独立数据源本轮未取得）</w:t>
            </w:r>
          </w:p>
        </w:tc>
      </w:tr>
    </w:tbl>
    <w:p w14:paraId="5ED407D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7684234E">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二、发现的依据</w:t>
      </w:r>
    </w:p>
    <w:p w14:paraId="1823B8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这个疑点不是估计出来的，是从资料里一步步算出来的：第1步从股权转让协议、工商变更（本轮未提供）中识别自然人转让股权行为与时间，看到检出股权转让/股权变更相关记录1条，转让方是否为自然人仍须核对；第2步从转让价格、股权原值、费用（本轮未提供）中计算应纳税所得额，看到因缺少资料（费用、转让价格、股权原值、费用、须核对是否已提供：转让价格、须核对是否已提供：股权原值）未取得本环节数据，该部分无法核对；第3步从被投资企业资产负债表净资产（本轮未提供）中核对转让价格是否明显偏低，看到因缺少资料（被投资企业资产负债表净资产）未取得本环节数据，该部分无法核对；第4步从完税凭证、扣缴申报中核对是否已申报缴纳，看到本环节所需资料中已提供部分、尚缺扣缴申报，该环节未能完成核对（属检查程序待完善项，不计入资料缺失）。其中第2环、第3环因缺少资料未取得数据，已计入检查受限范围；第4环未取到该环节所需的 扣缴申报，未产出可展示数据（属检查程序待完善项，不计入资料缺失，不影响资料齐备性判断）。</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23"/>
        <w:gridCol w:w="4287"/>
        <w:gridCol w:w="3100"/>
        <w:gridCol w:w="13391"/>
      </w:tblGrid>
      <w:tr w14:paraId="7D405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4B7E9E0">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环节</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045A98F8">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对应资料</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13514F69">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做了什么</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5984DC2">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实际看到的数据</w:t>
            </w:r>
          </w:p>
        </w:tc>
      </w:tr>
      <w:tr w14:paraId="6DFE4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82147C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第1环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78E1D3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股权转让协议、工商变更（本轮未提供）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307C20F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识别自然人转让股权行为与时间</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B31CA5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检出股权转让/股权变更相关记录1条；转让方是否为自然人仍须核对</w:t>
            </w:r>
          </w:p>
        </w:tc>
      </w:tr>
      <w:tr w14:paraId="5B817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327ACF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第2环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1DD396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转让价格、股权原值、费用（本轮未提供）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312100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计算应纳税所得额</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3AABB33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因缺少资料（费用、转让价格、股权原值、费用、须核对是否已提供：转让价格、须核对是否已提供：股权原值）未取得本环节数据；该部分无法核对</w:t>
            </w:r>
          </w:p>
        </w:tc>
      </w:tr>
      <w:tr w14:paraId="1DB33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18FAC9F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第3环</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B8FF923">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被投资企业资产负债表净资产（本轮未提供）</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9207A9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核对转让价格是否明显偏低</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D2A23D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因缺少资料（被投资企业资产负债表净资产）未取得本环节数据；该部分无法核对</w:t>
            </w:r>
          </w:p>
        </w:tc>
      </w:tr>
      <w:tr w14:paraId="36859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28EBBC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第4环</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32626D6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完税凭证、扣缴申报</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210F4F38">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核对是否已申报缴纳</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7656B2C0">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本环节所需资料中已提供部分、尚缺扣缴申报；该环节未能完成核对（属检查程序待完善项；不计入资料缺失）</w:t>
            </w:r>
          </w:p>
        </w:tc>
      </w:tr>
    </w:tbl>
    <w:p w14:paraId="4D36A5B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三、已取得的资料与待补充的资料</w:t>
      </w:r>
    </w:p>
    <w:p w14:paraId="2CDF00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项要定性为成立还是不成立，须先把材料补齐：本项检查需要4项材料，其中名称逐字对应、已确在手上的有1项（转让款收付银行流水），目前没有一项材料与本项要求对应；确未提供的有3项（股权转让协议、工商股权变更登记、被投资企业资产负债表（净资产））。</w:t>
      </w:r>
    </w:p>
    <w:tbl>
      <w:tblPr>
        <w:tblW w:w="217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02"/>
        <w:gridCol w:w="4424"/>
        <w:gridCol w:w="5217"/>
        <w:gridCol w:w="1410"/>
        <w:gridCol w:w="9448"/>
      </w:tblGrid>
      <w:tr w14:paraId="07817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5F858F25">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证据角色</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4AE61E4E">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证据名称</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613C8304">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证明目的</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316B2D8C">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现状</w:t>
            </w:r>
          </w:p>
        </w:tc>
        <w:tc>
          <w:tcPr>
            <w:tcW w:w="0" w:type="auto"/>
            <w:tcBorders>
              <w:top w:val="single" w:color="1E3A8A" w:sz="6" w:space="0"/>
              <w:left w:val="single" w:color="1E3A8A" w:sz="6" w:space="0"/>
              <w:bottom w:val="single" w:color="1E3A8A" w:sz="6" w:space="0"/>
              <w:right w:val="single" w:color="1E3A8A" w:sz="6" w:space="0"/>
            </w:tcBorders>
            <w:shd w:val="clear" w:color="auto" w:fill="1E3A8A"/>
            <w:noWrap/>
            <w:tcMar>
              <w:top w:w="105" w:type="dxa"/>
              <w:left w:w="150" w:type="dxa"/>
              <w:bottom w:w="105" w:type="dxa"/>
              <w:right w:w="150" w:type="dxa"/>
            </w:tcMar>
            <w:vAlign w:val="center"/>
          </w:tcPr>
          <w:p w14:paraId="2BBD1A9F">
            <w:pPr>
              <w:keepNext w:val="0"/>
              <w:keepLines w:val="0"/>
              <w:widowControl/>
              <w:suppressLineNumbers w:val="0"/>
              <w:spacing w:before="0" w:beforeAutospacing="0" w:after="0" w:afterAutospacing="0"/>
              <w:ind w:left="0" w:right="0"/>
              <w:jc w:val="left"/>
              <w:rPr>
                <w:b/>
                <w:bCs/>
                <w:color w:val="FFFFFF"/>
                <w:sz w:val="18"/>
                <w:szCs w:val="18"/>
              </w:rPr>
            </w:pPr>
            <w:r>
              <w:rPr>
                <w:rFonts w:ascii="宋体" w:hAnsi="宋体" w:eastAsia="宋体" w:cs="宋体"/>
                <w:b/>
                <w:bCs/>
                <w:color w:val="FFFFFF"/>
                <w:kern w:val="0"/>
                <w:sz w:val="18"/>
                <w:szCs w:val="18"/>
                <w:bdr w:val="none" w:color="auto" w:sz="0" w:space="0"/>
                <w:lang w:val="en-US" w:eastAsia="zh-CN" w:bidi="ar"/>
              </w:rPr>
              <w:t>依据</w:t>
            </w:r>
          </w:p>
        </w:tc>
      </w:tr>
      <w:tr w14:paraId="19B4D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9D0ACD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D30EAB5">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股权转让协议、工商股权变更登记</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D38278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证明自然人转让股权事实</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2D53B69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E50E39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本轮未提供本项所需材料（股权转让协议、工商股权变更登记），无法组织本项证据</w:t>
            </w:r>
          </w:p>
        </w:tc>
      </w:tr>
      <w:tr w14:paraId="7E569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FCC856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5159FD7">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转让款收付银行流水</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04795ABB">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证明实际转让价格与款项收付</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0D8CB2A1">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已有</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1220C6FE">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本轮已提供银行流水（本项写作转让款收付银行流水，属同一材料的不同叫法），可作为本项证据</w:t>
            </w:r>
          </w:p>
        </w:tc>
      </w:tr>
      <w:tr w14:paraId="056ED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40485FCA">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间接证据</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5B301D26">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被投资企业资产负债表（净资产）</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143D7B7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证明转让价格是否明显偏低</w:t>
            </w:r>
          </w:p>
        </w:tc>
        <w:tc>
          <w:tcPr>
            <w:tcW w:w="0" w:type="auto"/>
            <w:tcBorders>
              <w:top w:val="single" w:color="DBEAFE" w:sz="6" w:space="0"/>
              <w:left w:val="single" w:color="DBEAFE" w:sz="6" w:space="0"/>
              <w:bottom w:val="single" w:color="DBEAFE" w:sz="6" w:space="0"/>
              <w:right w:val="single" w:color="DBEAFE" w:sz="6" w:space="0"/>
            </w:tcBorders>
            <w:shd w:val="clear" w:color="auto" w:fill="FFFFFF"/>
            <w:noWrap/>
            <w:tcMar>
              <w:top w:w="90" w:type="dxa"/>
              <w:left w:w="150" w:type="dxa"/>
              <w:bottom w:w="90" w:type="dxa"/>
              <w:right w:w="150" w:type="dxa"/>
            </w:tcMar>
            <w:vAlign w:val="top"/>
          </w:tcPr>
          <w:p w14:paraId="63D755B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缺失</w:t>
            </w:r>
          </w:p>
        </w:tc>
        <w:tc>
          <w:tcPr>
            <w:tcW w:w="0" w:type="auto"/>
            <w:tcBorders>
              <w:top w:val="single" w:color="DBEAFE" w:sz="6" w:space="0"/>
              <w:left w:val="single" w:color="DBEAFE" w:sz="6" w:space="0"/>
              <w:bottom w:val="single" w:color="DBEAFE" w:sz="6" w:space="0"/>
              <w:right w:val="single" w:color="DBEAFE" w:sz="6" w:space="0"/>
            </w:tcBorders>
            <w:shd w:val="clear" w:color="auto" w:fill="FFFFFF"/>
            <w:tcMar>
              <w:top w:w="90" w:type="dxa"/>
              <w:left w:w="150" w:type="dxa"/>
              <w:bottom w:w="90" w:type="dxa"/>
              <w:right w:w="150" w:type="dxa"/>
            </w:tcMar>
            <w:vAlign w:val="top"/>
          </w:tcPr>
          <w:p w14:paraId="23DA7F4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本轮未提供本项所需材料（被投资企业资产负债表（净资产）），无法组织本项证据</w:t>
            </w:r>
          </w:p>
        </w:tc>
      </w:tr>
      <w:tr w14:paraId="7893D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4B1E9FDC">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反证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13672D5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67号公告第十三条正当理由证明、完税凭证</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53D4B0D2">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低价转让具正当理由或已申报缴税，可排除触碰红线</w:t>
            </w:r>
          </w:p>
        </w:tc>
        <w:tc>
          <w:tcPr>
            <w:tcW w:w="0" w:type="auto"/>
            <w:tcBorders>
              <w:top w:val="single" w:color="DBEAFE" w:sz="6" w:space="0"/>
              <w:left w:val="single" w:color="DBEAFE" w:sz="6" w:space="0"/>
              <w:bottom w:val="single" w:color="DBEAFE" w:sz="6" w:space="0"/>
              <w:right w:val="single" w:color="DBEAFE" w:sz="6" w:space="0"/>
            </w:tcBorders>
            <w:shd w:val="clear" w:color="auto" w:fill="F5F8FF"/>
            <w:noWrap/>
            <w:tcMar>
              <w:top w:w="90" w:type="dxa"/>
              <w:left w:w="150" w:type="dxa"/>
              <w:bottom w:w="90" w:type="dxa"/>
              <w:right w:w="150" w:type="dxa"/>
            </w:tcMar>
            <w:vAlign w:val="top"/>
          </w:tcPr>
          <w:p w14:paraId="789AE654">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待企业提交</w:t>
            </w:r>
          </w:p>
        </w:tc>
        <w:tc>
          <w:tcPr>
            <w:tcW w:w="0" w:type="auto"/>
            <w:tcBorders>
              <w:top w:val="single" w:color="DBEAFE" w:sz="6" w:space="0"/>
              <w:left w:val="single" w:color="DBEAFE" w:sz="6" w:space="0"/>
              <w:bottom w:val="single" w:color="DBEAFE" w:sz="6" w:space="0"/>
              <w:right w:val="single" w:color="DBEAFE" w:sz="6" w:space="0"/>
            </w:tcBorders>
            <w:shd w:val="clear" w:color="auto" w:fill="F5F8FF"/>
            <w:tcMar>
              <w:top w:w="90" w:type="dxa"/>
              <w:left w:w="150" w:type="dxa"/>
              <w:bottom w:w="90" w:type="dxa"/>
              <w:right w:w="150" w:type="dxa"/>
            </w:tcMar>
            <w:vAlign w:val="top"/>
          </w:tcPr>
          <w:p w14:paraId="49042B9D">
            <w:pPr>
              <w:keepNext w:val="0"/>
              <w:keepLines w:val="0"/>
              <w:widowControl/>
              <w:suppressLineNumbers w:val="0"/>
              <w:spacing w:before="0" w:beforeAutospacing="0" w:after="0" w:afterAutospacing="0" w:line="24" w:lineRule="atLeast"/>
              <w:ind w:left="0" w:right="0"/>
              <w:jc w:val="left"/>
              <w:textAlignment w:val="top"/>
              <w:rPr>
                <w:color w:val="1A1A2E"/>
                <w:sz w:val="18"/>
                <w:szCs w:val="18"/>
              </w:rPr>
            </w:pPr>
            <w:r>
              <w:rPr>
                <w:rFonts w:ascii="宋体" w:hAnsi="宋体" w:eastAsia="宋体" w:cs="宋体"/>
                <w:color w:val="1A1A2E"/>
                <w:kern w:val="0"/>
                <w:sz w:val="18"/>
                <w:szCs w:val="18"/>
                <w:bdr w:val="none" w:color="auto" w:sz="0" w:space="0"/>
                <w:lang w:val="en-US" w:eastAsia="zh-CN" w:bidi="ar"/>
              </w:rPr>
              <w:t>企业尚未提交该正当理由的书面证明</w:t>
            </w:r>
          </w:p>
        </w:tc>
      </w:tr>
    </w:tbl>
    <w:p w14:paraId="067262C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B45309"/>
          <w:kern w:val="0"/>
          <w:sz w:val="18"/>
          <w:szCs w:val="18"/>
          <w:bdr w:val="single" w:color="FED7AA" w:sz="6" w:space="0"/>
          <w:shd w:val="clear" w:fill="FFF7ED"/>
          <w:lang w:val="en-US" w:eastAsia="zh-CN" w:bidi="ar"/>
        </w:rPr>
        <w:t>总结</w:t>
      </w:r>
    </w:p>
    <w:p w14:paraId="54C8150E">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四、本项结论及理由</w:t>
      </w:r>
    </w:p>
    <w:p w14:paraId="4C7F03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本轮对「股权转让未申报个人所得税」逐条核对，未认定到任何一条构成要件成立；但本项已从账内资料中查明相关信号，且本项不等于已触碰红线、也不是违法认定。具体认定范围与需补充的资料见本项各段。判断本项是否成立，要看这几项标准是否同时满足：发生个人转让股权行为（股权转让协议签署、工商股权变更、实缴出资转让等），且转让方为自然人；股权转让收入（或核定收入）减去股权原值和合理费用后的余额为正，应纳个人所得税但未申报或未足额申报；股权转让价格明显偏低（低于对应净资产份额、低于初始投资成本且无正当理由），或申报转让价格与评估/账面净资产明显不符；支付方（企业）未履行代扣代缴义务，或个人未自行申报，且税款未缴纳；不属于下列正当情形：转让价格符合67号公告第十三条正当理由（国家政策调整低价转让、转让给配偶等直系亲属等）；转让亏损（收入低于原值及合理费用）无应纳税所得；已按规定申报缴纳并取得完税凭证。本轮从所报资料中直接核对到的事实是：本轮资料中未见股权转让个人所得税的完税凭证或缴款记录。本项检查共4环，其中第2环、第3环、第4环因本轮未取得该环节所需资料，未取得数据（各环实际读到的数据见上一段明细表）。就资料来说，支撑材料严重不足，核心材料缺失（名称逐字对应已提供1项；尚缺：股权转让协议、工商股权变更登记、被投资企业资产负债表（净资产）（属合同文件、资产负债表类）；企业尚未提交正当理由的书面证明，现有资料不足以排除本项涉嫌风险）。企业如果认为这不成立，通常可以说明：转让价格符合国家税务总局公告2014年第67号第十三条正当理由（如国家政策调整、转让给配偶等直系亲属）；转让亏损（收入低于股权原值及合理费用），无应纳税所得；已按规定申报缴纳个人所得税并取得完税凭证。但这些说明能不能采信，要看有没有书面协议和原始单据，口头解释不能作为认定依据。综合以上，本项结论是疑似逐条要件尚未认定成立（结论只到「账内已读到与该风险指向一致的信号」这一层），判断可信度约62%（中等）。疑似账内已读到与该项风险指向一致的信号，但本轮未认定到任何一条具体构成要件成立，材料也不够齐全；因此本项只作为须核对疑点登记，暂不作出触碰红线的结论，转由企业补充上述材料后重新检查；补充资料之前既不认定违法，也不予排除。</w:t>
      </w:r>
    </w:p>
    <w:p w14:paraId="70CDF17C">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0" w:afterAutospacing="0"/>
        <w:ind w:left="0" w:right="0"/>
        <w:jc w:val="left"/>
      </w:pPr>
      <w:r>
        <w:rPr>
          <w:rFonts w:ascii="宋体" w:hAnsi="宋体" w:eastAsia="宋体" w:cs="宋体"/>
          <w:color w:val="475569"/>
          <w:kern w:val="0"/>
          <w:sz w:val="18"/>
          <w:szCs w:val="18"/>
          <w:bdr w:val="single" w:color="E2E8F0" w:sz="6" w:space="0"/>
          <w:shd w:val="clear" w:fill="F1F5F9"/>
          <w:lang w:val="en-US" w:eastAsia="zh-CN" w:bidi="ar"/>
        </w:rPr>
        <w:t>分述</w:t>
      </w:r>
    </w:p>
    <w:p w14:paraId="539C5F94">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jc w:val="left"/>
        <w:rPr>
          <w:b/>
          <w:bCs/>
        </w:rPr>
      </w:pPr>
      <w:r>
        <w:rPr>
          <w:rFonts w:ascii="宋体" w:hAnsi="宋体" w:eastAsia="宋体" w:cs="宋体"/>
          <w:b/>
          <w:bCs/>
          <w:kern w:val="0"/>
          <w:sz w:val="24"/>
          <w:szCs w:val="24"/>
          <w:bdr w:val="none" w:color="auto" w:sz="0" w:space="0"/>
          <w:lang w:val="en-US" w:eastAsia="zh-CN" w:bidi="ar"/>
        </w:rPr>
        <w:t>若不补充资料的后果</w:t>
      </w:r>
    </w:p>
    <w:p w14:paraId="3F1412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line="30" w:lineRule="atLeast"/>
        <w:ind w:left="0" w:right="0"/>
        <w:jc w:val="both"/>
        <w:rPr>
          <w:color w:val="1A1A2E"/>
        </w:rPr>
      </w:pPr>
      <w:r>
        <w:rPr>
          <w:color w:val="1A1A2E"/>
          <w:bdr w:val="none" w:color="auto" w:sz="0" w:space="0"/>
        </w:rPr>
        <w:t>按目前的分析结论（尚待补充资料与核实）：若企业未能补充上述资料、也未对差额或异常作出合理解释，本项存在被认定为个人转让股权未依法申报缴纳个人所得税，或转让价格明显偏低且无正当理由的风险（涉及个人所得税）。主管税务机关可依《税收征收管理法》第三十二条加收滞纳金；构成偷税、抗税、骗税的，依第六十三条等规定追缴税款、滞纳金并处罚款。是否构成偷税、以及是否移送，须由税务机关依法调查认定。</w:t>
      </w:r>
    </w:p>
    <w:p w14:paraId="39DAD0D6">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0" w:beforeAutospacing="0" w:after="90" w:afterAutospacing="0" w:line="29" w:lineRule="atLeast"/>
        <w:ind w:left="0" w:right="0"/>
        <w:jc w:val="left"/>
        <w:rPr>
          <w:b/>
          <w:bCs/>
          <w:color w:val="991B1B"/>
          <w:sz w:val="20"/>
          <w:szCs w:val="20"/>
        </w:rPr>
      </w:pPr>
      <w:r>
        <w:rPr>
          <w:rFonts w:ascii="宋体" w:hAnsi="宋体" w:eastAsia="宋体" w:cs="宋体"/>
          <w:b/>
          <w:bCs/>
          <w:color w:val="991B1B"/>
          <w:kern w:val="0"/>
          <w:sz w:val="20"/>
          <w:szCs w:val="20"/>
          <w:bdr w:val="none" w:color="auto" w:sz="0" w:space="0"/>
          <w:shd w:val="clear" w:fill="FEF2F2"/>
          <w:lang w:val="en-US" w:eastAsia="zh-CN" w:bidi="ar"/>
        </w:rPr>
        <w:t>本项因缺资料未能查完</w:t>
      </w:r>
    </w:p>
    <w:p w14:paraId="231A256C">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未收到「合同文件」</w:t>
      </w:r>
    </w:p>
    <w:p w14:paraId="4A661E41">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6816E4A7">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由于资料条件不具备，本轮没法完成与“合同文件”相关的账、票、表、税、款交叉核对。目前仍无法排除相应的风险方向。涉及合同文件的检查结论不得显示为无异常或已经合规。</w:t>
      </w:r>
    </w:p>
    <w:p w14:paraId="10C14A3E">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企业应补充合同文件。如原资料客观上无法取得，可以提供能够证明同一事实的替代资料。</w:t>
      </w:r>
    </w:p>
    <w:p w14:paraId="00553A3D">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60D668AE">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0" w:beforeAutospacing="0" w:after="0" w:afterAutospacing="0" w:line="29" w:lineRule="atLeast"/>
        <w:ind w:left="0" w:right="0"/>
        <w:jc w:val="left"/>
        <w:rPr>
          <w:b/>
          <w:bCs/>
          <w:color w:val="7F1D1D"/>
          <w:sz w:val="19"/>
          <w:szCs w:val="19"/>
        </w:rPr>
      </w:pPr>
      <w:r>
        <w:rPr>
          <w:rFonts w:ascii="宋体" w:hAnsi="宋体" w:eastAsia="宋体" w:cs="宋体"/>
          <w:b/>
          <w:bCs/>
          <w:color w:val="7F1D1D"/>
          <w:kern w:val="0"/>
          <w:sz w:val="19"/>
          <w:szCs w:val="19"/>
          <w:bdr w:val="none" w:color="auto" w:sz="0" w:space="0"/>
          <w:shd w:val="clear" w:fill="FEF2F2"/>
          <w:lang w:val="en-US" w:eastAsia="zh-CN" w:bidi="ar"/>
        </w:rPr>
        <w:t>未收到「资产负债表」</w:t>
      </w:r>
    </w:p>
    <w:p w14:paraId="4ED76AB3">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本轮检查结论：</w:t>
      </w:r>
      <w:r>
        <w:rPr>
          <w:rFonts w:ascii="宋体" w:hAnsi="宋体" w:eastAsia="宋体" w:cs="宋体"/>
          <w:kern w:val="0"/>
          <w:sz w:val="19"/>
          <w:szCs w:val="19"/>
          <w:bdr w:val="none" w:color="auto" w:sz="0" w:space="0"/>
          <w:shd w:val="clear" w:fill="FEF2F2"/>
          <w:lang w:val="en-US" w:eastAsia="zh-CN" w:bidi="ar"/>
        </w:rPr>
        <w:t>经检查，本轮没有收到这项资料，没法取得完成相关检查所需的完整事实。资料缺失只表示检查范围受限，不表示企业已经存在违法或少缴税的问题。本轮相关检查没有做完，所列风险方向目前没法排除，但不作违法、少缴税款或处罚认定。</w:t>
      </w:r>
    </w:p>
    <w:p w14:paraId="19DAA3FA">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被阻断的检查和风险影响：</w:t>
      </w:r>
      <w:r>
        <w:rPr>
          <w:rFonts w:ascii="宋体" w:hAnsi="宋体" w:eastAsia="宋体" w:cs="宋体"/>
          <w:kern w:val="0"/>
          <w:sz w:val="19"/>
          <w:szCs w:val="19"/>
          <w:bdr w:val="none" w:color="auto" w:sz="0" w:space="0"/>
          <w:shd w:val="clear" w:fill="FEF2F2"/>
          <w:lang w:val="en-US" w:eastAsia="zh-CN" w:bidi="ar"/>
        </w:rPr>
        <w:t>由于资料条件不具备，本轮没法完成与“资产负债表”相关的账、票、表、税、款交叉核对。目前仍无法排除相应的风险方向。涉及资产负债表的检查结论不得显示为无异常或已经合规。</w:t>
      </w:r>
    </w:p>
    <w:p w14:paraId="69A5854E">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补充资料要求：</w:t>
      </w:r>
      <w:r>
        <w:rPr>
          <w:rFonts w:ascii="宋体" w:hAnsi="宋体" w:eastAsia="宋体" w:cs="宋体"/>
          <w:kern w:val="0"/>
          <w:sz w:val="19"/>
          <w:szCs w:val="19"/>
          <w:bdr w:val="none" w:color="auto" w:sz="0" w:space="0"/>
          <w:shd w:val="clear" w:fill="FEF2F2"/>
          <w:lang w:val="en-US" w:eastAsia="zh-CN" w:bidi="ar"/>
        </w:rPr>
        <w:t>企业应补充资产负债表。如原资料客观上无法取得，可以提供能够证明同一事实的替代资料。</w:t>
      </w:r>
    </w:p>
    <w:p w14:paraId="0B571B5F">
      <w:pPr>
        <w:keepNext w:val="0"/>
        <w:keepLines w:val="0"/>
        <w:widowControl/>
        <w:suppressLineNumbers w:val="0"/>
        <w:pBdr>
          <w:top w:val="none" w:color="auto" w:sz="0" w:space="0"/>
          <w:left w:val="none" w:color="auto" w:sz="0" w:space="0"/>
          <w:bottom w:val="none" w:color="auto" w:sz="0" w:space="0"/>
          <w:right w:val="none" w:color="auto" w:sz="0" w:space="0"/>
        </w:pBdr>
        <w:shd w:val="clear" w:fill="FEF2F2"/>
        <w:spacing w:before="60" w:beforeAutospacing="0" w:after="0" w:afterAutospacing="0" w:line="29" w:lineRule="atLeast"/>
        <w:ind w:left="0" w:right="0"/>
        <w:jc w:val="left"/>
        <w:rPr>
          <w:sz w:val="19"/>
          <w:szCs w:val="19"/>
        </w:rPr>
      </w:pPr>
      <w:r>
        <w:rPr>
          <w:rFonts w:ascii="宋体" w:hAnsi="宋体" w:eastAsia="宋体" w:cs="宋体"/>
          <w:b/>
          <w:bCs/>
          <w:color w:val="7F1D1D"/>
          <w:kern w:val="0"/>
          <w:sz w:val="19"/>
          <w:szCs w:val="19"/>
          <w:bdr w:val="none" w:color="auto" w:sz="0" w:space="0"/>
          <w:shd w:val="clear" w:fill="FEF2F2"/>
          <w:lang w:val="en-US" w:eastAsia="zh-CN" w:bidi="ar"/>
        </w:rPr>
        <w:t>下一轮复查程序：</w:t>
      </w:r>
      <w:r>
        <w:rPr>
          <w:rFonts w:ascii="宋体" w:hAnsi="宋体" w:eastAsia="宋体" w:cs="宋体"/>
          <w:kern w:val="0"/>
          <w:sz w:val="19"/>
          <w:szCs w:val="19"/>
          <w:bdr w:val="none" w:color="auto" w:sz="0" w:space="0"/>
          <w:shd w:val="clear" w:fill="FEF2F2"/>
          <w:lang w:val="en-US" w:eastAsia="zh-CN" w:bidi="ar"/>
        </w:rPr>
        <w:t>资料补齐后，检查人员将重新执行受影响的全部检查程序。本项完成标准为：资料能够覆盖本轮检查期间，来源、形成时间、原始版本和具体业务可以回查；补齐后重新运行受影响的全部检查程序。</w:t>
      </w:r>
    </w:p>
    <w:p w14:paraId="7F93E7B0">
      <w:pPr>
        <w:keepNext w:val="0"/>
        <w:keepLines w:val="0"/>
        <w:widowControl/>
        <w:suppressLineNumbers w:val="0"/>
        <w:pBdr>
          <w:top w:val="none" w:color="auto" w:sz="0" w:space="0"/>
          <w:left w:val="single" w:color="DC2626" w:sz="18" w:space="0"/>
          <w:bottom w:val="none" w:color="auto" w:sz="0" w:space="0"/>
          <w:right w:val="none" w:color="auto" w:sz="0" w:space="0"/>
        </w:pBdr>
        <w:shd w:val="clear" w:fill="FEF2F2"/>
        <w:spacing w:before="60" w:beforeAutospacing="0" w:after="0" w:afterAutospacing="0" w:line="29" w:lineRule="atLeast"/>
        <w:ind w:left="0" w:right="0"/>
        <w:jc w:val="left"/>
        <w:rPr>
          <w:color w:val="78716C"/>
          <w:sz w:val="18"/>
          <w:szCs w:val="18"/>
        </w:rPr>
      </w:pPr>
      <w:r>
        <w:rPr>
          <w:rFonts w:ascii="宋体" w:hAnsi="宋体" w:eastAsia="宋体" w:cs="宋体"/>
          <w:color w:val="78716C"/>
          <w:kern w:val="0"/>
          <w:sz w:val="18"/>
          <w:szCs w:val="18"/>
          <w:bdr w:val="none" w:color="auto" w:sz="0" w:space="0"/>
          <w:shd w:val="clear" w:fill="FEF2F2"/>
          <w:lang w:val="en-US" w:eastAsia="zh-CN" w:bidi="ar"/>
        </w:rPr>
        <w:t>（本项结论在资料补齐前不予认定；补齐后重新执行一键分析即完成本项核对。）</w:t>
      </w:r>
    </w:p>
    <w:p w14:paraId="3EF219A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90" w:afterAutospacing="0" w:line="29" w:lineRule="atLeast"/>
        <w:ind w:left="0" w:right="0"/>
        <w:jc w:val="left"/>
        <w:rPr>
          <w:b/>
          <w:bCs/>
          <w:color w:val="5B21B6"/>
          <w:sz w:val="20"/>
          <w:szCs w:val="20"/>
        </w:rPr>
      </w:pPr>
      <w:r>
        <w:rPr>
          <w:rFonts w:ascii="宋体" w:hAnsi="宋体" w:eastAsia="宋体" w:cs="宋体"/>
          <w:b/>
          <w:bCs/>
          <w:color w:val="5B21B6"/>
          <w:kern w:val="0"/>
          <w:sz w:val="20"/>
          <w:szCs w:val="20"/>
          <w:bdr w:val="none" w:color="auto" w:sz="0" w:space="0"/>
          <w:shd w:val="clear" w:fill="F5F3FF"/>
          <w:lang w:val="en-US" w:eastAsia="zh-CN" w:bidi="ar"/>
        </w:rPr>
        <w:t>本项可能错在哪里：自我反驳与验证清单</w:t>
      </w:r>
    </w:p>
    <w:p w14:paraId="66AC8E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5B21B6"/>
          <w:sz w:val="19"/>
          <w:szCs w:val="19"/>
        </w:rPr>
      </w:pPr>
      <w:r>
        <w:rPr>
          <w:rStyle w:val="8"/>
          <w:color w:val="5B21B6"/>
          <w:sz w:val="19"/>
          <w:szCs w:val="19"/>
          <w:bdr w:val="none" w:color="auto" w:sz="0" w:space="0"/>
          <w:shd w:val="clear" w:fill="F5F3FF"/>
        </w:rPr>
        <w:t>在验证前不能认定本项成立：本项的直接证据尚为「缺失」，属前置条件未满足。</w:t>
      </w:r>
    </w:p>
    <w:p w14:paraId="5A1B04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72" w:beforeAutospacing="0" w:after="120" w:afterAutospacing="0" w:line="28" w:lineRule="atLeast"/>
        <w:ind w:left="0" w:right="0"/>
        <w:jc w:val="both"/>
        <w:rPr>
          <w:color w:val="475569"/>
          <w:sz w:val="18"/>
          <w:szCs w:val="18"/>
        </w:rPr>
      </w:pPr>
      <w:r>
        <w:rPr>
          <w:color w:val="475569"/>
          <w:sz w:val="18"/>
          <w:szCs w:val="18"/>
          <w:bdr w:val="none" w:color="auto" w:sz="0" w:space="0"/>
          <w:shd w:val="clear" w:fill="F5F3FF"/>
        </w:rPr>
        <w:t>最强的反驳是：本项最关键的证据尚未取得——现在能说的只是「出现了需要核对的迹象」，而不是「已经发生」。</w:t>
      </w:r>
    </w:p>
    <w:p w14:paraId="5D729819">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2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一、本项结论依赖的关键信息（以及它可能不成立的地方）</w:t>
      </w:r>
    </w:p>
    <w:p w14:paraId="288B739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直接证据：股权转让协议、工商股权变更登记　</w:t>
      </w:r>
      <w:r>
        <w:rPr>
          <w:rFonts w:ascii="宋体" w:hAnsi="宋体" w:eastAsia="宋体" w:cs="宋体"/>
          <w:color w:val="64748B"/>
          <w:kern w:val="0"/>
          <w:sz w:val="18"/>
          <w:szCs w:val="18"/>
          <w:bdr w:val="none" w:color="auto" w:sz="0" w:space="0"/>
          <w:shd w:val="clear" w:fill="F5F3FF"/>
          <w:lang w:val="en-US" w:eastAsia="zh-CN" w:bidi="ar"/>
        </w:rPr>
        <w:t>现状：缺失；证明目的：证明自然人转让股权事实</w:t>
      </w:r>
    </w:p>
    <w:p w14:paraId="55BDCCD0">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「股权转让协议、工商股权变更登记」本轮未提供，是支撑链上最弱的一环；缺它就无法认定本项成立 —— 只能列为「资料未齐、不作认定」。</w:t>
      </w:r>
    </w:p>
    <w:p w14:paraId="58C06DCA">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「股权转让协议、工商股权变更登记」补齐后，若显示相关业务真实、口径一致 ⇒ 本项不成立（可自证清白）。</w:t>
      </w:r>
    </w:p>
    <w:p w14:paraId="06BD07C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1744742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166534"/>
          <w:kern w:val="0"/>
          <w:sz w:val="19"/>
          <w:szCs w:val="19"/>
          <w:bdr w:val="none" w:color="auto" w:sz="0" w:space="0"/>
          <w:shd w:val="clear" w:fill="F5F3FF"/>
          <w:lang w:val="en-US" w:eastAsia="zh-CN" w:bidi="ar"/>
        </w:rPr>
        <w:t>［强］</w:t>
      </w:r>
      <w:r>
        <w:rPr>
          <w:rFonts w:ascii="宋体" w:hAnsi="宋体" w:eastAsia="宋体" w:cs="宋体"/>
          <w:kern w:val="0"/>
          <w:sz w:val="19"/>
          <w:szCs w:val="19"/>
          <w:bdr w:val="none" w:color="auto" w:sz="0" w:space="0"/>
          <w:shd w:val="clear" w:fill="F5F3FF"/>
          <w:lang w:val="en-US" w:eastAsia="zh-CN" w:bidi="ar"/>
        </w:rPr>
        <w:t>直接证据：转让款收付银行流水　</w:t>
      </w:r>
      <w:r>
        <w:rPr>
          <w:rFonts w:ascii="宋体" w:hAnsi="宋体" w:eastAsia="宋体" w:cs="宋体"/>
          <w:color w:val="64748B"/>
          <w:kern w:val="0"/>
          <w:sz w:val="18"/>
          <w:szCs w:val="18"/>
          <w:bdr w:val="none" w:color="auto" w:sz="0" w:space="0"/>
          <w:shd w:val="clear" w:fill="F5F3FF"/>
          <w:lang w:val="en-US" w:eastAsia="zh-CN" w:bidi="ar"/>
        </w:rPr>
        <w:t>现状：已有；证明目的：证明实际转让价格与款项收付</w:t>
      </w:r>
    </w:p>
    <w:p w14:paraId="27E58E8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「转让款收付银行流水」本轮已提供，但是否覆盖本项要求的范围与口径尚未逐项确认；若其覆盖范围不足，「已提供」不等于「足以支撑本项」。</w:t>
      </w:r>
    </w:p>
    <w:p w14:paraId="0331E13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经核对，「转让款收付银行流水」确已覆盖本项要求的全部范围与口径 ⇒ 这一条的支撑成立（不推翻本项，但本项的可信度应据此上调）。</w:t>
      </w:r>
    </w:p>
    <w:p w14:paraId="6E1EE37B">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该资料是否覆盖本项要求的范围（如：是否含全部账户、是否逐笔到明细、是否含附表）</w:t>
      </w:r>
    </w:p>
    <w:p w14:paraId="698E25B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间接证据：被投资企业资产负债表（净资产）　</w:t>
      </w:r>
      <w:r>
        <w:rPr>
          <w:rFonts w:ascii="宋体" w:hAnsi="宋体" w:eastAsia="宋体" w:cs="宋体"/>
          <w:color w:val="64748B"/>
          <w:kern w:val="0"/>
          <w:sz w:val="18"/>
          <w:szCs w:val="18"/>
          <w:bdr w:val="none" w:color="auto" w:sz="0" w:space="0"/>
          <w:shd w:val="clear" w:fill="F5F3FF"/>
          <w:lang w:val="en-US" w:eastAsia="zh-CN" w:bidi="ar"/>
        </w:rPr>
        <w:t>现状：缺失；证明目的：证明转让价格是否明显偏低</w:t>
      </w:r>
    </w:p>
    <w:p w14:paraId="3F957A31">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情形与「股权转让协议、工商股权变更登记」相同（缺失）；不再重复同一段自我反驳。</w:t>
      </w:r>
    </w:p>
    <w:p w14:paraId="0890D944">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同上：该情形一旦核对通过，「被投资企业资产负债表（净资产）」这一条的支撑即成立。</w:t>
      </w:r>
    </w:p>
    <w:p w14:paraId="4315EE4E">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0BF7DE47">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反证：67号公告第十三条正当理由证明、完税凭证　</w:t>
      </w:r>
      <w:r>
        <w:rPr>
          <w:rFonts w:ascii="宋体" w:hAnsi="宋体" w:eastAsia="宋体" w:cs="宋体"/>
          <w:color w:val="64748B"/>
          <w:kern w:val="0"/>
          <w:sz w:val="18"/>
          <w:szCs w:val="18"/>
          <w:bdr w:val="none" w:color="auto" w:sz="0" w:space="0"/>
          <w:shd w:val="clear" w:fill="F5F3FF"/>
          <w:lang w:val="en-US" w:eastAsia="zh-CN" w:bidi="ar"/>
        </w:rPr>
        <w:t>现状：待企业提交；证明目的：低价转让具正当理由或已申报缴税，可排除触碰红线</w:t>
      </w:r>
    </w:p>
    <w:p w14:paraId="57F2D77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情形与「股权转让协议、工商股权变更登记」相同（待企业提交）；不再重复同一段自我反驳。</w:t>
      </w:r>
    </w:p>
    <w:p w14:paraId="5AFCBBE6">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同上：该情形一旦核对通过，「67号公告第十三条正当理由证明、完税凭证」这一条的支撑即成立。</w:t>
      </w:r>
    </w:p>
    <w:p w14:paraId="4B6E2A9C">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该证据本身（补齐后核对其内容与本项口径是否一致）</w:t>
      </w:r>
    </w:p>
    <w:p w14:paraId="5CB3AA2F">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90" w:beforeAutospacing="0" w:after="30" w:afterAutospacing="0" w:line="29" w:lineRule="atLeast"/>
        <w:ind w:left="0" w:right="0"/>
        <w:jc w:val="left"/>
        <w:rPr>
          <w:sz w:val="19"/>
          <w:szCs w:val="19"/>
        </w:rPr>
      </w:pPr>
      <w:r>
        <w:rPr>
          <w:rFonts w:ascii="宋体" w:hAnsi="宋体" w:eastAsia="宋体" w:cs="宋体"/>
          <w:b/>
          <w:bCs/>
          <w:color w:val="B91C1C"/>
          <w:kern w:val="0"/>
          <w:sz w:val="19"/>
          <w:szCs w:val="19"/>
          <w:bdr w:val="none" w:color="auto" w:sz="0" w:space="0"/>
          <w:shd w:val="clear" w:fill="F5F3FF"/>
          <w:lang w:val="en-US" w:eastAsia="zh-CN" w:bidi="ar"/>
        </w:rPr>
        <w:t>［弱］</w:t>
      </w:r>
      <w:r>
        <w:rPr>
          <w:rFonts w:ascii="宋体" w:hAnsi="宋体" w:eastAsia="宋体" w:cs="宋体"/>
          <w:kern w:val="0"/>
          <w:sz w:val="19"/>
          <w:szCs w:val="19"/>
          <w:bdr w:val="none" w:color="auto" w:sz="0" w:space="0"/>
          <w:shd w:val="clear" w:fill="F5F3FF"/>
          <w:lang w:val="en-US" w:eastAsia="zh-CN" w:bidi="ar"/>
        </w:rPr>
        <w:t>最薄弱环节（可信度分项）　</w:t>
      </w:r>
      <w:r>
        <w:rPr>
          <w:rFonts w:ascii="宋体" w:hAnsi="宋体" w:eastAsia="宋体" w:cs="宋体"/>
          <w:color w:val="64748B"/>
          <w:kern w:val="0"/>
          <w:sz w:val="18"/>
          <w:szCs w:val="18"/>
          <w:bdr w:val="none" w:color="auto" w:sz="0" w:space="0"/>
          <w:shd w:val="clear" w:fill="F5F3FF"/>
          <w:lang w:val="en-US" w:eastAsia="zh-CN" w:bidi="ar"/>
        </w:rPr>
        <w:t>反证已提交比例（反向计分）（取值 0.0）</w:t>
      </w:r>
    </w:p>
    <w:p w14:paraId="6A0A3AB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92400E"/>
          <w:kern w:val="0"/>
          <w:sz w:val="18"/>
          <w:szCs w:val="18"/>
          <w:bdr w:val="none" w:color="auto" w:sz="0" w:space="0"/>
          <w:shd w:val="clear" w:fill="F5F3FF"/>
          <w:lang w:val="en-US" w:eastAsia="zh-CN" w:bidi="ar"/>
        </w:rPr>
        <w:t>可能不成立之处：</w:t>
      </w:r>
      <w:r>
        <w:rPr>
          <w:rFonts w:ascii="宋体" w:hAnsi="宋体" w:eastAsia="宋体" w:cs="宋体"/>
          <w:color w:val="475569"/>
          <w:kern w:val="0"/>
          <w:sz w:val="18"/>
          <w:szCs w:val="18"/>
          <w:bdr w:val="none" w:color="auto" w:sz="0" w:space="0"/>
          <w:shd w:val="clear" w:fill="F5F3FF"/>
          <w:lang w:val="en-US" w:eastAsia="zh-CN" w:bidi="ar"/>
        </w:rPr>
        <w:t>本项可信度的分项计算中，这一项取值最低 ⇒ 它是决定本项可信度上限的环节；只提高其他环节不改变结论。</w:t>
      </w:r>
    </w:p>
    <w:p w14:paraId="2B3CDD85">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什么情况下不成立：</w:t>
      </w:r>
      <w:r>
        <w:rPr>
          <w:rFonts w:ascii="宋体" w:hAnsi="宋体" w:eastAsia="宋体" w:cs="宋体"/>
          <w:color w:val="475569"/>
          <w:kern w:val="0"/>
          <w:sz w:val="18"/>
          <w:szCs w:val="18"/>
          <w:bdr w:val="none" w:color="auto" w:sz="0" w:space="0"/>
          <w:shd w:val="clear" w:fill="F5F3FF"/>
          <w:lang w:val="en-US" w:eastAsia="zh-CN" w:bidi="ar"/>
        </w:rPr>
        <w:t>把这一项补足（例如材料齐全程度、环节数据完整度）后重新计算可信度即可验证。</w:t>
      </w:r>
    </w:p>
    <w:p w14:paraId="3DD4F7DD">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0" w:beforeAutospacing="0" w:after="0" w:afterAutospacing="0" w:line="29" w:lineRule="atLeast"/>
        <w:ind w:left="210" w:right="0"/>
        <w:jc w:val="left"/>
        <w:rPr>
          <w:color w:val="475569"/>
          <w:sz w:val="18"/>
          <w:szCs w:val="18"/>
        </w:rPr>
      </w:pPr>
      <w:r>
        <w:rPr>
          <w:rFonts w:ascii="宋体" w:hAnsi="宋体" w:eastAsia="宋体" w:cs="宋体"/>
          <w:color w:val="0F766E"/>
          <w:kern w:val="0"/>
          <w:sz w:val="18"/>
          <w:szCs w:val="18"/>
          <w:bdr w:val="none" w:color="auto" w:sz="0" w:space="0"/>
          <w:shd w:val="clear" w:fill="F5F3FF"/>
          <w:lang w:val="en-US" w:eastAsia="zh-CN" w:bidi="ar"/>
        </w:rPr>
        <w:t>要核对什么：</w:t>
      </w:r>
      <w:r>
        <w:rPr>
          <w:rFonts w:ascii="宋体" w:hAnsi="宋体" w:eastAsia="宋体" w:cs="宋体"/>
          <w:color w:val="475569"/>
          <w:kern w:val="0"/>
          <w:sz w:val="18"/>
          <w:szCs w:val="18"/>
          <w:bdr w:val="none" w:color="auto" w:sz="0" w:space="0"/>
          <w:shd w:val="clear" w:fill="F5F3FF"/>
          <w:lang w:val="en-US" w:eastAsia="zh-CN" w:bidi="ar"/>
        </w:rPr>
        <w:t>提升该分项所缺的输入（见本项「需补充资料」）</w:t>
      </w:r>
    </w:p>
    <w:p w14:paraId="7E0AEBC8">
      <w:pPr>
        <w:keepNext w:val="0"/>
        <w:keepLines w:val="0"/>
        <w:widowControl/>
        <w:suppressLineNumbers w:val="0"/>
        <w:pBdr>
          <w:top w:val="none" w:color="auto" w:sz="0" w:space="0"/>
          <w:left w:val="single" w:color="6D28D9" w:sz="18" w:space="0"/>
          <w:bottom w:val="none" w:color="auto" w:sz="0" w:space="0"/>
          <w:right w:val="none" w:color="auto" w:sz="0" w:space="0"/>
        </w:pBdr>
        <w:shd w:val="clear" w:fill="F5F3FF"/>
        <w:spacing w:before="150" w:beforeAutospacing="0" w:after="0" w:afterAutospacing="0" w:line="29" w:lineRule="atLeast"/>
        <w:ind w:left="0" w:right="0"/>
        <w:jc w:val="left"/>
        <w:rPr>
          <w:b/>
          <w:bCs/>
          <w:color w:val="5B21B6"/>
          <w:sz w:val="19"/>
          <w:szCs w:val="19"/>
        </w:rPr>
      </w:pPr>
      <w:r>
        <w:rPr>
          <w:rFonts w:ascii="宋体" w:hAnsi="宋体" w:eastAsia="宋体" w:cs="宋体"/>
          <w:b/>
          <w:bCs/>
          <w:color w:val="5B21B6"/>
          <w:kern w:val="0"/>
          <w:sz w:val="19"/>
          <w:szCs w:val="19"/>
          <w:bdr w:val="none" w:color="auto" w:sz="0" w:space="0"/>
          <w:shd w:val="clear" w:fill="F5F3FF"/>
          <w:lang w:val="en-US" w:eastAsia="zh-CN" w:bidi="ar"/>
        </w:rPr>
        <w:t>二、请提供以下资料，用来验证或推翻本项</w:t>
      </w:r>
    </w:p>
    <w:p w14:paraId="4E207B63">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1. 股权转让协议、工商股权变更登记</w:t>
      </w:r>
    </w:p>
    <w:p w14:paraId="7B9C81F9">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44B15EEE">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13A3583E">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2. 被投资企业资产负债表（净资产）</w:t>
      </w:r>
    </w:p>
    <w:p w14:paraId="46BA6198">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6CB2BA72">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6935E67A">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b/>
          <w:bCs/>
          <w:sz w:val="18"/>
          <w:szCs w:val="18"/>
        </w:rPr>
      </w:pPr>
      <w:r>
        <w:rPr>
          <w:rFonts w:ascii="宋体" w:hAnsi="宋体" w:eastAsia="宋体" w:cs="宋体"/>
          <w:b/>
          <w:bCs/>
          <w:kern w:val="0"/>
          <w:sz w:val="18"/>
          <w:szCs w:val="18"/>
          <w:bdr w:val="none" w:color="auto" w:sz="0" w:space="0"/>
          <w:shd w:val="clear" w:fill="FFFFFF"/>
          <w:lang w:val="en-US" w:eastAsia="zh-CN" w:bidi="ar"/>
        </w:rPr>
        <w:t>3. 67号公告第十三条正当理由证明、完税凭证</w:t>
      </w:r>
    </w:p>
    <w:p w14:paraId="28C7B1FA">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3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看什么：该证据本身（补齐后核对其内容与本项口径是否一致）</w:t>
      </w:r>
    </w:p>
    <w:p w14:paraId="21EA65A7">
      <w:pPr>
        <w:keepNext w:val="0"/>
        <w:keepLines w:val="0"/>
        <w:widowControl/>
        <w:suppressLineNumbers w:val="0"/>
        <w:pBdr>
          <w:top w:val="single" w:color="DDD6FE" w:sz="6" w:space="0"/>
          <w:left w:val="single" w:color="DDD6FE" w:sz="6" w:space="0"/>
          <w:bottom w:val="single" w:color="DDD6FE" w:sz="6" w:space="0"/>
          <w:right w:val="single" w:color="DDD6FE" w:sz="6" w:space="0"/>
        </w:pBdr>
        <w:shd w:val="clear" w:fill="FFFFFF"/>
        <w:spacing w:before="0" w:beforeAutospacing="0" w:after="0" w:afterAutospacing="0" w:line="29" w:lineRule="atLeast"/>
        <w:ind w:left="0" w:right="0"/>
        <w:jc w:val="left"/>
        <w:rPr>
          <w:color w:val="475569"/>
          <w:sz w:val="18"/>
          <w:szCs w:val="18"/>
        </w:rPr>
      </w:pPr>
      <w:r>
        <w:rPr>
          <w:rFonts w:ascii="宋体" w:hAnsi="宋体" w:eastAsia="宋体" w:cs="宋体"/>
          <w:color w:val="475569"/>
          <w:kern w:val="0"/>
          <w:sz w:val="18"/>
          <w:szCs w:val="18"/>
          <w:bdr w:val="none" w:color="auto" w:sz="0" w:space="0"/>
          <w:shd w:val="clear" w:fill="FFFFFF"/>
          <w:lang w:val="en-US" w:eastAsia="zh-CN" w:bidi="ar"/>
        </w:rPr>
        <w:t>推翻条件：该证据补齐后，若显示相关业务真实、口径一致 ⇒ 本项不成立（可自证清白）。</w:t>
      </w:r>
    </w:p>
    <w:p w14:paraId="612701F3">
      <w:pPr>
        <w:pStyle w:val="3"/>
        <w:keepNext w:val="0"/>
        <w:keepLines w:val="0"/>
        <w:widowControl/>
        <w:suppressLineNumbers w:val="0"/>
        <w:pBdr>
          <w:top w:val="none" w:color="auto" w:sz="0" w:space="0"/>
          <w:left w:val="none" w:color="auto" w:sz="0" w:space="0"/>
          <w:bottom w:val="single" w:color="1A1A2E" w:sz="12" w:space="6"/>
          <w:right w:val="none" w:color="auto" w:sz="0" w:space="0"/>
        </w:pBdr>
        <w:shd w:val="clear" w:fill="FFFFFF"/>
        <w:spacing w:before="480" w:beforeAutospacing="0" w:after="240" w:afterAutospacing="0"/>
        <w:ind w:left="0" w:right="0" w:firstLine="0"/>
        <w:jc w:val="left"/>
        <w:rPr>
          <w:rFonts w:hint="eastAsia" w:ascii="微软雅黑" w:hAnsi="微软雅黑" w:eastAsia="微软雅黑" w:cs="微软雅黑"/>
          <w:b/>
          <w:bCs/>
          <w:i w:val="0"/>
          <w:iCs w:val="0"/>
          <w:caps w:val="0"/>
          <w:color w:val="1A1A2E"/>
          <w:spacing w:val="30"/>
          <w:sz w:val="25"/>
          <w:szCs w:val="25"/>
        </w:rPr>
      </w:pPr>
      <w:r>
        <w:rPr>
          <w:rFonts w:hint="eastAsia" w:ascii="微软雅黑" w:hAnsi="微软雅黑" w:eastAsia="微软雅黑" w:cs="微软雅黑"/>
          <w:b/>
          <w:bCs/>
          <w:i w:val="0"/>
          <w:iCs w:val="0"/>
          <w:caps w:val="0"/>
          <w:color w:val="1A1A2E"/>
          <w:spacing w:val="30"/>
          <w:sz w:val="25"/>
          <w:szCs w:val="25"/>
          <w:bdr w:val="none" w:color="auto" w:sz="0" w:space="0"/>
          <w:shd w:val="clear" w:fill="FFFFFF"/>
        </w:rPr>
        <w:t>三、本报告的覆盖范围声明</w:t>
      </w:r>
    </w:p>
    <w:p w14:paraId="748EA16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0"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本报告的结论</w:t>
      </w: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仅基于企业本轮已上传的资料</w:t>
      </w:r>
      <w:r>
        <w:rPr>
          <w:rFonts w:hint="eastAsia" w:ascii="微软雅黑" w:hAnsi="微软雅黑" w:eastAsia="微软雅黑" w:cs="微软雅黑"/>
          <w:i w:val="0"/>
          <w:iCs w:val="0"/>
          <w:caps w:val="0"/>
          <w:color w:val="1A1A2E"/>
          <w:spacing w:val="0"/>
          <w:sz w:val="21"/>
          <w:szCs w:val="21"/>
          <w:bdr w:val="none" w:color="auto" w:sz="0" w:space="0"/>
          <w:shd w:val="clear" w:fill="FFFFFF"/>
        </w:rPr>
        <w:t>，未接入外部数据源（工商、司法、第三方支付等）。因此</w:t>
      </w: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账外经营、私户收款、两套账、未申报的隐性收入</w:t>
      </w:r>
      <w:r>
        <w:rPr>
          <w:rFonts w:hint="eastAsia" w:ascii="微软雅黑" w:hAnsi="微软雅黑" w:eastAsia="微软雅黑" w:cs="微软雅黑"/>
          <w:i w:val="0"/>
          <w:iCs w:val="0"/>
          <w:caps w:val="0"/>
          <w:color w:val="1A1A2E"/>
          <w:spacing w:val="0"/>
          <w:sz w:val="21"/>
          <w:szCs w:val="21"/>
          <w:bdr w:val="none" w:color="auto" w:sz="0" w:space="0"/>
          <w:shd w:val="clear" w:fill="FFFFFF"/>
        </w:rPr>
        <w:t>等不体现在已上传资料中的风险方向，</w:t>
      </w: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不在本报告的覆盖范围内</w:t>
      </w:r>
      <w:r>
        <w:rPr>
          <w:rFonts w:hint="eastAsia" w:ascii="微软雅黑" w:hAnsi="微软雅黑" w:eastAsia="微软雅黑" w:cs="微软雅黑"/>
          <w:i w:val="0"/>
          <w:iCs w:val="0"/>
          <w:caps w:val="0"/>
          <w:color w:val="1A1A2E"/>
          <w:spacing w:val="0"/>
          <w:sz w:val="21"/>
          <w:szCs w:val="21"/>
          <w:bdr w:val="none" w:color="auto" w:sz="0" w:space="0"/>
          <w:shd w:val="clear" w:fill="FFFFFF"/>
        </w:rPr>
        <w:t>，亦不因本报告未列出而视为不存在；此类方向须由风险检查员结合外部数据与下户取证另行核实。</w:t>
      </w:r>
    </w:p>
    <w:p w14:paraId="2778A1C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Fonts w:hint="eastAsia" w:ascii="微软雅黑" w:hAnsi="微软雅黑" w:eastAsia="微软雅黑" w:cs="微软雅黑"/>
          <w:i w:val="0"/>
          <w:iCs w:val="0"/>
          <w:caps w:val="0"/>
          <w:color w:val="1A1A2E"/>
          <w:spacing w:val="0"/>
          <w:sz w:val="21"/>
          <w:szCs w:val="21"/>
          <w:bdr w:val="none" w:color="auto" w:sz="0" w:space="0"/>
          <w:shd w:val="clear" w:fill="FFFFFF"/>
        </w:rPr>
        <w:t>本报告所列事项的定性权在风险检查员；系统结论不得替代法定程序认定。</w:t>
      </w:r>
    </w:p>
    <w:p w14:paraId="71349C1D">
      <w:pPr>
        <w:pStyle w:val="3"/>
        <w:keepNext w:val="0"/>
        <w:keepLines w:val="0"/>
        <w:widowControl/>
        <w:suppressLineNumbers w:val="0"/>
        <w:pBdr>
          <w:top w:val="none" w:color="auto" w:sz="0" w:space="0"/>
          <w:left w:val="none" w:color="auto" w:sz="0" w:space="0"/>
          <w:bottom w:val="single" w:color="1A1A2E" w:sz="12" w:space="6"/>
          <w:right w:val="none" w:color="auto" w:sz="0" w:space="0"/>
        </w:pBdr>
        <w:shd w:val="clear" w:fill="FFFFFF"/>
        <w:spacing w:before="480" w:beforeAutospacing="0" w:after="240" w:afterAutospacing="0"/>
        <w:ind w:left="0" w:right="0" w:firstLine="0"/>
        <w:jc w:val="left"/>
        <w:rPr>
          <w:rFonts w:hint="eastAsia" w:ascii="微软雅黑" w:hAnsi="微软雅黑" w:eastAsia="微软雅黑" w:cs="微软雅黑"/>
          <w:b/>
          <w:bCs/>
          <w:i w:val="0"/>
          <w:iCs w:val="0"/>
          <w:caps w:val="0"/>
          <w:color w:val="1A1A2E"/>
          <w:spacing w:val="30"/>
          <w:sz w:val="25"/>
          <w:szCs w:val="25"/>
        </w:rPr>
      </w:pPr>
      <w:r>
        <w:rPr>
          <w:rFonts w:hint="eastAsia" w:ascii="微软雅黑" w:hAnsi="微软雅黑" w:eastAsia="微软雅黑" w:cs="微软雅黑"/>
          <w:b/>
          <w:bCs/>
          <w:i w:val="0"/>
          <w:iCs w:val="0"/>
          <w:caps w:val="0"/>
          <w:color w:val="1A1A2E"/>
          <w:spacing w:val="30"/>
          <w:sz w:val="25"/>
          <w:szCs w:val="25"/>
          <w:bdr w:val="none" w:color="auto" w:sz="0" w:space="0"/>
          <w:shd w:val="clear" w:fill="FFFFFF"/>
        </w:rPr>
        <w:t>四、整改验收与下一轮复查标准</w:t>
      </w:r>
    </w:p>
    <w:p w14:paraId="7E66739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0"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办理要求：</w:t>
      </w:r>
      <w:r>
        <w:rPr>
          <w:rFonts w:hint="eastAsia" w:ascii="微软雅黑" w:hAnsi="微软雅黑" w:eastAsia="微软雅黑" w:cs="微软雅黑"/>
          <w:i w:val="0"/>
          <w:iCs w:val="0"/>
          <w:caps w:val="0"/>
          <w:color w:val="1A1A2E"/>
          <w:spacing w:val="0"/>
          <w:sz w:val="21"/>
          <w:szCs w:val="21"/>
          <w:bdr w:val="none" w:color="auto" w:sz="0" w:space="0"/>
          <w:shd w:val="clear" w:fill="FFFFFF"/>
        </w:rPr>
        <w:t>所有处理必须建立在真实业务和原始资料基础上，不要为了让系统不再提示而作没有事实依据的调账或申报。</w:t>
      </w:r>
    </w:p>
    <w:p w14:paraId="526F0C31">
      <w:pPr>
        <w:pStyle w:val="5"/>
        <w:keepNext w:val="0"/>
        <w:keepLines w:val="0"/>
        <w:widowControl/>
        <w:suppressLineNumbers w:val="0"/>
        <w:pBdr>
          <w:top w:val="none" w:color="auto" w:sz="0" w:space="0"/>
          <w:left w:val="single" w:color="94A3B8" w:sz="18" w:space="9"/>
          <w:bottom w:val="none" w:color="auto" w:sz="0" w:space="0"/>
          <w:right w:val="none" w:color="auto" w:sz="0" w:space="0"/>
        </w:pBdr>
        <w:shd w:val="clear" w:fill="F8FAFC"/>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475569"/>
          <w:spacing w:val="0"/>
          <w:sz w:val="18"/>
          <w:szCs w:val="18"/>
        </w:rPr>
      </w:pPr>
      <w:r>
        <w:rPr>
          <w:rFonts w:hint="eastAsia" w:ascii="微软雅黑" w:hAnsi="微软雅黑" w:eastAsia="微软雅黑" w:cs="微软雅黑"/>
          <w:i w:val="0"/>
          <w:iCs w:val="0"/>
          <w:caps w:val="0"/>
          <w:color w:val="475569"/>
          <w:spacing w:val="0"/>
          <w:sz w:val="18"/>
          <w:szCs w:val="18"/>
          <w:bdr w:val="none" w:color="auto" w:sz="0" w:space="0"/>
          <w:shd w:val="clear" w:fill="F8FAFC"/>
        </w:rPr>
        <w:t>通用要求：处理过程能够回查，更正后的数据能与账务、申报资料相互核对一致。</w:t>
      </w:r>
    </w:p>
    <w:p w14:paraId="0BA4034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0"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什么时候重新检查：</w:t>
      </w:r>
      <w:r>
        <w:rPr>
          <w:rFonts w:hint="eastAsia" w:ascii="微软雅黑" w:hAnsi="微软雅黑" w:eastAsia="微软雅黑" w:cs="微软雅黑"/>
          <w:i w:val="0"/>
          <w:iCs w:val="0"/>
          <w:caps w:val="0"/>
          <w:color w:val="1A1A2E"/>
          <w:spacing w:val="0"/>
          <w:sz w:val="21"/>
          <w:szCs w:val="21"/>
          <w:bdr w:val="none" w:color="auto" w:sz="0" w:space="0"/>
          <w:shd w:val="clear" w:fill="FFFFFF"/>
        </w:rPr>
        <w:t>完成真实整改或补充资料后，即重新检查。</w:t>
      </w:r>
    </w:p>
    <w:p w14:paraId="2346A78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0"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重新检查什么：</w:t>
      </w:r>
      <w:r>
        <w:rPr>
          <w:rFonts w:hint="eastAsia" w:ascii="微软雅黑" w:hAnsi="微软雅黑" w:eastAsia="微软雅黑" w:cs="微软雅黑"/>
          <w:i w:val="0"/>
          <w:iCs w:val="0"/>
          <w:caps w:val="0"/>
          <w:color w:val="1A1A2E"/>
          <w:spacing w:val="0"/>
          <w:sz w:val="21"/>
          <w:szCs w:val="21"/>
          <w:bdr w:val="none" w:color="auto" w:sz="0" w:space="0"/>
          <w:shd w:val="clear" w:fill="FFFFFF"/>
        </w:rPr>
        <w:t>复查本轮问题是否处理完成，检查补充资料是否带出新的关联事项，并对照前后两轮的变化。</w:t>
      </w:r>
    </w:p>
    <w:p w14:paraId="6715FC3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0"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怎样判断企业正在趋于合规：</w:t>
      </w:r>
      <w:r>
        <w:rPr>
          <w:rFonts w:hint="eastAsia" w:ascii="微软雅黑" w:hAnsi="微软雅黑" w:eastAsia="微软雅黑" w:cs="微软雅黑"/>
          <w:i w:val="0"/>
          <w:iCs w:val="0"/>
          <w:caps w:val="0"/>
          <w:color w:val="1A1A2E"/>
          <w:spacing w:val="0"/>
          <w:sz w:val="21"/>
          <w:szCs w:val="21"/>
          <w:bdr w:val="none" w:color="auto" w:sz="0" w:space="0"/>
          <w:shd w:val="clear" w:fill="FFFFFF"/>
        </w:rPr>
        <w:t>问题逐项处理、资料逐步完整、账务与申报能够相互核对；不能以问题数量归零或分数下降单独判断。</w:t>
      </w:r>
    </w:p>
    <w:p w14:paraId="3BC1FC54">
      <w:pPr>
        <w:pStyle w:val="3"/>
        <w:keepNext w:val="0"/>
        <w:keepLines w:val="0"/>
        <w:widowControl/>
        <w:suppressLineNumbers w:val="0"/>
        <w:pBdr>
          <w:top w:val="none" w:color="auto" w:sz="0" w:space="0"/>
          <w:left w:val="none" w:color="auto" w:sz="0" w:space="0"/>
          <w:bottom w:val="single" w:color="1A1A2E" w:sz="12" w:space="6"/>
          <w:right w:val="none" w:color="auto" w:sz="0" w:space="0"/>
        </w:pBdr>
        <w:shd w:val="clear" w:fill="FFFFFF"/>
        <w:spacing w:before="480" w:beforeAutospacing="0" w:after="240" w:afterAutospacing="0"/>
        <w:ind w:left="0" w:right="0" w:firstLine="0"/>
        <w:jc w:val="left"/>
        <w:rPr>
          <w:rFonts w:hint="eastAsia" w:ascii="微软雅黑" w:hAnsi="微软雅黑" w:eastAsia="微软雅黑" w:cs="微软雅黑"/>
          <w:b/>
          <w:bCs/>
          <w:i w:val="0"/>
          <w:iCs w:val="0"/>
          <w:caps w:val="0"/>
          <w:color w:val="1A1A2E"/>
          <w:spacing w:val="30"/>
          <w:sz w:val="25"/>
          <w:szCs w:val="25"/>
        </w:rPr>
      </w:pPr>
      <w:r>
        <w:rPr>
          <w:rFonts w:hint="eastAsia" w:ascii="微软雅黑" w:hAnsi="微软雅黑" w:eastAsia="微软雅黑" w:cs="微软雅黑"/>
          <w:b/>
          <w:bCs/>
          <w:i w:val="0"/>
          <w:iCs w:val="0"/>
          <w:caps w:val="0"/>
          <w:color w:val="1A1A2E"/>
          <w:spacing w:val="30"/>
          <w:sz w:val="25"/>
          <w:szCs w:val="25"/>
          <w:bdr w:val="none" w:color="auto" w:sz="0" w:space="0"/>
          <w:shd w:val="clear" w:fill="FFFFFF"/>
        </w:rPr>
        <w:t>五、报告性质和使用说明</w:t>
      </w:r>
    </w:p>
    <w:p w14:paraId="0943877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文书性质说明。</w:t>
      </w:r>
      <w:r>
        <w:rPr>
          <w:rFonts w:hint="eastAsia" w:ascii="微软雅黑" w:hAnsi="微软雅黑" w:eastAsia="微软雅黑" w:cs="微软雅黑"/>
          <w:i w:val="0"/>
          <w:iCs w:val="0"/>
          <w:caps w:val="0"/>
          <w:color w:val="1A1A2E"/>
          <w:spacing w:val="0"/>
          <w:sz w:val="21"/>
          <w:szCs w:val="21"/>
          <w:bdr w:val="none" w:color="auto" w:sz="0" w:space="0"/>
          <w:shd w:val="clear" w:fill="FFFFFF"/>
        </w:rPr>
        <w:t>本报告不具有税务机关行政执法文书的效力；税务机关的实际检查结论以依法送达的正式文书为准。</w:t>
      </w:r>
    </w:p>
    <w:p w14:paraId="2F593C0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说明1。</w:t>
      </w:r>
      <w:r>
        <w:rPr>
          <w:rFonts w:hint="eastAsia" w:ascii="微软雅黑" w:hAnsi="微软雅黑" w:eastAsia="微软雅黑" w:cs="微软雅黑"/>
          <w:i w:val="0"/>
          <w:iCs w:val="0"/>
          <w:caps w:val="0"/>
          <w:color w:val="1A1A2E"/>
          <w:spacing w:val="0"/>
          <w:sz w:val="21"/>
          <w:szCs w:val="21"/>
          <w:bdr w:val="none" w:color="auto" w:sz="0" w:space="0"/>
          <w:shd w:val="clear" w:fill="FFFFFF"/>
        </w:rPr>
        <w:t>整改过程中不得倒签、补造、篡改、删除或隐匿资料。</w:t>
      </w:r>
    </w:p>
    <w:p w14:paraId="5CF9FC7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说明2。</w:t>
      </w:r>
      <w:r>
        <w:rPr>
          <w:rFonts w:hint="eastAsia" w:ascii="微软雅黑" w:hAnsi="微软雅黑" w:eastAsia="微软雅黑" w:cs="微软雅黑"/>
          <w:i w:val="0"/>
          <w:iCs w:val="0"/>
          <w:caps w:val="0"/>
          <w:color w:val="1A1A2E"/>
          <w:spacing w:val="0"/>
          <w:sz w:val="21"/>
          <w:szCs w:val="21"/>
          <w:bdr w:val="none" w:color="auto" w:sz="0" w:space="0"/>
          <w:shd w:val="clear" w:fill="FFFFFF"/>
        </w:rPr>
        <w:t>要把这一项查清楚，需要：</w:t>
      </w:r>
    </w:p>
    <w:p w14:paraId="671944D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说明3。</w:t>
      </w:r>
      <w:r>
        <w:rPr>
          <w:rFonts w:hint="eastAsia" w:ascii="微软雅黑" w:hAnsi="微软雅黑" w:eastAsia="微软雅黑" w:cs="微软雅黑"/>
          <w:i w:val="0"/>
          <w:iCs w:val="0"/>
          <w:caps w:val="0"/>
          <w:color w:val="1A1A2E"/>
          <w:spacing w:val="0"/>
          <w:sz w:val="21"/>
          <w:szCs w:val="21"/>
          <w:bdr w:val="none" w:color="auto" w:sz="0" w:space="0"/>
          <w:shd w:val="clear" w:fill="FFFFFF"/>
        </w:rPr>
        <w:t>如企业未补充上述资料、也未对相关情况作出合理解释，本项风险方向无法排除，可能影响相应期间的申报处理口径；具体后果须依据适用期间、完整事实、证据和法定程序，由有权人员复核后认定。</w:t>
      </w:r>
    </w:p>
    <w:p w14:paraId="600358F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说明4。</w:t>
      </w:r>
      <w:r>
        <w:rPr>
          <w:rFonts w:hint="eastAsia" w:ascii="微软雅黑" w:hAnsi="微软雅黑" w:eastAsia="微软雅黑" w:cs="微软雅黑"/>
          <w:i w:val="0"/>
          <w:iCs w:val="0"/>
          <w:caps w:val="0"/>
          <w:color w:val="1A1A2E"/>
          <w:spacing w:val="0"/>
          <w:sz w:val="21"/>
          <w:szCs w:val="21"/>
          <w:bdr w:val="none" w:color="auto" w:sz="0" w:space="0"/>
          <w:shd w:val="clear" w:fill="FFFFFF"/>
        </w:rPr>
        <w:t>支撑材料严重不足，核心材料缺失，企业尚未提交正当理由的书面证明，现有资料不足以排除本项涉嫌风险。</w:t>
      </w:r>
    </w:p>
    <w:p w14:paraId="4915E28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8" w:lineRule="atLeast"/>
        <w:ind w:left="0" w:right="0" w:firstLine="420"/>
        <w:jc w:val="both"/>
        <w:rPr>
          <w:rFonts w:hint="eastAsia" w:ascii="微软雅黑" w:hAnsi="微软雅黑" w:eastAsia="微软雅黑" w:cs="微软雅黑"/>
          <w:i w:val="0"/>
          <w:iCs w:val="0"/>
          <w:caps w:val="0"/>
          <w:color w:val="1A1A2E"/>
          <w:spacing w:val="0"/>
          <w:sz w:val="21"/>
          <w:szCs w:val="21"/>
        </w:rPr>
      </w:pPr>
      <w:r>
        <w:rPr>
          <w:rStyle w:val="8"/>
          <w:rFonts w:hint="eastAsia" w:ascii="微软雅黑" w:hAnsi="微软雅黑" w:eastAsia="微软雅黑" w:cs="微软雅黑"/>
          <w:i w:val="0"/>
          <w:iCs w:val="0"/>
          <w:caps w:val="0"/>
          <w:color w:val="1A1A2E"/>
          <w:spacing w:val="0"/>
          <w:sz w:val="21"/>
          <w:szCs w:val="21"/>
          <w:bdr w:val="none" w:color="auto" w:sz="0" w:space="0"/>
          <w:shd w:val="clear" w:fill="FFFFFF"/>
        </w:rPr>
        <w:t>说明5。</w:t>
      </w:r>
      <w:r>
        <w:rPr>
          <w:rFonts w:hint="eastAsia" w:ascii="微软雅黑" w:hAnsi="微软雅黑" w:eastAsia="微软雅黑" w:cs="微软雅黑"/>
          <w:i w:val="0"/>
          <w:iCs w:val="0"/>
          <w:caps w:val="0"/>
          <w:color w:val="1A1A2E"/>
          <w:spacing w:val="0"/>
          <w:sz w:val="21"/>
          <w:szCs w:val="21"/>
          <w:bdr w:val="none" w:color="auto" w:sz="0" w:space="0"/>
          <w:shd w:val="clear" w:fill="FFFFFF"/>
        </w:rPr>
        <w:t>本报告不作定性，在补充资料核实之前既不认定违法，也不予排除。</w:t>
      </w:r>
    </w:p>
    <w:p w14:paraId="7473E1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70" w:beforeAutospacing="0" w:after="120" w:afterAutospacing="0" w:line="28" w:lineRule="atLeast"/>
        <w:ind w:left="0" w:right="0"/>
        <w:jc w:val="both"/>
        <w:rPr>
          <w:color w:val="1A1A2E"/>
        </w:rPr>
      </w:pPr>
      <w:r>
        <w:rPr>
          <w:rFonts w:hint="eastAsia" w:ascii="微软雅黑" w:hAnsi="微软雅黑" w:eastAsia="微软雅黑" w:cs="微软雅黑"/>
          <w:i w:val="0"/>
          <w:iCs w:val="0"/>
          <w:caps w:val="0"/>
          <w:color w:val="1A1A2E"/>
          <w:spacing w:val="0"/>
          <w:sz w:val="19"/>
          <w:szCs w:val="19"/>
          <w:bdr w:val="none" w:color="auto" w:sz="0" w:space="0"/>
          <w:shd w:val="clear" w:fill="FFFFFF"/>
        </w:rPr>
        <w:t>风险检查报告编制人：_______________　日期：_______________</w:t>
      </w:r>
    </w:p>
    <w:p w14:paraId="225304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70" w:beforeAutospacing="0" w:after="120" w:afterAutospacing="0" w:line="28" w:lineRule="atLeast"/>
        <w:ind w:left="0" w:right="0"/>
        <w:jc w:val="both"/>
        <w:rPr>
          <w:color w:val="1A1A2E"/>
        </w:rPr>
      </w:pPr>
      <w:r>
        <w:rPr>
          <w:rFonts w:hint="eastAsia" w:ascii="微软雅黑" w:hAnsi="微软雅黑" w:eastAsia="微软雅黑" w:cs="微软雅黑"/>
          <w:i w:val="0"/>
          <w:iCs w:val="0"/>
          <w:caps w:val="0"/>
          <w:color w:val="1A1A2E"/>
          <w:spacing w:val="0"/>
          <w:sz w:val="19"/>
          <w:szCs w:val="19"/>
          <w:bdr w:val="none" w:color="auto" w:sz="0" w:space="0"/>
          <w:shd w:val="clear" w:fill="FFFFFF"/>
        </w:rPr>
        <w:t>被检查企业负责人签收：_______________　日期：_______________</w:t>
      </w:r>
    </w:p>
    <w:p w14:paraId="7AEEBE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70" w:beforeAutospacing="0" w:after="120" w:afterAutospacing="0" w:line="28" w:lineRule="atLeast"/>
        <w:ind w:left="0" w:right="0"/>
        <w:jc w:val="both"/>
        <w:rPr>
          <w:color w:val="1A1A2E"/>
        </w:rPr>
      </w:pPr>
      <w:r>
        <w:rPr>
          <w:rFonts w:hint="eastAsia" w:ascii="微软雅黑" w:hAnsi="微软雅黑" w:eastAsia="微软雅黑" w:cs="微软雅黑"/>
          <w:i w:val="0"/>
          <w:iCs w:val="0"/>
          <w:caps w:val="0"/>
          <w:color w:val="1A1A2E"/>
          <w:spacing w:val="0"/>
          <w:sz w:val="19"/>
          <w:szCs w:val="19"/>
          <w:bdr w:val="none" w:color="auto" w:sz="0" w:space="0"/>
          <w:shd w:val="clear" w:fill="FFFFFF"/>
        </w:rPr>
        <w:t>整改负责人：_______________　复核人员：_______________</w:t>
      </w:r>
    </w:p>
    <w:p w14:paraId="45195FB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72707C"/>
    <w:multiLevelType w:val="multilevel"/>
    <w:tmpl w:val="947270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215721C"/>
    <w:multiLevelType w:val="multilevel"/>
    <w:tmpl w:val="A2157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2D12527"/>
    <w:multiLevelType w:val="multilevel"/>
    <w:tmpl w:val="D2D125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965BFE9"/>
    <w:multiLevelType w:val="multilevel"/>
    <w:tmpl w:val="D965BF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E0C1A7AE"/>
    <w:multiLevelType w:val="multilevel"/>
    <w:tmpl w:val="E0C1A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58D175C"/>
    <w:multiLevelType w:val="multilevel"/>
    <w:tmpl w:val="E58D17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EE6E3C7"/>
    <w:multiLevelType w:val="multilevel"/>
    <w:tmpl w:val="EEE6E3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D4412ED"/>
    <w:multiLevelType w:val="multilevel"/>
    <w:tmpl w:val="0D4412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1333472F"/>
    <w:multiLevelType w:val="multilevel"/>
    <w:tmpl w:val="133347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2581EEF6"/>
    <w:multiLevelType w:val="multilevel"/>
    <w:tmpl w:val="2581EE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516C2C6F"/>
    <w:multiLevelType w:val="multilevel"/>
    <w:tmpl w:val="516C2C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5558F5F7"/>
    <w:multiLevelType w:val="multilevel"/>
    <w:tmpl w:val="5558F5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37ECD65"/>
    <w:multiLevelType w:val="multilevel"/>
    <w:tmpl w:val="637ECD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11"/>
  </w:num>
  <w:num w:numId="3">
    <w:abstractNumId w:val="10"/>
  </w:num>
  <w:num w:numId="4">
    <w:abstractNumId w:val="7"/>
  </w:num>
  <w:num w:numId="5">
    <w:abstractNumId w:val="4"/>
  </w:num>
  <w:num w:numId="6">
    <w:abstractNumId w:val="0"/>
  </w:num>
  <w:num w:numId="7">
    <w:abstractNumId w:val="12"/>
  </w:num>
  <w:num w:numId="8">
    <w:abstractNumId w:val="6"/>
  </w:num>
  <w:num w:numId="9">
    <w:abstractNumId w:val="2"/>
  </w:num>
  <w:num w:numId="10">
    <w:abstractNumId w:val="1"/>
  </w:num>
  <w:num w:numId="11">
    <w:abstractNumId w:val="9"/>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7B0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2026-10-07T16:17:32Z</dcterms:created>
  <dc:creator>Administrator</dc:creator>
  <cp:lastModifiedBy>邓达华</cp:lastModifiedBy>
  <dcterms:modified xsi:type="dcterms:W3CDTF">2026-10-07T16:17:54Z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eyJoZGlkIjoiNzI1MzljODBiNDliMzEyMzFlZWNlN2EzYjU0N2YzMWEiLCJ1c2VySWQiOiIyNzQ0NDA4ODYifQ==</vt:lpwstr>
  </property>
  <property fmtid="{D5CDD505-2E9C-101B-9397-08002B2CF9AE}" pid="4" name="ICV">
    <vt:lpwstr>41BF5D3B3B0C4BD3A76276EE821AC27D_12</vt:lpwstr>
  </property>
</Properties>
</file>