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宋体" w:hAnsi="宋体" w:eastAsia="宋体"/>
          <w:b/>
          <w:color w:val="17304F"/>
          <w:sz w:val="44"/>
        </w:rPr>
        <w:t>Case replay</w:t>
      </w:r>
    </w:p>
    <w:p>
      <w:pPr>
        <w:jc w:val="center"/>
      </w:pPr>
      <w:r>
        <w:rPr>
          <w:rFonts w:ascii="宋体" w:hAnsi="宋体" w:eastAsia="宋体"/>
          <w:b/>
          <w:color w:val="305178"/>
          <w:sz w:val="28"/>
        </w:rPr>
        <w:t>正式汇报材料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报告编号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CIVITAS-HIS-20260324-154020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报送对象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政策评估组、历史复盘与校准团队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材料性质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内部研判材料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生成日期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2026年03月24日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出具单位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 政策仿真系统</w:t>
            </w:r>
          </w:p>
        </w:tc>
      </w:tr>
    </w:tbl>
    <w:p>
      <w:pPr>
        <w:spacing w:before="480"/>
        <w:jc w:val="center"/>
      </w:pPr>
      <w:r>
        <w:rPr>
          <w:rFonts w:ascii="宋体" w:hAnsi="宋体" w:eastAsia="宋体"/>
          <w:b w:val="0"/>
          <w:color w:val="4B6587"/>
          <w:sz w:val="22"/>
        </w:rPr>
        <w:t>本材料用于政策研判、会商沟通和正式汇报底稿。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134" w:bottom="1247" w:left="1361" w:header="720" w:footer="720" w:gutter="0"/>
          <w:cols w:space="720"/>
          <w:titlePg/>
          <w:docGrid w:linePitch="360"/>
        </w:sectPr>
      </w:pPr>
    </w:p>
    <w:p>
      <w:pPr>
        <w:jc w:val="center"/>
      </w:pPr>
      <w:r>
        <w:rPr>
          <w:rFonts w:ascii="宋体" w:hAnsi="宋体" w:eastAsia="宋体"/>
          <w:b/>
          <w:color w:val="17304F"/>
          <w:sz w:val="36"/>
        </w:rPr>
        <w:t>History replay report: Case replay</w:t>
      </w:r>
    </w:p>
    <w:p/>
    <w:p>
      <w:pPr>
        <w:pStyle w:val="ListBullet"/>
      </w:pPr>
      <w:r>
        <w:rPr>
          <w:rFonts w:ascii="宋体" w:hAnsi="宋体" w:eastAsia="宋体"/>
          <w:b w:val="0"/>
          <w:sz w:val="21"/>
        </w:rPr>
        <w:t>Report no: CIVITAS-HIS-20260324-154020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Date: 2026年03月24日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Engine mode: agent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Feature flags: {'agent_replay': True, 'history_replay_event_driven_v2': True, 'history_replay_rolling_calibration_v1': True}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Replay summary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Symbol: CSI 300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Date window: 2024-02-01 to 2024-02-07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Backdrop: test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Intensity: 1.0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Explanation: Case replay: path shape is close to the historical series.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Metrics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Trend alignment: 75%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Turning points: 50%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Drawdown gap: 2.00%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Vol similarity: 80%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Response lag: 1 days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Authenticity layers</w:t>
      </w:r>
    </w:p>
    <w:p>
      <w:r>
        <w:rPr>
          <w:rFonts w:ascii="宋体" w:hAnsi="宋体" w:eastAsia="宋体"/>
          <w:b/>
          <w:color w:val="305178"/>
          <w:sz w:val="24"/>
        </w:rPr>
        <w:t>Path layer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Return correlation: 0.983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Normalized RMSE: 0.0400</w:t>
      </w:r>
    </w:p>
    <w:p>
      <w:r>
        <w:rPr>
          <w:rFonts w:ascii="宋体" w:hAnsi="宋体" w:eastAsia="宋体"/>
          <w:b/>
          <w:color w:val="305178"/>
          <w:sz w:val="24"/>
        </w:rPr>
        <w:t>Microstructure layer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Range fit: 95%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Volume fit: 0.966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Cancel-rate proxy: 62%</w:t>
      </w:r>
    </w:p>
    <w:p>
      <w:r>
        <w:rPr>
          <w:rFonts w:ascii="宋体" w:hAnsi="宋体" w:eastAsia="宋体"/>
          <w:b/>
          <w:color w:val="305178"/>
          <w:sz w:val="24"/>
        </w:rPr>
        <w:t>Stylized facts layer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Tail fit: 50%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Volatility clustering: 0.623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Regime-switch alignment: 100%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Risks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Replay result is intended for defense, comparison, and calibration.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Simulated prices in agent mode come from the trade-tape close, not equity scaling.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All reproducibility info is recorded in the payload metadata.</w:t>
      </w:r>
    </w:p>
    <w:sectPr w:rsidR="00FC693F" w:rsidRPr="0006063C" w:rsidSect="00034616">
      <w:pgSz w:w="11906" w:h="16838"/>
      <w:pgMar w:top="1247" w:right="1134" w:bottom="1020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4B6587"/>
        <w:sz w:val="18"/>
      </w:rPr>
      <w:t xml:space="preserve">内部研判材料  |  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4B658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b w:val="0"/>
        <w:color w:val="4B6587"/>
        <w:sz w:val="18"/>
      </w:rPr>
      <w:t>Civitas 政策仿真系统    CIVITAS-HIS-20260324-154020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