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0FE43">
      <w:pPr>
        <w:tabs>
          <w:tab w:val="left" w:pos="438"/>
        </w:tabs>
        <w:ind w:firstLine="420"/>
        <w:rPr>
          <w:rFonts w:cs="Times New Roman"/>
          <w:szCs w:val="21"/>
        </w:rPr>
      </w:pPr>
      <w:bookmarkStart w:id="0" w:name="_Hlk79402829"/>
      <w:bookmarkEnd w:id="0"/>
      <w:r>
        <w:rPr>
          <w:rFonts w:cs="Times New Roman"/>
          <w:szCs w:val="21"/>
        </w:rPr>
        <w:tab/>
      </w:r>
    </w:p>
    <w:p w14:paraId="20472BFB">
      <w:pPr>
        <w:ind w:firstLine="420"/>
        <w:rPr>
          <w:rFonts w:cs="Times New Roman"/>
          <w:szCs w:val="21"/>
        </w:rPr>
      </w:pPr>
    </w:p>
    <w:p w14:paraId="656EF547">
      <w:pPr>
        <w:ind w:firstLine="420"/>
        <w:jc w:val="center"/>
        <w:rPr>
          <w:rFonts w:cs="Times New Roman"/>
          <w:szCs w:val="21"/>
        </w:rPr>
      </w:pPr>
      <w:r>
        <w:rPr>
          <w:rFonts w:cs="Times New Roman"/>
          <w:szCs w:val="21"/>
        </w:rPr>
        <w:drawing>
          <wp:inline distT="0" distB="0" distL="0" distR="0">
            <wp:extent cx="3124200" cy="1989455"/>
            <wp:effectExtent l="0" t="0" r="0" b="0"/>
            <wp:docPr id="1" name="图片 1"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nshu logo - 副本"/>
                    <pic:cNvPicPr>
                      <a:picLocks noChangeAspect="1" noChangeArrowheads="1"/>
                    </pic:cNvPicPr>
                  </pic:nvPicPr>
                  <pic:blipFill>
                    <a:blip r:embed="rId15" cstate="print">
                      <a:extLst>
                        <a:ext uri="{28A0092B-C50C-407E-A947-70E740481C1C}">
                          <a14:useLocalDpi xmlns:a14="http://schemas.microsoft.com/office/drawing/2010/main" val="0"/>
                        </a:ext>
                      </a:extLst>
                    </a:blip>
                    <a:srcRect b="22156"/>
                    <a:stretch>
                      <a:fillRect/>
                    </a:stretch>
                  </pic:blipFill>
                  <pic:spPr>
                    <a:xfrm>
                      <a:off x="0" y="0"/>
                      <a:ext cx="3124200" cy="1989455"/>
                    </a:xfrm>
                    <a:prstGeom prst="rect">
                      <a:avLst/>
                    </a:prstGeom>
                    <a:noFill/>
                    <a:ln>
                      <a:noFill/>
                    </a:ln>
                  </pic:spPr>
                </pic:pic>
              </a:graphicData>
            </a:graphic>
          </wp:inline>
        </w:drawing>
      </w:r>
    </w:p>
    <w:p w14:paraId="6CC48E5D">
      <w:pPr>
        <w:ind w:firstLine="420"/>
        <w:jc w:val="center"/>
        <w:rPr>
          <w:rFonts w:cs="Times New Roman"/>
          <w:szCs w:val="21"/>
        </w:rPr>
      </w:pPr>
    </w:p>
    <w:p w14:paraId="4B96835D">
      <w:pPr>
        <w:ind w:firstLine="420"/>
        <w:rPr>
          <w:rFonts w:cs="Times New Roman"/>
          <w:szCs w:val="21"/>
        </w:rPr>
      </w:pPr>
    </w:p>
    <w:p w14:paraId="683A711B">
      <w:pPr>
        <w:ind w:firstLine="0" w:firstLineChars="0"/>
        <w:jc w:val="center"/>
        <w:outlineLvl w:val="0"/>
        <w:rPr>
          <w:rFonts w:cs="Times New Roman"/>
          <w:b/>
          <w:color w:val="0070C0"/>
          <w:kern w:val="0"/>
          <w:sz w:val="72"/>
          <w:szCs w:val="72"/>
        </w:rPr>
      </w:pPr>
      <w:bookmarkStart w:id="1" w:name="_Toc176436699"/>
      <w:bookmarkStart w:id="2" w:name="_Toc10198"/>
      <w:bookmarkStart w:id="3" w:name="_Toc149655948"/>
      <w:bookmarkStart w:id="4" w:name="_Toc161219785"/>
      <w:bookmarkStart w:id="5" w:name="_Toc145668912"/>
      <w:bookmarkStart w:id="6" w:name="_Toc28989"/>
      <w:bookmarkStart w:id="7" w:name="_Toc26164"/>
      <w:bookmarkStart w:id="8" w:name="_Toc12654"/>
      <w:bookmarkStart w:id="9" w:name="_Toc175927247"/>
      <w:bookmarkStart w:id="10" w:name="_Toc7183"/>
      <w:r>
        <w:rPr>
          <w:rFonts w:hint="eastAsia" w:cs="Times New Roman"/>
          <w:b/>
          <w:color w:val="0070C0"/>
          <w:kern w:val="0"/>
          <w:sz w:val="72"/>
          <w:szCs w:val="72"/>
        </w:rPr>
        <w:t>宏基因组</w:t>
      </w:r>
      <w:r>
        <w:rPr>
          <w:rFonts w:cs="Times New Roman"/>
          <w:b/>
          <w:color w:val="0070C0"/>
          <w:kern w:val="0"/>
          <w:sz w:val="72"/>
          <w:szCs w:val="72"/>
        </w:rPr>
        <w:t>检测报告</w:t>
      </w:r>
      <w:bookmarkEnd w:id="1"/>
      <w:bookmarkEnd w:id="2"/>
      <w:bookmarkEnd w:id="3"/>
      <w:bookmarkEnd w:id="4"/>
      <w:bookmarkEnd w:id="5"/>
      <w:bookmarkEnd w:id="6"/>
      <w:bookmarkEnd w:id="7"/>
      <w:bookmarkEnd w:id="8"/>
      <w:bookmarkEnd w:id="9"/>
      <w:bookmarkEnd w:id="10"/>
    </w:p>
    <w:p w14:paraId="25120F59">
      <w:pPr>
        <w:ind w:firstLine="422"/>
        <w:jc w:val="center"/>
        <w:rPr>
          <w:rFonts w:cs="Times New Roman"/>
          <w:b/>
          <w:color w:val="0070C0"/>
          <w:kern w:val="0"/>
          <w:szCs w:val="21"/>
        </w:rPr>
      </w:pPr>
    </w:p>
    <w:p w14:paraId="40E38A72">
      <w:pPr>
        <w:ind w:firstLine="420"/>
        <w:rPr>
          <w:rFonts w:cs="Times New Roman"/>
          <w:szCs w:val="21"/>
        </w:rPr>
      </w:pP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1"/>
        <w:gridCol w:w="6287"/>
      </w:tblGrid>
      <w:tr w14:paraId="3EFE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4430B55">
            <w:pPr>
              <w:ind w:firstLineChars="71"/>
              <w:rPr>
                <w:rFonts w:cs="Times New Roman"/>
                <w:b/>
                <w:bCs/>
                <w:kern w:val="0"/>
                <w:sz w:val="28"/>
                <w:szCs w:val="28"/>
              </w:rPr>
            </w:pPr>
            <w:r>
              <w:rPr>
                <w:rFonts w:cs="Times New Roman"/>
                <w:b/>
                <w:bCs/>
                <w:kern w:val="0"/>
                <w:sz w:val="28"/>
                <w:szCs w:val="28"/>
              </w:rPr>
              <w:t>项目名称：</w:t>
            </w:r>
          </w:p>
        </w:tc>
        <w:tc>
          <w:tcPr>
            <w:tcW w:w="6287" w:type="dxa"/>
            <w:tcBorders>
              <w:bottom w:val="single" w:color="auto" w:sz="4" w:space="0"/>
            </w:tcBorders>
            <w:vAlign w:val="center"/>
          </w:tcPr>
          <w:p w14:paraId="4B16A680">
            <w:pPr>
              <w:ind w:firstLine="0" w:firstLineChars="0"/>
              <w:jc w:val="center"/>
              <w:rPr>
                <w:rFonts w:cs="Times New Roman"/>
                <w:b/>
                <w:bCs/>
                <w:sz w:val="28"/>
                <w:szCs w:val="28"/>
              </w:rPr>
            </w:pPr>
            <w:r>
              <w:rPr>
                <w:rFonts w:hint="eastAsia" w:cs="Times New Roman"/>
                <w:b/>
                <w:bCs/>
                <w:sz w:val="28"/>
                <w:szCs w:val="28"/>
              </w:rPr>
              <w:t>宏基因组检测</w:t>
            </w:r>
          </w:p>
        </w:tc>
      </w:tr>
      <w:tr w14:paraId="270A5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410079B9">
            <w:pPr>
              <w:ind w:firstLineChars="71"/>
              <w:rPr>
                <w:rFonts w:cs="Times New Roman"/>
                <w:b/>
                <w:bCs/>
                <w:kern w:val="0"/>
                <w:sz w:val="28"/>
                <w:szCs w:val="28"/>
              </w:rPr>
            </w:pPr>
            <w:r>
              <w:rPr>
                <w:rFonts w:cs="Times New Roman"/>
                <w:b/>
                <w:bCs/>
                <w:kern w:val="0"/>
                <w:sz w:val="28"/>
                <w:szCs w:val="28"/>
              </w:rPr>
              <w:t>客户名称：</w:t>
            </w:r>
          </w:p>
        </w:tc>
        <w:tc>
          <w:tcPr>
            <w:tcW w:w="6287" w:type="dxa"/>
            <w:tcBorders>
              <w:top w:val="single" w:color="auto" w:sz="4" w:space="0"/>
              <w:bottom w:val="single" w:color="auto" w:sz="4" w:space="0"/>
            </w:tcBorders>
            <w:vAlign w:val="center"/>
          </w:tcPr>
          <w:p w14:paraId="4A4A7F81">
            <w:pPr>
              <w:ind w:firstLine="0" w:firstLineChars="0"/>
              <w:jc w:val="center"/>
              <w:rPr>
                <w:rFonts w:cs="Times New Roman"/>
                <w:b/>
                <w:bCs/>
                <w:sz w:val="28"/>
                <w:szCs w:val="28"/>
              </w:rPr>
            </w:pPr>
            <w:r>
              <w:rPr>
                <w:rFonts w:cs="Times New Roman"/>
                <w:b/>
                <w:bCs/>
                <w:sz w:val="28"/>
                <w:szCs w:val="28"/>
              </w:rPr>
              <w:t>姓名</w:t>
            </w:r>
          </w:p>
        </w:tc>
      </w:tr>
      <w:tr w14:paraId="77CA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526312C2">
            <w:pPr>
              <w:ind w:firstLineChars="71"/>
              <w:rPr>
                <w:rFonts w:cs="Times New Roman"/>
                <w:b/>
                <w:bCs/>
                <w:kern w:val="0"/>
                <w:sz w:val="28"/>
                <w:szCs w:val="28"/>
              </w:rPr>
            </w:pPr>
            <w:r>
              <w:rPr>
                <w:rFonts w:cs="Times New Roman"/>
                <w:b/>
                <w:bCs/>
                <w:kern w:val="0"/>
                <w:sz w:val="28"/>
                <w:szCs w:val="28"/>
              </w:rPr>
              <w:t>单    位：</w:t>
            </w:r>
          </w:p>
        </w:tc>
        <w:tc>
          <w:tcPr>
            <w:tcW w:w="6287" w:type="dxa"/>
            <w:tcBorders>
              <w:top w:val="single" w:color="auto" w:sz="4" w:space="0"/>
              <w:bottom w:val="single" w:color="auto" w:sz="4" w:space="0"/>
            </w:tcBorders>
            <w:vAlign w:val="center"/>
          </w:tcPr>
          <w:p w14:paraId="3DD38CB8">
            <w:pPr>
              <w:ind w:firstLine="0" w:firstLineChars="0"/>
              <w:jc w:val="center"/>
              <w:rPr>
                <w:rFonts w:cs="Times New Roman"/>
                <w:b/>
                <w:bCs/>
                <w:sz w:val="28"/>
                <w:szCs w:val="28"/>
              </w:rPr>
            </w:pPr>
            <w:r>
              <w:rPr>
                <w:rFonts w:cs="Times New Roman"/>
                <w:b/>
                <w:bCs/>
                <w:sz w:val="28"/>
                <w:szCs w:val="28"/>
              </w:rPr>
              <w:t>检测部</w:t>
            </w:r>
          </w:p>
        </w:tc>
      </w:tr>
      <w:tr w14:paraId="770E0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26E2ECC8">
            <w:pPr>
              <w:ind w:firstLineChars="71"/>
              <w:rPr>
                <w:rFonts w:cs="Times New Roman"/>
                <w:b/>
                <w:bCs/>
                <w:kern w:val="0"/>
                <w:sz w:val="28"/>
                <w:szCs w:val="28"/>
              </w:rPr>
            </w:pPr>
            <w:r>
              <w:rPr>
                <w:rFonts w:cs="Times New Roman"/>
                <w:b/>
                <w:bCs/>
                <w:kern w:val="0"/>
                <w:sz w:val="28"/>
                <w:szCs w:val="28"/>
              </w:rPr>
              <w:t>项目编号：</w:t>
            </w:r>
          </w:p>
        </w:tc>
        <w:tc>
          <w:tcPr>
            <w:tcW w:w="6287" w:type="dxa"/>
            <w:tcBorders>
              <w:top w:val="single" w:color="auto" w:sz="4" w:space="0"/>
              <w:bottom w:val="single" w:color="auto" w:sz="4" w:space="0"/>
            </w:tcBorders>
            <w:vAlign w:val="center"/>
          </w:tcPr>
          <w:p w14:paraId="6AA27FCF">
            <w:pPr>
              <w:ind w:firstLine="0" w:firstLineChars="0"/>
              <w:jc w:val="center"/>
              <w:rPr>
                <w:rFonts w:cs="Times New Roman"/>
                <w:b/>
                <w:bCs/>
                <w:sz w:val="28"/>
                <w:szCs w:val="28"/>
              </w:rPr>
            </w:pPr>
            <w:r>
              <w:rPr>
                <w:rFonts w:cs="Times New Roman"/>
                <w:b/>
                <w:bCs/>
                <w:sz w:val="28"/>
                <w:szCs w:val="28"/>
              </w:rPr>
              <w:t>目号</w:t>
            </w:r>
          </w:p>
        </w:tc>
      </w:tr>
      <w:tr w14:paraId="7A9DB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0821F04">
            <w:pPr>
              <w:ind w:firstLineChars="71"/>
              <w:rPr>
                <w:rFonts w:cs="Times New Roman"/>
                <w:b/>
                <w:bCs/>
                <w:kern w:val="0"/>
                <w:sz w:val="28"/>
                <w:szCs w:val="28"/>
              </w:rPr>
            </w:pPr>
            <w:r>
              <w:rPr>
                <w:rFonts w:cs="Times New Roman"/>
                <w:b/>
                <w:bCs/>
                <w:kern w:val="0"/>
                <w:sz w:val="28"/>
                <w:szCs w:val="28"/>
              </w:rPr>
              <w:t>时    间：</w:t>
            </w:r>
          </w:p>
        </w:tc>
        <w:tc>
          <w:tcPr>
            <w:tcW w:w="6287" w:type="dxa"/>
            <w:tcBorders>
              <w:top w:val="single" w:color="auto" w:sz="4" w:space="0"/>
              <w:bottom w:val="single" w:color="auto" w:sz="4" w:space="0"/>
            </w:tcBorders>
            <w:vAlign w:val="center"/>
          </w:tcPr>
          <w:p w14:paraId="4AECD46A">
            <w:pPr>
              <w:ind w:firstLine="0" w:firstLineChars="0"/>
              <w:jc w:val="center"/>
              <w:rPr>
                <w:rFonts w:cs="Times New Roman"/>
                <w:b/>
                <w:bCs/>
                <w:sz w:val="28"/>
                <w:szCs w:val="28"/>
              </w:rPr>
            </w:pPr>
            <w:r>
              <w:rPr>
                <w:rFonts w:cs="Times New Roman"/>
                <w:b/>
                <w:bCs/>
                <w:sz w:val="28"/>
                <w:szCs w:val="28"/>
              </w:rPr>
              <w:t>时间</w:t>
            </w:r>
          </w:p>
        </w:tc>
      </w:tr>
    </w:tbl>
    <w:p w14:paraId="0FCF34AE">
      <w:pPr>
        <w:ind w:firstLine="420"/>
        <w:rPr>
          <w:rFonts w:cs="Times New Roman"/>
          <w:szCs w:val="21"/>
        </w:rPr>
      </w:pPr>
    </w:p>
    <w:p w14:paraId="1B24BE78">
      <w:pPr>
        <w:ind w:firstLine="420"/>
        <w:rPr>
          <w:rFonts w:cs="Times New Roman"/>
          <w:szCs w:val="21"/>
        </w:rPr>
      </w:pPr>
    </w:p>
    <w:p w14:paraId="6BABD177">
      <w:pPr>
        <w:ind w:firstLine="420"/>
        <w:rPr>
          <w:rFonts w:cs="Times New Roman"/>
          <w:szCs w:val="21"/>
        </w:rPr>
      </w:pPr>
    </w:p>
    <w:p w14:paraId="5900C6A4">
      <w:pPr>
        <w:ind w:firstLine="602"/>
        <w:jc w:val="center"/>
        <w:outlineLvl w:val="0"/>
        <w:rPr>
          <w:rFonts w:cs="Times New Roman"/>
          <w:sz w:val="30"/>
          <w:szCs w:val="30"/>
        </w:rPr>
      </w:pPr>
      <w:bookmarkStart w:id="11" w:name="_Toc176436700"/>
      <w:bookmarkStart w:id="12" w:name="_Toc149655949"/>
      <w:bookmarkStart w:id="13" w:name="_Toc161219786"/>
      <w:bookmarkStart w:id="14" w:name="_Toc8847"/>
      <w:bookmarkStart w:id="15" w:name="_Toc5204"/>
      <w:bookmarkStart w:id="16" w:name="_Toc4672"/>
      <w:bookmarkStart w:id="17" w:name="_Toc9034"/>
      <w:bookmarkStart w:id="18" w:name="_Toc145668913"/>
      <w:bookmarkStart w:id="19" w:name="_Toc21806"/>
      <w:bookmarkStart w:id="20" w:name="_Toc175927248"/>
      <w:r>
        <w:rPr>
          <w:rFonts w:cs="Times New Roman"/>
          <w:b/>
          <w:sz w:val="30"/>
          <w:szCs w:val="30"/>
        </w:rPr>
        <w:t>三黍生物编制</w:t>
      </w:r>
      <w:bookmarkEnd w:id="11"/>
      <w:bookmarkEnd w:id="12"/>
      <w:bookmarkEnd w:id="13"/>
      <w:bookmarkEnd w:id="14"/>
      <w:bookmarkEnd w:id="15"/>
      <w:bookmarkEnd w:id="16"/>
      <w:bookmarkEnd w:id="17"/>
      <w:bookmarkEnd w:id="18"/>
      <w:bookmarkEnd w:id="19"/>
      <w:bookmarkEnd w:id="20"/>
    </w:p>
    <w:p w14:paraId="67F33D5E">
      <w:pPr>
        <w:widowControl/>
        <w:ind w:firstLine="0" w:firstLineChars="0"/>
        <w:jc w:val="left"/>
        <w:rPr>
          <w:rFonts w:cs="Times New Roman"/>
          <w:szCs w:val="21"/>
        </w:rPr>
      </w:pPr>
    </w:p>
    <w:p w14:paraId="3702A322">
      <w:pPr>
        <w:widowControl/>
        <w:ind w:firstLine="0" w:firstLineChars="0"/>
        <w:jc w:val="left"/>
        <w:rPr>
          <w:rFonts w:cs="Times New Roman"/>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cols w:space="425" w:num="1"/>
          <w:docGrid w:type="lines" w:linePitch="312" w:charSpace="0"/>
        </w:sectPr>
      </w:pPr>
    </w:p>
    <w:p w14:paraId="44528391">
      <w:pPr>
        <w:pStyle w:val="14"/>
        <w:tabs>
          <w:tab w:val="right" w:leader="dot" w:pos="8306"/>
        </w:tabs>
      </w:pPr>
      <w:bookmarkStart w:id="21" w:name="_Toc21614"/>
      <w:r>
        <w:rPr>
          <w:rFonts w:eastAsia="宋体" w:cs="Times New Roman"/>
          <w:caps w:val="0"/>
          <w:color w:val="000000" w:themeColor="text1"/>
          <w14:textFill>
            <w14:solidFill>
              <w14:schemeClr w14:val="tx1"/>
            </w14:solidFill>
          </w14:textFill>
        </w:rPr>
        <w:fldChar w:fldCharType="begin"/>
      </w:r>
      <w:r>
        <w:rPr>
          <w:rFonts w:eastAsia="宋体" w:cs="Times New Roman"/>
          <w:caps w:val="0"/>
          <w:color w:val="000000" w:themeColor="text1"/>
          <w14:textFill>
            <w14:solidFill>
              <w14:schemeClr w14:val="tx1"/>
            </w14:solidFill>
          </w14:textFill>
        </w:rPr>
        <w:instrText xml:space="preserve">TOC \o "1-2" \h \u </w:instrText>
      </w:r>
      <w:r>
        <w:rPr>
          <w:rFonts w:eastAsia="宋体" w:cs="Times New Roman"/>
          <w:caps w:val="0"/>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fldChar w:fldCharType="begin"/>
      </w:r>
      <w:r>
        <w:rPr>
          <w:rFonts w:cs="Times New Roman"/>
        </w:rPr>
        <w:instrText xml:space="preserve"> HYPERLINK \l _Toc3201 </w:instrText>
      </w:r>
      <w:r>
        <w:rPr>
          <w:rFonts w:cs="Times New Roman"/>
        </w:rPr>
        <w:fldChar w:fldCharType="separate"/>
      </w:r>
      <w:r>
        <w:rPr>
          <w:rFonts w:hint="eastAsia"/>
        </w:rPr>
        <w:t>1. 项目介绍</w:t>
      </w:r>
      <w:r>
        <w:tab/>
      </w:r>
      <w:r>
        <w:fldChar w:fldCharType="begin"/>
      </w:r>
      <w:r>
        <w:instrText xml:space="preserve"> PAGEREF _Toc3201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2BEE83F1">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_Toc13666 </w:instrText>
      </w:r>
      <w:r>
        <w:rPr>
          <w:rFonts w:cs="Times New Roman"/>
        </w:rPr>
        <w:fldChar w:fldCharType="separate"/>
      </w:r>
      <w:r>
        <w:t>2.</w:t>
      </w:r>
      <w:r>
        <w:rPr>
          <w:rFonts w:hint="eastAsia"/>
        </w:rPr>
        <w:t xml:space="preserve"> </w:t>
      </w:r>
      <w:r>
        <w:t>数据分析流程</w:t>
      </w:r>
      <w:r>
        <w:tab/>
      </w:r>
      <w:r>
        <w:fldChar w:fldCharType="begin"/>
      </w:r>
      <w:r>
        <w:instrText xml:space="preserve"> PAGEREF _Toc13666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7FE5B35B">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_Toc31582 </w:instrText>
      </w:r>
      <w:r>
        <w:rPr>
          <w:rFonts w:cs="Times New Roman"/>
        </w:rPr>
        <w:fldChar w:fldCharType="separate"/>
      </w:r>
      <w:r>
        <w:rPr>
          <w:rFonts w:hint="eastAsia"/>
        </w:rPr>
        <w:t>3</w:t>
      </w:r>
      <w:r>
        <w:t>. 数据</w:t>
      </w:r>
      <w:r>
        <w:rPr>
          <w:rFonts w:hint="eastAsia"/>
        </w:rPr>
        <w:t>质控</w:t>
      </w:r>
      <w:r>
        <w:tab/>
      </w:r>
      <w:r>
        <w:fldChar w:fldCharType="begin"/>
      </w:r>
      <w:r>
        <w:instrText xml:space="preserve"> PAGEREF _Toc31582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143E883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_Toc23807 </w:instrText>
      </w:r>
      <w:r>
        <w:rPr>
          <w:rFonts w:cs="Times New Roman"/>
        </w:rPr>
        <w:fldChar w:fldCharType="separate"/>
      </w:r>
      <w:r>
        <w:t>3.1</w:t>
      </w:r>
      <w:r>
        <w:rPr>
          <w:rFonts w:hint="eastAsia"/>
        </w:rPr>
        <w:t xml:space="preserve"> 测序结果格式介绍</w:t>
      </w:r>
      <w:r>
        <w:tab/>
      </w:r>
      <w:r>
        <w:fldChar w:fldCharType="begin"/>
      </w:r>
      <w:r>
        <w:instrText xml:space="preserve"> PAGEREF _Toc23807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03BB1F3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_Toc32015 </w:instrText>
      </w:r>
      <w:r>
        <w:rPr>
          <w:rFonts w:cs="Times New Roman"/>
        </w:rPr>
        <w:fldChar w:fldCharType="separate"/>
      </w:r>
      <w:r>
        <w:rPr>
          <w:bCs w:val="0"/>
        </w:rPr>
        <w:t>3.2</w:t>
      </w:r>
      <w:r>
        <w:rPr>
          <w:rFonts w:hint="eastAsia"/>
          <w:bCs w:val="0"/>
        </w:rPr>
        <w:t xml:space="preserve"> </w:t>
      </w:r>
      <w:r>
        <w:rPr>
          <w:rFonts w:hint="eastAsia"/>
        </w:rPr>
        <w:t>测序碱基质量值</w:t>
      </w:r>
      <w:r>
        <w:tab/>
      </w:r>
      <w:r>
        <w:fldChar w:fldCharType="begin"/>
      </w:r>
      <w:r>
        <w:instrText xml:space="preserve"> PAGEREF _Toc32015 \h </w:instrText>
      </w:r>
      <w:r>
        <w:fldChar w:fldCharType="separate"/>
      </w:r>
      <w:r>
        <w:t>5</w:t>
      </w:r>
      <w:r>
        <w:fldChar w:fldCharType="end"/>
      </w:r>
      <w:r>
        <w:rPr>
          <w:rFonts w:cs="Times New Roman"/>
          <w:color w:val="000000" w:themeColor="text1"/>
          <w14:textFill>
            <w14:solidFill>
              <w14:schemeClr w14:val="tx1"/>
            </w14:solidFill>
          </w14:textFill>
        </w:rPr>
        <w:fldChar w:fldCharType="end"/>
      </w:r>
    </w:p>
    <w:p w14:paraId="38537E9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_Toc28406 </w:instrText>
      </w:r>
      <w:r>
        <w:rPr>
          <w:rFonts w:cs="Times New Roman"/>
        </w:rPr>
        <w:fldChar w:fldCharType="separate"/>
      </w:r>
      <w:r>
        <w:rPr>
          <w:bCs w:val="0"/>
        </w:rPr>
        <w:t>3.3</w:t>
      </w:r>
      <w:r>
        <w:rPr>
          <w:rFonts w:hint="eastAsia"/>
          <w:bCs w:val="0"/>
        </w:rPr>
        <w:t xml:space="preserve"> 测序碱基含量分布</w:t>
      </w:r>
      <w:r>
        <w:tab/>
      </w:r>
      <w:r>
        <w:fldChar w:fldCharType="begin"/>
      </w:r>
      <w:r>
        <w:instrText xml:space="preserve"> PAGEREF _Toc28406 \h </w:instrText>
      </w:r>
      <w:r>
        <w:fldChar w:fldCharType="separate"/>
      </w:r>
      <w:r>
        <w:t>6</w:t>
      </w:r>
      <w:r>
        <w:fldChar w:fldCharType="end"/>
      </w:r>
      <w:r>
        <w:rPr>
          <w:rFonts w:cs="Times New Roman"/>
          <w:color w:val="000000" w:themeColor="text1"/>
          <w14:textFill>
            <w14:solidFill>
              <w14:schemeClr w14:val="tx1"/>
            </w14:solidFill>
          </w14:textFill>
        </w:rPr>
        <w:fldChar w:fldCharType="end"/>
      </w:r>
    </w:p>
    <w:p w14:paraId="2EEB2C3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_Toc48 </w:instrText>
      </w:r>
      <w:r>
        <w:rPr>
          <w:rFonts w:cs="Times New Roman"/>
        </w:rPr>
        <w:fldChar w:fldCharType="separate"/>
      </w:r>
      <w:r>
        <w:rPr>
          <w:bCs w:val="0"/>
        </w:rPr>
        <w:t>3.4</w:t>
      </w:r>
      <w:r>
        <w:rPr>
          <w:rFonts w:hint="eastAsia"/>
          <w:bCs w:val="0"/>
        </w:rPr>
        <w:t xml:space="preserve"> 数据处理过程和参数</w:t>
      </w:r>
      <w:r>
        <w:tab/>
      </w:r>
      <w:r>
        <w:fldChar w:fldCharType="begin"/>
      </w:r>
      <w:r>
        <w:instrText xml:space="preserve"> PAGEREF _Toc48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5C46A6EB">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_Toc16418 </w:instrText>
      </w:r>
      <w:r>
        <w:rPr>
          <w:rFonts w:cs="Times New Roman"/>
        </w:rPr>
        <w:fldChar w:fldCharType="separate"/>
      </w:r>
      <w:r>
        <w:t>3.5</w:t>
      </w:r>
      <w:r>
        <w:rPr>
          <w:rFonts w:hint="eastAsia"/>
        </w:rPr>
        <w:t xml:space="preserve"> </w:t>
      </w:r>
      <w:r>
        <w:t>数据质控与统计</w:t>
      </w:r>
      <w:r>
        <w:tab/>
      </w:r>
      <w:r>
        <w:fldChar w:fldCharType="begin"/>
      </w:r>
      <w:r>
        <w:instrText xml:space="preserve"> PAGEREF _Toc16418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2C22F570">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_Toc27671 </w:instrText>
      </w:r>
      <w:r>
        <w:rPr>
          <w:rFonts w:cs="Times New Roman"/>
        </w:rPr>
        <w:fldChar w:fldCharType="separate"/>
      </w:r>
      <w:r>
        <w:rPr>
          <w:rFonts w:hint="eastAsia"/>
        </w:rPr>
        <w:t>4.</w:t>
      </w:r>
      <w:r>
        <w:t xml:space="preserve"> </w:t>
      </w:r>
      <w:r>
        <w:rPr>
          <w:rFonts w:hint="eastAsia"/>
        </w:rPr>
        <w:t>数据组装</w:t>
      </w:r>
      <w:r>
        <w:tab/>
      </w:r>
      <w:r>
        <w:fldChar w:fldCharType="begin"/>
      </w:r>
      <w:r>
        <w:instrText xml:space="preserve"> PAGEREF _Toc27671 \h </w:instrText>
      </w:r>
      <w:r>
        <w:fldChar w:fldCharType="separate"/>
      </w:r>
      <w:r>
        <w:t>8</w:t>
      </w:r>
      <w:r>
        <w:fldChar w:fldCharType="end"/>
      </w:r>
      <w:r>
        <w:rPr>
          <w:rFonts w:cs="Times New Roman"/>
          <w:color w:val="000000" w:themeColor="text1"/>
          <w14:textFill>
            <w14:solidFill>
              <w14:schemeClr w14:val="tx1"/>
            </w14:solidFill>
          </w14:textFill>
        </w:rPr>
        <w:fldChar w:fldCharType="end"/>
      </w:r>
    </w:p>
    <w:p w14:paraId="5E416882">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_Toc4296 </w:instrText>
      </w:r>
      <w:r>
        <w:rPr>
          <w:rFonts w:cs="Times New Roman"/>
        </w:rPr>
        <w:fldChar w:fldCharType="separate"/>
      </w:r>
      <w:r>
        <w:t>5</w:t>
      </w:r>
      <w:r>
        <w:rPr>
          <w:rFonts w:hint="eastAsia"/>
        </w:rPr>
        <w:t>.</w:t>
      </w:r>
      <w:r>
        <w:t xml:space="preserve"> </w:t>
      </w:r>
      <w:r>
        <w:rPr>
          <w:rFonts w:hint="eastAsia"/>
        </w:rPr>
        <w:t>基因预测以及基因集构建</w:t>
      </w:r>
      <w:r>
        <w:tab/>
      </w:r>
      <w:r>
        <w:fldChar w:fldCharType="begin"/>
      </w:r>
      <w:r>
        <w:instrText xml:space="preserve"> PAGEREF _Toc4296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073B0E2C">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_Toc9522 </w:instrText>
      </w:r>
      <w:r>
        <w:rPr>
          <w:rFonts w:cs="Times New Roman"/>
        </w:rPr>
        <w:fldChar w:fldCharType="separate"/>
      </w:r>
      <w:r>
        <w:t xml:space="preserve">5.1 </w:t>
      </w:r>
      <w:r>
        <w:rPr>
          <w:rFonts w:hint="eastAsia"/>
        </w:rPr>
        <w:t>gene catalogue基本信息统计</w:t>
      </w:r>
      <w:r>
        <w:tab/>
      </w:r>
      <w:r>
        <w:fldChar w:fldCharType="begin"/>
      </w:r>
      <w:r>
        <w:instrText xml:space="preserve"> PAGEREF _Toc9522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310937D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_Toc11249 </w:instrText>
      </w:r>
      <w:r>
        <w:rPr>
          <w:rFonts w:cs="Times New Roman"/>
        </w:rPr>
        <w:fldChar w:fldCharType="separate"/>
      </w:r>
      <w:r>
        <w:t xml:space="preserve">5.2 </w:t>
      </w:r>
      <w:r>
        <w:rPr>
          <w:rFonts w:hint="eastAsia"/>
        </w:rPr>
        <w:t>基于基因丰度的样品间相关性和韦恩分析</w:t>
      </w:r>
      <w:r>
        <w:tab/>
      </w:r>
      <w:r>
        <w:fldChar w:fldCharType="begin"/>
      </w:r>
      <w:r>
        <w:instrText xml:space="preserve"> PAGEREF _Toc11249 \h </w:instrText>
      </w:r>
      <w:r>
        <w:fldChar w:fldCharType="separate"/>
      </w:r>
      <w:r>
        <w:t>10</w:t>
      </w:r>
      <w:r>
        <w:fldChar w:fldCharType="end"/>
      </w:r>
      <w:r>
        <w:rPr>
          <w:rFonts w:cs="Times New Roman"/>
          <w:color w:val="000000" w:themeColor="text1"/>
          <w14:textFill>
            <w14:solidFill>
              <w14:schemeClr w14:val="tx1"/>
            </w14:solidFill>
          </w14:textFill>
        </w:rPr>
        <w:fldChar w:fldCharType="end"/>
      </w:r>
    </w:p>
    <w:p w14:paraId="1401F94A">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_Toc10609 </w:instrText>
      </w:r>
      <w:r>
        <w:rPr>
          <w:rFonts w:cs="Times New Roman"/>
        </w:rPr>
        <w:fldChar w:fldCharType="separate"/>
      </w:r>
      <w:r>
        <w:t>6</w:t>
      </w:r>
      <w:r>
        <w:rPr>
          <w:rFonts w:hint="eastAsia"/>
        </w:rPr>
        <w:t>.</w:t>
      </w:r>
      <w:r>
        <w:t xml:space="preserve"> </w:t>
      </w:r>
      <w:r>
        <w:rPr>
          <w:rFonts w:hint="eastAsia"/>
        </w:rPr>
        <w:t>物种组成及丰度分析</w:t>
      </w:r>
      <w:r>
        <w:tab/>
      </w:r>
      <w:r>
        <w:fldChar w:fldCharType="begin"/>
      </w:r>
      <w:r>
        <w:instrText xml:space="preserve"> PAGEREF _Toc10609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61CDA0E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_Toc8874 </w:instrText>
      </w:r>
      <w:r>
        <w:rPr>
          <w:rFonts w:cs="Times New Roman"/>
        </w:rPr>
        <w:fldChar w:fldCharType="separate"/>
      </w:r>
      <w:r>
        <w:t xml:space="preserve">6.1 </w:t>
      </w:r>
      <w:r>
        <w:rPr>
          <w:rFonts w:hint="eastAsia"/>
        </w:rPr>
        <w:t>物种组成分析</w:t>
      </w:r>
      <w:r>
        <w:tab/>
      </w:r>
      <w:r>
        <w:fldChar w:fldCharType="begin"/>
      </w:r>
      <w:r>
        <w:instrText xml:space="preserve"> PAGEREF _Toc8874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33C69B6B">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_Toc11525 </w:instrText>
      </w:r>
      <w:r>
        <w:rPr>
          <w:rFonts w:cs="Times New Roman"/>
        </w:rPr>
        <w:fldChar w:fldCharType="separate"/>
      </w:r>
      <w:r>
        <w:t xml:space="preserve">6.2 </w:t>
      </w:r>
      <w:r>
        <w:rPr>
          <w:rFonts w:hint="eastAsia"/>
        </w:rPr>
        <w:t>注释分析</w:t>
      </w:r>
      <w:r>
        <w:tab/>
      </w:r>
      <w:r>
        <w:fldChar w:fldCharType="begin"/>
      </w:r>
      <w:r>
        <w:instrText xml:space="preserve"> PAGEREF _Toc11525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043AB839">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_Toc2645 </w:instrText>
      </w:r>
      <w:r>
        <w:rPr>
          <w:rFonts w:cs="Times New Roman"/>
        </w:rPr>
        <w:fldChar w:fldCharType="separate"/>
      </w:r>
      <w:r>
        <w:t>6.3</w:t>
      </w:r>
      <w:r>
        <w:rPr>
          <w:rFonts w:hint="eastAsia"/>
        </w:rPr>
        <w:t xml:space="preserve"> </w:t>
      </w:r>
      <w:r>
        <w:t>物种组成柱状图</w:t>
      </w:r>
      <w:r>
        <w:tab/>
      </w:r>
      <w:r>
        <w:fldChar w:fldCharType="begin"/>
      </w:r>
      <w:r>
        <w:instrText xml:space="preserve"> PAGEREF _Toc2645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11DB5A4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_Toc8687 </w:instrText>
      </w:r>
      <w:r>
        <w:rPr>
          <w:rFonts w:cs="Times New Roman"/>
        </w:rPr>
        <w:fldChar w:fldCharType="separate"/>
      </w:r>
      <w:r>
        <w:t>6.4</w:t>
      </w:r>
      <w:r>
        <w:rPr>
          <w:rFonts w:hint="eastAsia"/>
        </w:rPr>
        <w:t xml:space="preserve"> UPGMA聚类树与柱状图结合绘图</w:t>
      </w:r>
      <w:r>
        <w:tab/>
      </w:r>
      <w:r>
        <w:fldChar w:fldCharType="begin"/>
      </w:r>
      <w:r>
        <w:instrText xml:space="preserve"> PAGEREF _Toc8687 \h </w:instrText>
      </w:r>
      <w:r>
        <w:fldChar w:fldCharType="separate"/>
      </w:r>
      <w:r>
        <w:t>13</w:t>
      </w:r>
      <w:r>
        <w:fldChar w:fldCharType="end"/>
      </w:r>
      <w:r>
        <w:rPr>
          <w:rFonts w:cs="Times New Roman"/>
          <w:color w:val="000000" w:themeColor="text1"/>
          <w14:textFill>
            <w14:solidFill>
              <w14:schemeClr w14:val="tx1"/>
            </w14:solidFill>
          </w14:textFill>
        </w:rPr>
        <w:fldChar w:fldCharType="end"/>
      </w:r>
    </w:p>
    <w:p w14:paraId="16776A4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_Toc7790 </w:instrText>
      </w:r>
      <w:r>
        <w:rPr>
          <w:rFonts w:cs="Times New Roman"/>
        </w:rPr>
        <w:fldChar w:fldCharType="separate"/>
      </w:r>
      <w:r>
        <w:t>6.5</w:t>
      </w:r>
      <w:r>
        <w:rPr>
          <w:rFonts w:hint="eastAsia"/>
        </w:rPr>
        <w:t xml:space="preserve"> </w:t>
      </w:r>
      <w:r>
        <w:t>物种组成聚类热图</w:t>
      </w:r>
      <w:r>
        <w:tab/>
      </w:r>
      <w:r>
        <w:fldChar w:fldCharType="begin"/>
      </w:r>
      <w:r>
        <w:instrText xml:space="preserve"> PAGEREF _Toc7790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05210240">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_Toc10555 </w:instrText>
      </w:r>
      <w:r>
        <w:rPr>
          <w:rFonts w:cs="Times New Roman"/>
        </w:rPr>
        <w:fldChar w:fldCharType="separate"/>
      </w:r>
      <w:r>
        <w:t>6.6</w:t>
      </w:r>
      <w:r>
        <w:rPr>
          <w:rFonts w:hint="eastAsia"/>
        </w:rPr>
        <w:t xml:space="preserve"> 基于物种丰度的降维分析</w:t>
      </w:r>
      <w:r>
        <w:tab/>
      </w:r>
      <w:r>
        <w:fldChar w:fldCharType="begin"/>
      </w:r>
      <w:r>
        <w:instrText xml:space="preserve"> PAGEREF _Toc10555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7BD7627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_Toc26984 </w:instrText>
      </w:r>
      <w:r>
        <w:rPr>
          <w:rFonts w:cs="Times New Roman"/>
        </w:rPr>
        <w:fldChar w:fldCharType="separate"/>
      </w:r>
      <w:r>
        <w:rPr>
          <w:rFonts w:hint="eastAsia"/>
        </w:rPr>
        <w:t>6.</w:t>
      </w:r>
      <w:r>
        <w:t>6.</w:t>
      </w:r>
      <w:r>
        <w:rPr>
          <w:bCs w:val="0"/>
        </w:rPr>
        <w:t>2</w:t>
      </w:r>
      <w:r>
        <w:rPr>
          <w:rFonts w:hint="eastAsia"/>
          <w:bCs w:val="0"/>
        </w:rPr>
        <w:t xml:space="preserve"> PCoA分析</w:t>
      </w:r>
      <w:r>
        <w:tab/>
      </w:r>
      <w:r>
        <w:fldChar w:fldCharType="begin"/>
      </w:r>
      <w:r>
        <w:instrText xml:space="preserve"> PAGEREF _Toc26984 \h </w:instrText>
      </w:r>
      <w:r>
        <w:fldChar w:fldCharType="separate"/>
      </w:r>
      <w:r>
        <w:t>15</w:t>
      </w:r>
      <w:r>
        <w:fldChar w:fldCharType="end"/>
      </w:r>
      <w:r>
        <w:rPr>
          <w:rFonts w:cs="Times New Roman"/>
          <w:color w:val="000000" w:themeColor="text1"/>
          <w14:textFill>
            <w14:solidFill>
              <w14:schemeClr w14:val="tx1"/>
            </w14:solidFill>
          </w14:textFill>
        </w:rPr>
        <w:fldChar w:fldCharType="end"/>
      </w:r>
    </w:p>
    <w:p w14:paraId="3F670AC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_Toc8920 </w:instrText>
      </w:r>
      <w:r>
        <w:rPr>
          <w:rFonts w:cs="Times New Roman"/>
        </w:rPr>
        <w:fldChar w:fldCharType="separate"/>
      </w:r>
      <w:r>
        <w:rPr>
          <w:rFonts w:hint="eastAsia"/>
        </w:rPr>
        <w:t>6.</w:t>
      </w:r>
      <w:r>
        <w:t>6.</w:t>
      </w:r>
      <w:r>
        <w:rPr>
          <w:bCs w:val="0"/>
        </w:rPr>
        <w:t>3</w:t>
      </w:r>
      <w:r>
        <w:rPr>
          <w:rFonts w:hint="eastAsia"/>
          <w:bCs w:val="0"/>
        </w:rPr>
        <w:t xml:space="preserve"> NMDS分析</w:t>
      </w:r>
      <w:r>
        <w:tab/>
      </w:r>
      <w:r>
        <w:fldChar w:fldCharType="begin"/>
      </w:r>
      <w:r>
        <w:instrText xml:space="preserve"> PAGEREF _Toc8920 \h </w:instrText>
      </w:r>
      <w:r>
        <w:fldChar w:fldCharType="separate"/>
      </w:r>
      <w:r>
        <w:t>16</w:t>
      </w:r>
      <w:r>
        <w:fldChar w:fldCharType="end"/>
      </w:r>
      <w:r>
        <w:rPr>
          <w:rFonts w:cs="Times New Roman"/>
          <w:color w:val="000000" w:themeColor="text1"/>
          <w14:textFill>
            <w14:solidFill>
              <w14:schemeClr w14:val="tx1"/>
            </w14:solidFill>
          </w14:textFill>
        </w:rPr>
        <w:fldChar w:fldCharType="end"/>
      </w:r>
    </w:p>
    <w:p w14:paraId="36EE9F3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_Toc30099 </w:instrText>
      </w:r>
      <w:r>
        <w:rPr>
          <w:rFonts w:cs="Times New Roman"/>
        </w:rPr>
        <w:fldChar w:fldCharType="separate"/>
      </w:r>
      <w:r>
        <w:rPr>
          <w:rFonts w:hint="eastAsia"/>
          <w:lang w:val="en-US" w:eastAsia="zh-CN"/>
        </w:rPr>
        <w:t>6.7</w:t>
      </w:r>
      <w:r>
        <w:rPr>
          <w:rFonts w:hint="default"/>
          <w:lang w:val="en-US" w:eastAsia="zh-CN"/>
        </w:rPr>
        <w:t>.Alpha多样性分析</w:t>
      </w:r>
      <w:r>
        <w:tab/>
      </w:r>
      <w:r>
        <w:fldChar w:fldCharType="begin"/>
      </w:r>
      <w:r>
        <w:instrText xml:space="preserve"> PAGEREF _Toc30099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1EA8F9C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_Toc31084 </w:instrText>
      </w:r>
      <w:r>
        <w:rPr>
          <w:rFonts w:cs="Times New Roman"/>
        </w:rPr>
        <w:fldChar w:fldCharType="separate"/>
      </w:r>
      <w:r>
        <w:rPr>
          <w:rFonts w:hint="eastAsia"/>
          <w:lang w:val="en-US" w:eastAsia="zh-CN"/>
        </w:rPr>
        <w:t>6.7.1 多样性指数统计</w:t>
      </w:r>
      <w:r>
        <w:tab/>
      </w:r>
      <w:r>
        <w:fldChar w:fldCharType="begin"/>
      </w:r>
      <w:r>
        <w:instrText xml:space="preserve"> PAGEREF _Toc31084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1CCF2E10">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_Toc20020 </w:instrText>
      </w:r>
      <w:r>
        <w:rPr>
          <w:rFonts w:cs="Times New Roman"/>
        </w:rPr>
        <w:fldChar w:fldCharType="separate"/>
      </w:r>
      <w:r>
        <w:rPr>
          <w:rFonts w:hint="eastAsia"/>
          <w:lang w:val="en-US" w:eastAsia="zh-CN"/>
        </w:rPr>
        <w:t>6.7.2 多样性指数差异分析</w:t>
      </w:r>
      <w:r>
        <w:tab/>
      </w:r>
      <w:r>
        <w:fldChar w:fldCharType="begin"/>
      </w:r>
      <w:r>
        <w:instrText xml:space="preserve"> PAGEREF _Toc20020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193EE36C">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_Toc29080 </w:instrText>
      </w:r>
      <w:r>
        <w:rPr>
          <w:rFonts w:cs="Times New Roman"/>
        </w:rPr>
        <w:fldChar w:fldCharType="separate"/>
      </w:r>
      <w:r>
        <w:rPr>
          <w:rFonts w:hint="eastAsia"/>
          <w:lang w:val="en-US" w:eastAsia="zh-CN"/>
        </w:rPr>
        <w:t>7</w:t>
      </w:r>
      <w:r>
        <w:t>. 差异分析</w:t>
      </w:r>
      <w:r>
        <w:tab/>
      </w:r>
      <w:r>
        <w:fldChar w:fldCharType="begin"/>
      </w:r>
      <w:r>
        <w:instrText xml:space="preserve"> PAGEREF _Toc29080 \h </w:instrText>
      </w:r>
      <w:r>
        <w:fldChar w:fldCharType="separate"/>
      </w:r>
      <w:r>
        <w:t>18</w:t>
      </w:r>
      <w:r>
        <w:fldChar w:fldCharType="end"/>
      </w:r>
      <w:r>
        <w:rPr>
          <w:rFonts w:cs="Times New Roman"/>
          <w:color w:val="000000" w:themeColor="text1"/>
          <w14:textFill>
            <w14:solidFill>
              <w14:schemeClr w14:val="tx1"/>
            </w14:solidFill>
          </w14:textFill>
        </w:rPr>
        <w:fldChar w:fldCharType="end"/>
      </w:r>
    </w:p>
    <w:p w14:paraId="1C9082D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_Toc6693 </w:instrText>
      </w:r>
      <w:r>
        <w:rPr>
          <w:rFonts w:cs="Times New Roman"/>
        </w:rPr>
        <w:fldChar w:fldCharType="separate"/>
      </w:r>
      <w:r>
        <w:rPr>
          <w:rFonts w:hint="eastAsia"/>
          <w:lang w:val="en-US" w:eastAsia="zh-CN"/>
        </w:rPr>
        <w:t>7</w:t>
      </w:r>
      <w:r>
        <w:t>.1 ANOVA分析</w:t>
      </w:r>
      <w:r>
        <w:tab/>
      </w:r>
      <w:r>
        <w:fldChar w:fldCharType="begin"/>
      </w:r>
      <w:r>
        <w:instrText xml:space="preserve"> PAGEREF _Toc6693 \h </w:instrText>
      </w:r>
      <w:r>
        <w:fldChar w:fldCharType="separate"/>
      </w:r>
      <w:r>
        <w:t>18</w:t>
      </w:r>
      <w:r>
        <w:fldChar w:fldCharType="end"/>
      </w:r>
      <w:r>
        <w:rPr>
          <w:rFonts w:cs="Times New Roman"/>
          <w:color w:val="000000" w:themeColor="text1"/>
          <w14:textFill>
            <w14:solidFill>
              <w14:schemeClr w14:val="tx1"/>
            </w14:solidFill>
          </w14:textFill>
        </w:rPr>
        <w:fldChar w:fldCharType="end"/>
      </w:r>
    </w:p>
    <w:p w14:paraId="47DAA860">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_Toc16517 </w:instrText>
      </w:r>
      <w:r>
        <w:rPr>
          <w:rFonts w:cs="Times New Roman"/>
        </w:rPr>
        <w:fldChar w:fldCharType="separate"/>
      </w:r>
      <w:r>
        <w:rPr>
          <w:rFonts w:hint="eastAsia"/>
          <w:lang w:val="en-US" w:eastAsia="zh-CN"/>
        </w:rPr>
        <w:t>7</w:t>
      </w:r>
      <w:r>
        <w:t xml:space="preserve">.2 </w:t>
      </w:r>
      <w:r>
        <w:rPr>
          <w:rFonts w:hint="eastAsia"/>
        </w:rPr>
        <w:t>秩和检验</w:t>
      </w:r>
      <w:r>
        <w:tab/>
      </w:r>
      <w:r>
        <w:fldChar w:fldCharType="begin"/>
      </w:r>
      <w:r>
        <w:instrText xml:space="preserve"> PAGEREF _Toc16517 \h </w:instrText>
      </w:r>
      <w:r>
        <w:fldChar w:fldCharType="separate"/>
      </w:r>
      <w:r>
        <w:t>19</w:t>
      </w:r>
      <w:r>
        <w:fldChar w:fldCharType="end"/>
      </w:r>
      <w:r>
        <w:rPr>
          <w:rFonts w:cs="Times New Roman"/>
          <w:color w:val="000000" w:themeColor="text1"/>
          <w14:textFill>
            <w14:solidFill>
              <w14:schemeClr w14:val="tx1"/>
            </w14:solidFill>
          </w14:textFill>
        </w:rPr>
        <w:fldChar w:fldCharType="end"/>
      </w:r>
    </w:p>
    <w:p w14:paraId="1FF2CBD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_Toc9406 </w:instrText>
      </w:r>
      <w:r>
        <w:rPr>
          <w:rFonts w:cs="Times New Roman"/>
        </w:rPr>
        <w:fldChar w:fldCharType="separate"/>
      </w:r>
      <w:r>
        <w:rPr>
          <w:rFonts w:hint="eastAsia"/>
          <w:lang w:val="en-US" w:eastAsia="zh-CN"/>
        </w:rPr>
        <w:t>7</w:t>
      </w:r>
      <w:r>
        <w:t xml:space="preserve">.3 </w:t>
      </w:r>
      <w:r>
        <w:rPr>
          <w:rFonts w:hint="eastAsia"/>
        </w:rPr>
        <w:t>Stamp分析</w:t>
      </w:r>
      <w:r>
        <w:tab/>
      </w:r>
      <w:r>
        <w:fldChar w:fldCharType="begin"/>
      </w:r>
      <w:r>
        <w:instrText xml:space="preserve"> PAGEREF _Toc9406 \h </w:instrText>
      </w:r>
      <w:r>
        <w:fldChar w:fldCharType="separate"/>
      </w:r>
      <w:r>
        <w:t>19</w:t>
      </w:r>
      <w:r>
        <w:fldChar w:fldCharType="end"/>
      </w:r>
      <w:r>
        <w:rPr>
          <w:rFonts w:cs="Times New Roman"/>
          <w:color w:val="000000" w:themeColor="text1"/>
          <w14:textFill>
            <w14:solidFill>
              <w14:schemeClr w14:val="tx1"/>
            </w14:solidFill>
          </w14:textFill>
        </w:rPr>
        <w:fldChar w:fldCharType="end"/>
      </w:r>
    </w:p>
    <w:p w14:paraId="3475DE6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_Toc2997 </w:instrText>
      </w:r>
      <w:r>
        <w:rPr>
          <w:rFonts w:cs="Times New Roman"/>
        </w:rPr>
        <w:fldChar w:fldCharType="separate"/>
      </w:r>
      <w:r>
        <w:rPr>
          <w:rFonts w:hint="eastAsia"/>
          <w:lang w:val="en-US" w:eastAsia="zh-CN"/>
        </w:rPr>
        <w:t>7</w:t>
      </w:r>
      <w:r>
        <w:t xml:space="preserve">.4 </w:t>
      </w:r>
      <w:r>
        <w:rPr>
          <w:rFonts w:hint="eastAsia"/>
        </w:rPr>
        <w:t>Random_Forest分析</w:t>
      </w:r>
      <w:r>
        <w:tab/>
      </w:r>
      <w:r>
        <w:fldChar w:fldCharType="begin"/>
      </w:r>
      <w:r>
        <w:instrText xml:space="preserve"> PAGEREF _Toc2997 \h </w:instrText>
      </w:r>
      <w:r>
        <w:fldChar w:fldCharType="separate"/>
      </w:r>
      <w:r>
        <w:t>20</w:t>
      </w:r>
      <w:r>
        <w:fldChar w:fldCharType="end"/>
      </w:r>
      <w:r>
        <w:rPr>
          <w:rFonts w:cs="Times New Roman"/>
          <w:color w:val="000000" w:themeColor="text1"/>
          <w14:textFill>
            <w14:solidFill>
              <w14:schemeClr w14:val="tx1"/>
            </w14:solidFill>
          </w14:textFill>
        </w:rPr>
        <w:fldChar w:fldCharType="end"/>
      </w:r>
    </w:p>
    <w:p w14:paraId="082E8CC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_Toc3806 </w:instrText>
      </w:r>
      <w:r>
        <w:rPr>
          <w:rFonts w:cs="Times New Roman"/>
        </w:rPr>
        <w:fldChar w:fldCharType="separate"/>
      </w:r>
      <w:r>
        <w:rPr>
          <w:rFonts w:hint="eastAsia"/>
          <w:lang w:val="en-US" w:eastAsia="zh-CN"/>
        </w:rPr>
        <w:t>7</w:t>
      </w:r>
      <w:r>
        <w:t>.5</w:t>
      </w:r>
      <w:r>
        <w:rPr>
          <w:rFonts w:hint="eastAsia"/>
        </w:rPr>
        <w:t xml:space="preserve"> M</w:t>
      </w:r>
      <w:r>
        <w:t>etagenomeSeq</w:t>
      </w:r>
      <w:r>
        <w:rPr>
          <w:rFonts w:hint="eastAsia"/>
        </w:rPr>
        <w:t>分析</w:t>
      </w:r>
      <w:r>
        <w:tab/>
      </w:r>
      <w:r>
        <w:fldChar w:fldCharType="begin"/>
      </w:r>
      <w:r>
        <w:instrText xml:space="preserve"> PAGEREF _Toc3806 \h </w:instrText>
      </w:r>
      <w:r>
        <w:fldChar w:fldCharType="separate"/>
      </w:r>
      <w:r>
        <w:t>20</w:t>
      </w:r>
      <w:r>
        <w:fldChar w:fldCharType="end"/>
      </w:r>
      <w:r>
        <w:rPr>
          <w:rFonts w:cs="Times New Roman"/>
          <w:color w:val="000000" w:themeColor="text1"/>
          <w14:textFill>
            <w14:solidFill>
              <w14:schemeClr w14:val="tx1"/>
            </w14:solidFill>
          </w14:textFill>
        </w:rPr>
        <w:fldChar w:fldCharType="end"/>
      </w:r>
    </w:p>
    <w:p w14:paraId="5330976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_Toc17508 </w:instrText>
      </w:r>
      <w:r>
        <w:rPr>
          <w:rFonts w:cs="Times New Roman"/>
        </w:rPr>
        <w:fldChar w:fldCharType="separate"/>
      </w:r>
      <w:r>
        <w:rPr>
          <w:rFonts w:hint="eastAsia"/>
          <w:lang w:val="en-US" w:eastAsia="zh-CN"/>
        </w:rPr>
        <w:t>7</w:t>
      </w:r>
      <w:r>
        <w:t>.6 Anosim</w:t>
      </w:r>
      <w:r>
        <w:rPr>
          <w:rFonts w:hint="eastAsia"/>
        </w:rPr>
        <w:t>分析</w:t>
      </w:r>
      <w:r>
        <w:tab/>
      </w:r>
      <w:r>
        <w:fldChar w:fldCharType="begin"/>
      </w:r>
      <w:r>
        <w:instrText xml:space="preserve"> PAGEREF _Toc17508 \h </w:instrText>
      </w:r>
      <w:r>
        <w:fldChar w:fldCharType="separate"/>
      </w:r>
      <w:r>
        <w:t>21</w:t>
      </w:r>
      <w:r>
        <w:fldChar w:fldCharType="end"/>
      </w:r>
      <w:r>
        <w:rPr>
          <w:rFonts w:cs="Times New Roman"/>
          <w:color w:val="000000" w:themeColor="text1"/>
          <w14:textFill>
            <w14:solidFill>
              <w14:schemeClr w14:val="tx1"/>
            </w14:solidFill>
          </w14:textFill>
        </w:rPr>
        <w:fldChar w:fldCharType="end"/>
      </w:r>
    </w:p>
    <w:p w14:paraId="5E4A50D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_Toc28995 </w:instrText>
      </w:r>
      <w:r>
        <w:rPr>
          <w:rFonts w:cs="Times New Roman"/>
        </w:rPr>
        <w:fldChar w:fldCharType="separate"/>
      </w:r>
      <w:r>
        <w:rPr>
          <w:rFonts w:hint="eastAsia"/>
          <w:lang w:val="en-US" w:eastAsia="zh-CN"/>
        </w:rPr>
        <w:t>7</w:t>
      </w:r>
      <w:r>
        <w:t>.7 ADONIS分析</w:t>
      </w:r>
      <w:r>
        <w:tab/>
      </w:r>
      <w:r>
        <w:fldChar w:fldCharType="begin"/>
      </w:r>
      <w:r>
        <w:instrText xml:space="preserve"> PAGEREF _Toc28995 \h </w:instrText>
      </w:r>
      <w:r>
        <w:fldChar w:fldCharType="separate"/>
      </w:r>
      <w:r>
        <w:t>22</w:t>
      </w:r>
      <w:r>
        <w:fldChar w:fldCharType="end"/>
      </w:r>
      <w:r>
        <w:rPr>
          <w:rFonts w:cs="Times New Roman"/>
          <w:color w:val="000000" w:themeColor="text1"/>
          <w14:textFill>
            <w14:solidFill>
              <w14:schemeClr w14:val="tx1"/>
            </w14:solidFill>
          </w14:textFill>
        </w:rPr>
        <w:fldChar w:fldCharType="end"/>
      </w:r>
    </w:p>
    <w:p w14:paraId="1B8DBAA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_Toc8965 </w:instrText>
      </w:r>
      <w:r>
        <w:rPr>
          <w:rFonts w:cs="Times New Roman"/>
        </w:rPr>
        <w:fldChar w:fldCharType="separate"/>
      </w:r>
      <w:r>
        <w:rPr>
          <w:rFonts w:hint="eastAsia"/>
          <w:lang w:val="en-US" w:eastAsia="zh-CN"/>
        </w:rPr>
        <w:t>7</w:t>
      </w:r>
      <w:r>
        <w:t>.8 MRPP分析</w:t>
      </w:r>
      <w:r>
        <w:tab/>
      </w:r>
      <w:r>
        <w:fldChar w:fldCharType="begin"/>
      </w:r>
      <w:r>
        <w:instrText xml:space="preserve"> PAGEREF _Toc8965 \h </w:instrText>
      </w:r>
      <w:r>
        <w:fldChar w:fldCharType="separate"/>
      </w:r>
      <w:r>
        <w:t>22</w:t>
      </w:r>
      <w:r>
        <w:fldChar w:fldCharType="end"/>
      </w:r>
      <w:r>
        <w:rPr>
          <w:rFonts w:cs="Times New Roman"/>
          <w:color w:val="000000" w:themeColor="text1"/>
          <w14:textFill>
            <w14:solidFill>
              <w14:schemeClr w14:val="tx1"/>
            </w14:solidFill>
          </w14:textFill>
        </w:rPr>
        <w:fldChar w:fldCharType="end"/>
      </w:r>
    </w:p>
    <w:p w14:paraId="0C4D31B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_Toc17041 </w:instrText>
      </w:r>
      <w:r>
        <w:rPr>
          <w:rFonts w:cs="Times New Roman"/>
        </w:rPr>
        <w:fldChar w:fldCharType="separate"/>
      </w:r>
      <w:r>
        <w:rPr>
          <w:rFonts w:hint="eastAsia"/>
          <w:lang w:val="en-US" w:eastAsia="zh-CN"/>
        </w:rPr>
        <w:t>7</w:t>
      </w:r>
      <w:r>
        <w:t>.9 Lefse分析</w:t>
      </w:r>
      <w:r>
        <w:tab/>
      </w:r>
      <w:r>
        <w:fldChar w:fldCharType="begin"/>
      </w:r>
      <w:r>
        <w:instrText xml:space="preserve"> PAGEREF _Toc17041 \h </w:instrText>
      </w:r>
      <w:r>
        <w:fldChar w:fldCharType="separate"/>
      </w:r>
      <w:r>
        <w:t>23</w:t>
      </w:r>
      <w:r>
        <w:fldChar w:fldCharType="end"/>
      </w:r>
      <w:r>
        <w:rPr>
          <w:rFonts w:cs="Times New Roman"/>
          <w:color w:val="000000" w:themeColor="text1"/>
          <w14:textFill>
            <w14:solidFill>
              <w14:schemeClr w14:val="tx1"/>
            </w14:solidFill>
          </w14:textFill>
        </w:rPr>
        <w:fldChar w:fldCharType="end"/>
      </w:r>
    </w:p>
    <w:p w14:paraId="04A4FD3D">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_Toc27554 </w:instrText>
      </w:r>
      <w:r>
        <w:rPr>
          <w:rFonts w:cs="Times New Roman"/>
        </w:rPr>
        <w:fldChar w:fldCharType="separate"/>
      </w:r>
      <w:r>
        <w:rPr>
          <w:rFonts w:hint="eastAsia"/>
          <w:lang w:val="en-US" w:eastAsia="zh-CN"/>
        </w:rPr>
        <w:t>8</w:t>
      </w:r>
      <w:r>
        <w:t xml:space="preserve">. </w:t>
      </w:r>
      <w:r>
        <w:rPr>
          <w:rFonts w:hint="eastAsia"/>
        </w:rPr>
        <w:t>功能预测</w:t>
      </w:r>
      <w:r>
        <w:tab/>
      </w:r>
      <w:r>
        <w:fldChar w:fldCharType="begin"/>
      </w:r>
      <w:r>
        <w:instrText xml:space="preserve"> PAGEREF _Toc27554 \h </w:instrText>
      </w:r>
      <w:r>
        <w:fldChar w:fldCharType="separate"/>
      </w:r>
      <w:r>
        <w:t>24</w:t>
      </w:r>
      <w:r>
        <w:fldChar w:fldCharType="end"/>
      </w:r>
      <w:r>
        <w:rPr>
          <w:rFonts w:cs="Times New Roman"/>
          <w:color w:val="000000" w:themeColor="text1"/>
          <w14:textFill>
            <w14:solidFill>
              <w14:schemeClr w14:val="tx1"/>
            </w14:solidFill>
          </w14:textFill>
        </w:rPr>
        <w:fldChar w:fldCharType="end"/>
      </w:r>
    </w:p>
    <w:p w14:paraId="6EE7A22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_Toc9921 </w:instrText>
      </w:r>
      <w:r>
        <w:rPr>
          <w:rFonts w:cs="Times New Roman"/>
        </w:rPr>
        <w:fldChar w:fldCharType="separate"/>
      </w:r>
      <w:r>
        <w:rPr>
          <w:rFonts w:hint="eastAsia"/>
          <w:lang w:val="en-US" w:eastAsia="zh-CN"/>
        </w:rPr>
        <w:t>8</w:t>
      </w:r>
      <w:r>
        <w:t xml:space="preserve">.1 </w:t>
      </w:r>
      <w:r>
        <w:rPr>
          <w:rFonts w:hint="eastAsia"/>
        </w:rPr>
        <w:t>功能相对丰度概况</w:t>
      </w:r>
      <w:r>
        <w:tab/>
      </w:r>
      <w:r>
        <w:fldChar w:fldCharType="begin"/>
      </w:r>
      <w:r>
        <w:instrText xml:space="preserve"> PAGEREF _Toc9921 \h </w:instrText>
      </w:r>
      <w:r>
        <w:fldChar w:fldCharType="separate"/>
      </w:r>
      <w:r>
        <w:t>25</w:t>
      </w:r>
      <w:r>
        <w:fldChar w:fldCharType="end"/>
      </w:r>
      <w:r>
        <w:rPr>
          <w:rFonts w:cs="Times New Roman"/>
          <w:color w:val="000000" w:themeColor="text1"/>
          <w14:textFill>
            <w14:solidFill>
              <w14:schemeClr w14:val="tx1"/>
            </w14:solidFill>
          </w14:textFill>
        </w:rPr>
        <w:fldChar w:fldCharType="end"/>
      </w:r>
    </w:p>
    <w:p w14:paraId="1D0B747F">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_Toc10783 </w:instrText>
      </w:r>
      <w:r>
        <w:rPr>
          <w:rFonts w:cs="Times New Roman"/>
        </w:rPr>
        <w:fldChar w:fldCharType="separate"/>
      </w:r>
      <w:r>
        <w:rPr>
          <w:rFonts w:hint="eastAsia"/>
          <w:lang w:val="en-US" w:eastAsia="zh-CN"/>
        </w:rPr>
        <w:t>8</w:t>
      </w:r>
      <w:r>
        <w:t xml:space="preserve">.2 </w:t>
      </w:r>
      <w:r>
        <w:rPr>
          <w:rFonts w:hint="eastAsia"/>
        </w:rPr>
        <w:t>基于功能丰度的降维分析</w:t>
      </w:r>
      <w:r>
        <w:tab/>
      </w:r>
      <w:r>
        <w:fldChar w:fldCharType="begin"/>
      </w:r>
      <w:r>
        <w:instrText xml:space="preserve"> PAGEREF _Toc10783 \h </w:instrText>
      </w:r>
      <w:r>
        <w:fldChar w:fldCharType="separate"/>
      </w:r>
      <w:r>
        <w:t>26</w:t>
      </w:r>
      <w:r>
        <w:fldChar w:fldCharType="end"/>
      </w:r>
      <w:r>
        <w:rPr>
          <w:rFonts w:cs="Times New Roman"/>
          <w:color w:val="000000" w:themeColor="text1"/>
          <w14:textFill>
            <w14:solidFill>
              <w14:schemeClr w14:val="tx1"/>
            </w14:solidFill>
          </w14:textFill>
        </w:rPr>
        <w:fldChar w:fldCharType="end"/>
      </w:r>
    </w:p>
    <w:p w14:paraId="1C42710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_Toc15049 </w:instrText>
      </w:r>
      <w:r>
        <w:rPr>
          <w:rFonts w:cs="Times New Roman"/>
        </w:rPr>
        <w:fldChar w:fldCharType="separate"/>
      </w:r>
      <w:r>
        <w:rPr>
          <w:rFonts w:hint="eastAsia"/>
          <w:lang w:val="en-US" w:eastAsia="zh-CN"/>
        </w:rPr>
        <w:t>8</w:t>
      </w:r>
      <w:r>
        <w:t xml:space="preserve">.3 </w:t>
      </w:r>
      <w:r>
        <w:rPr>
          <w:rFonts w:hint="eastAsia"/>
        </w:rPr>
        <w:t>基于功能丰度的组间差异分析</w:t>
      </w:r>
      <w:r>
        <w:tab/>
      </w:r>
      <w:r>
        <w:fldChar w:fldCharType="begin"/>
      </w:r>
      <w:r>
        <w:instrText xml:space="preserve"> PAGEREF _Toc15049 \h </w:instrText>
      </w:r>
      <w:r>
        <w:fldChar w:fldCharType="separate"/>
      </w:r>
      <w:r>
        <w:t>29</w:t>
      </w:r>
      <w:r>
        <w:fldChar w:fldCharType="end"/>
      </w:r>
      <w:r>
        <w:rPr>
          <w:rFonts w:cs="Times New Roman"/>
          <w:color w:val="000000" w:themeColor="text1"/>
          <w14:textFill>
            <w14:solidFill>
              <w14:schemeClr w14:val="tx1"/>
            </w14:solidFill>
          </w14:textFill>
        </w:rPr>
        <w:fldChar w:fldCharType="end"/>
      </w:r>
    </w:p>
    <w:p w14:paraId="3FD8593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_Toc19888 </w:instrText>
      </w:r>
      <w:r>
        <w:rPr>
          <w:rFonts w:cs="Times New Roman"/>
        </w:rPr>
        <w:fldChar w:fldCharType="separate"/>
      </w:r>
      <w:r>
        <w:rPr>
          <w:rFonts w:hint="eastAsia"/>
          <w:lang w:val="en-US" w:eastAsia="zh-CN"/>
        </w:rPr>
        <w:t>9</w:t>
      </w:r>
      <w:r>
        <w:t xml:space="preserve">. </w:t>
      </w:r>
      <w:r>
        <w:rPr>
          <w:rFonts w:hint="eastAsia"/>
        </w:rPr>
        <w:t>生物地球化学循环功能分析</w:t>
      </w:r>
      <w:r>
        <w:tab/>
      </w:r>
      <w:r>
        <w:fldChar w:fldCharType="begin"/>
      </w:r>
      <w:r>
        <w:instrText xml:space="preserve"> PAGEREF _Toc19888 \h </w:instrText>
      </w:r>
      <w:r>
        <w:fldChar w:fldCharType="separate"/>
      </w:r>
      <w:r>
        <w:t>33</w:t>
      </w:r>
      <w:r>
        <w:fldChar w:fldCharType="end"/>
      </w:r>
      <w:r>
        <w:rPr>
          <w:rFonts w:cs="Times New Roman"/>
          <w:color w:val="000000" w:themeColor="text1"/>
          <w14:textFill>
            <w14:solidFill>
              <w14:schemeClr w14:val="tx1"/>
            </w14:solidFill>
          </w14:textFill>
        </w:rPr>
        <w:fldChar w:fldCharType="end"/>
      </w:r>
    </w:p>
    <w:p w14:paraId="685EFF6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_Toc18105 </w:instrText>
      </w:r>
      <w:r>
        <w:rPr>
          <w:rFonts w:cs="Times New Roman"/>
        </w:rPr>
        <w:fldChar w:fldCharType="separate"/>
      </w:r>
      <w:r>
        <w:rPr>
          <w:rFonts w:hint="eastAsia"/>
          <w:lang w:val="en-US" w:eastAsia="zh-CN"/>
        </w:rPr>
        <w:t>9</w:t>
      </w:r>
      <w:r>
        <w:t xml:space="preserve">.1 </w:t>
      </w:r>
      <w:r>
        <w:rPr>
          <w:rFonts w:hint="eastAsia"/>
        </w:rPr>
        <w:t>功能相对丰度概况</w:t>
      </w:r>
      <w:r>
        <w:tab/>
      </w:r>
      <w:r>
        <w:fldChar w:fldCharType="begin"/>
      </w:r>
      <w:r>
        <w:instrText xml:space="preserve"> PAGEREF _Toc18105 \h </w:instrText>
      </w:r>
      <w:r>
        <w:fldChar w:fldCharType="separate"/>
      </w:r>
      <w:r>
        <w:t>34</w:t>
      </w:r>
      <w:r>
        <w:fldChar w:fldCharType="end"/>
      </w:r>
      <w:r>
        <w:rPr>
          <w:rFonts w:cs="Times New Roman"/>
          <w:color w:val="000000" w:themeColor="text1"/>
          <w14:textFill>
            <w14:solidFill>
              <w14:schemeClr w14:val="tx1"/>
            </w14:solidFill>
          </w14:textFill>
        </w:rPr>
        <w:fldChar w:fldCharType="end"/>
      </w:r>
    </w:p>
    <w:p w14:paraId="0948A74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_Toc1295 </w:instrText>
      </w:r>
      <w:r>
        <w:rPr>
          <w:rFonts w:cs="Times New Roman"/>
        </w:rPr>
        <w:fldChar w:fldCharType="separate"/>
      </w:r>
      <w:r>
        <w:rPr>
          <w:rFonts w:hint="eastAsia"/>
          <w:lang w:val="en-US" w:eastAsia="zh-CN"/>
        </w:rPr>
        <w:t>9</w:t>
      </w:r>
      <w:r>
        <w:t xml:space="preserve">.2 </w:t>
      </w:r>
      <w:r>
        <w:rPr>
          <w:rFonts w:hint="eastAsia"/>
        </w:rPr>
        <w:t>基于功能丰度的降维分析</w:t>
      </w:r>
      <w:r>
        <w:tab/>
      </w:r>
      <w:r>
        <w:fldChar w:fldCharType="begin"/>
      </w:r>
      <w:r>
        <w:instrText xml:space="preserve"> PAGEREF _Toc1295 \h </w:instrText>
      </w:r>
      <w:r>
        <w:fldChar w:fldCharType="separate"/>
      </w:r>
      <w:r>
        <w:t>35</w:t>
      </w:r>
      <w:r>
        <w:fldChar w:fldCharType="end"/>
      </w:r>
      <w:r>
        <w:rPr>
          <w:rFonts w:cs="Times New Roman"/>
          <w:color w:val="000000" w:themeColor="text1"/>
          <w14:textFill>
            <w14:solidFill>
              <w14:schemeClr w14:val="tx1"/>
            </w14:solidFill>
          </w14:textFill>
        </w:rPr>
        <w:fldChar w:fldCharType="end"/>
      </w:r>
    </w:p>
    <w:p w14:paraId="57C2F4B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_Toc20909 </w:instrText>
      </w:r>
      <w:r>
        <w:rPr>
          <w:rFonts w:cs="Times New Roman"/>
        </w:rPr>
        <w:fldChar w:fldCharType="separate"/>
      </w:r>
      <w:r>
        <w:rPr>
          <w:rFonts w:hint="eastAsia"/>
          <w:lang w:val="en-US" w:eastAsia="zh-CN"/>
        </w:rPr>
        <w:t>9</w:t>
      </w:r>
      <w:r>
        <w:t xml:space="preserve">.3 </w:t>
      </w:r>
      <w:r>
        <w:rPr>
          <w:rFonts w:hint="eastAsia"/>
        </w:rPr>
        <w:t>基于功能丰度的组间差异分析</w:t>
      </w:r>
      <w:r>
        <w:tab/>
      </w:r>
      <w:r>
        <w:fldChar w:fldCharType="begin"/>
      </w:r>
      <w:r>
        <w:instrText xml:space="preserve"> PAGEREF _Toc20909 \h </w:instrText>
      </w:r>
      <w:r>
        <w:fldChar w:fldCharType="separate"/>
      </w:r>
      <w:r>
        <w:t>37</w:t>
      </w:r>
      <w:r>
        <w:fldChar w:fldCharType="end"/>
      </w:r>
      <w:r>
        <w:rPr>
          <w:rFonts w:cs="Times New Roman"/>
          <w:color w:val="000000" w:themeColor="text1"/>
          <w14:textFill>
            <w14:solidFill>
              <w14:schemeClr w14:val="tx1"/>
            </w14:solidFill>
          </w14:textFill>
        </w:rPr>
        <w:fldChar w:fldCharType="end"/>
      </w:r>
    </w:p>
    <w:p w14:paraId="77B4CCA8">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_Toc2342 </w:instrText>
      </w:r>
      <w:r>
        <w:rPr>
          <w:rFonts w:cs="Times New Roman"/>
        </w:rPr>
        <w:fldChar w:fldCharType="separate"/>
      </w:r>
      <w:r>
        <w:t>1</w:t>
      </w:r>
      <w:r>
        <w:rPr>
          <w:rFonts w:hint="eastAsia"/>
          <w:lang w:val="en-US" w:eastAsia="zh-CN"/>
        </w:rPr>
        <w:t>0</w:t>
      </w:r>
      <w:r>
        <w:t xml:space="preserve">. </w:t>
      </w:r>
      <w:r>
        <w:rPr>
          <w:rFonts w:hint="eastAsia"/>
        </w:rPr>
        <w:t>抗性基因注释</w:t>
      </w:r>
      <w:r>
        <w:tab/>
      </w:r>
      <w:r>
        <w:fldChar w:fldCharType="begin"/>
      </w:r>
      <w:r>
        <w:instrText xml:space="preserve"> PAGEREF _Toc2342 \h </w:instrText>
      </w:r>
      <w:r>
        <w:fldChar w:fldCharType="separate"/>
      </w:r>
      <w:r>
        <w:t>42</w:t>
      </w:r>
      <w:r>
        <w:fldChar w:fldCharType="end"/>
      </w:r>
      <w:r>
        <w:rPr>
          <w:rFonts w:cs="Times New Roman"/>
          <w:color w:val="000000" w:themeColor="text1"/>
          <w14:textFill>
            <w14:solidFill>
              <w14:schemeClr w14:val="tx1"/>
            </w14:solidFill>
          </w14:textFill>
        </w:rPr>
        <w:fldChar w:fldCharType="end"/>
      </w:r>
    </w:p>
    <w:p w14:paraId="5BC543A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_Toc11827 </w:instrText>
      </w:r>
      <w:r>
        <w:rPr>
          <w:rFonts w:cs="Times New Roman"/>
        </w:rPr>
        <w:fldChar w:fldCharType="separate"/>
      </w:r>
      <w:r>
        <w:t>1</w:t>
      </w:r>
      <w:r>
        <w:rPr>
          <w:rFonts w:hint="eastAsia"/>
          <w:lang w:val="en-US" w:eastAsia="zh-CN"/>
        </w:rPr>
        <w:t>0</w:t>
      </w:r>
      <w:r>
        <w:t>.1</w:t>
      </w:r>
      <w:r>
        <w:rPr>
          <w:rFonts w:hint="eastAsia"/>
        </w:rPr>
        <w:t>抗性基因丰度统计</w:t>
      </w:r>
      <w:r>
        <w:tab/>
      </w:r>
      <w:r>
        <w:fldChar w:fldCharType="begin"/>
      </w:r>
      <w:r>
        <w:instrText xml:space="preserve"> PAGEREF _Toc11827 \h </w:instrText>
      </w:r>
      <w:r>
        <w:fldChar w:fldCharType="separate"/>
      </w:r>
      <w:r>
        <w:t>42</w:t>
      </w:r>
      <w:r>
        <w:fldChar w:fldCharType="end"/>
      </w:r>
      <w:r>
        <w:rPr>
          <w:rFonts w:cs="Times New Roman"/>
          <w:color w:val="000000" w:themeColor="text1"/>
          <w14:textFill>
            <w14:solidFill>
              <w14:schemeClr w14:val="tx1"/>
            </w14:solidFill>
          </w14:textFill>
        </w:rPr>
        <w:fldChar w:fldCharType="end"/>
      </w:r>
    </w:p>
    <w:p w14:paraId="7B1AA10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_Toc12878 </w:instrText>
      </w:r>
      <w:r>
        <w:rPr>
          <w:rFonts w:cs="Times New Roman"/>
        </w:rPr>
        <w:fldChar w:fldCharType="separate"/>
      </w:r>
      <w:r>
        <w:t>1</w:t>
      </w:r>
      <w:r>
        <w:rPr>
          <w:rFonts w:hint="eastAsia"/>
          <w:lang w:val="en-US" w:eastAsia="zh-CN"/>
        </w:rPr>
        <w:t>0</w:t>
      </w:r>
      <w:r>
        <w:t xml:space="preserve">.2 </w:t>
      </w:r>
      <w:r>
        <w:rPr>
          <w:rFonts w:hint="eastAsia"/>
        </w:rPr>
        <w:t>基于抗性基因功能的降维分析</w:t>
      </w:r>
      <w:r>
        <w:tab/>
      </w:r>
      <w:r>
        <w:fldChar w:fldCharType="begin"/>
      </w:r>
      <w:r>
        <w:instrText xml:space="preserve"> PAGEREF _Toc12878 \h </w:instrText>
      </w:r>
      <w:r>
        <w:fldChar w:fldCharType="separate"/>
      </w:r>
      <w:r>
        <w:t>43</w:t>
      </w:r>
      <w:r>
        <w:fldChar w:fldCharType="end"/>
      </w:r>
      <w:r>
        <w:rPr>
          <w:rFonts w:cs="Times New Roman"/>
          <w:color w:val="000000" w:themeColor="text1"/>
          <w14:textFill>
            <w14:solidFill>
              <w14:schemeClr w14:val="tx1"/>
            </w14:solidFill>
          </w14:textFill>
        </w:rPr>
        <w:fldChar w:fldCharType="end"/>
      </w:r>
    </w:p>
    <w:p w14:paraId="41E6C1D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_Toc2854 </w:instrText>
      </w:r>
      <w:r>
        <w:rPr>
          <w:rFonts w:cs="Times New Roman"/>
        </w:rPr>
        <w:fldChar w:fldCharType="separate"/>
      </w:r>
      <w:r>
        <w:t>1</w:t>
      </w:r>
      <w:r>
        <w:rPr>
          <w:rFonts w:hint="eastAsia"/>
          <w:lang w:val="en-US" w:eastAsia="zh-CN"/>
        </w:rPr>
        <w:t>0</w:t>
      </w:r>
      <w:r>
        <w:t xml:space="preserve">.3 </w:t>
      </w:r>
      <w:r>
        <w:rPr>
          <w:rFonts w:hint="eastAsia"/>
        </w:rPr>
        <w:t>基于抗性基因的组间差异分析</w:t>
      </w:r>
      <w:r>
        <w:tab/>
      </w:r>
      <w:r>
        <w:fldChar w:fldCharType="begin"/>
      </w:r>
      <w:r>
        <w:instrText xml:space="preserve"> PAGEREF _Toc2854 \h </w:instrText>
      </w:r>
      <w:r>
        <w:fldChar w:fldCharType="separate"/>
      </w:r>
      <w:r>
        <w:t>45</w:t>
      </w:r>
      <w:r>
        <w:fldChar w:fldCharType="end"/>
      </w:r>
      <w:r>
        <w:rPr>
          <w:rFonts w:cs="Times New Roman"/>
          <w:color w:val="000000" w:themeColor="text1"/>
          <w14:textFill>
            <w14:solidFill>
              <w14:schemeClr w14:val="tx1"/>
            </w14:solidFill>
          </w14:textFill>
        </w:rPr>
        <w:fldChar w:fldCharType="end"/>
      </w:r>
    </w:p>
    <w:p w14:paraId="61F14323">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_Toc21591 </w:instrText>
      </w:r>
      <w:r>
        <w:rPr>
          <w:rFonts w:cs="Times New Roman"/>
        </w:rPr>
        <w:fldChar w:fldCharType="separate"/>
      </w:r>
      <w:r>
        <w:rPr>
          <w:rFonts w:hint="eastAsia"/>
          <w:bCs w:val="0"/>
        </w:rPr>
        <w:t>1</w:t>
      </w:r>
      <w:r>
        <w:rPr>
          <w:rFonts w:hint="eastAsia"/>
          <w:bCs w:val="0"/>
          <w:lang w:val="en-US" w:eastAsia="zh-CN"/>
        </w:rPr>
        <w:t>1</w:t>
      </w:r>
      <w:r>
        <w:rPr>
          <w:bCs w:val="0"/>
        </w:rPr>
        <w:t xml:space="preserve">. </w:t>
      </w:r>
      <w:r>
        <w:rPr>
          <w:rFonts w:hint="eastAsia"/>
        </w:rPr>
        <w:t>毒力因子分析</w:t>
      </w:r>
      <w:r>
        <w:tab/>
      </w:r>
      <w:r>
        <w:fldChar w:fldCharType="begin"/>
      </w:r>
      <w:r>
        <w:instrText xml:space="preserve"> PAGEREF _Toc21591 \h </w:instrText>
      </w:r>
      <w:r>
        <w:fldChar w:fldCharType="separate"/>
      </w:r>
      <w:r>
        <w:t>50</w:t>
      </w:r>
      <w:r>
        <w:fldChar w:fldCharType="end"/>
      </w:r>
      <w:r>
        <w:rPr>
          <w:rFonts w:cs="Times New Roman"/>
          <w:color w:val="000000" w:themeColor="text1"/>
          <w14:textFill>
            <w14:solidFill>
              <w14:schemeClr w14:val="tx1"/>
            </w14:solidFill>
          </w14:textFill>
        </w:rPr>
        <w:fldChar w:fldCharType="end"/>
      </w:r>
    </w:p>
    <w:p w14:paraId="1A97086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_Toc13316 </w:instrText>
      </w:r>
      <w:r>
        <w:rPr>
          <w:rFonts w:cs="Times New Roman"/>
        </w:rPr>
        <w:fldChar w:fldCharType="separate"/>
      </w:r>
      <w:r>
        <w:t>1</w:t>
      </w:r>
      <w:r>
        <w:rPr>
          <w:rFonts w:hint="eastAsia"/>
          <w:lang w:val="en-US" w:eastAsia="zh-CN"/>
        </w:rPr>
        <w:t>1</w:t>
      </w:r>
      <w:r>
        <w:t>.1</w:t>
      </w:r>
      <w:r>
        <w:rPr>
          <w:rFonts w:hint="eastAsia"/>
        </w:rPr>
        <w:t>毒力因子基因丰度统计</w:t>
      </w:r>
      <w:r>
        <w:tab/>
      </w:r>
      <w:r>
        <w:fldChar w:fldCharType="begin"/>
      </w:r>
      <w:r>
        <w:instrText xml:space="preserve"> PAGEREF _Toc13316 \h </w:instrText>
      </w:r>
      <w:r>
        <w:fldChar w:fldCharType="separate"/>
      </w:r>
      <w:r>
        <w:t>50</w:t>
      </w:r>
      <w:r>
        <w:fldChar w:fldCharType="end"/>
      </w:r>
      <w:r>
        <w:rPr>
          <w:rFonts w:cs="Times New Roman"/>
          <w:color w:val="000000" w:themeColor="text1"/>
          <w14:textFill>
            <w14:solidFill>
              <w14:schemeClr w14:val="tx1"/>
            </w14:solidFill>
          </w14:textFill>
        </w:rPr>
        <w:fldChar w:fldCharType="end"/>
      </w:r>
    </w:p>
    <w:p w14:paraId="2D53EE1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_Toc32753 </w:instrText>
      </w:r>
      <w:r>
        <w:rPr>
          <w:rFonts w:cs="Times New Roman"/>
        </w:rPr>
        <w:fldChar w:fldCharType="separate"/>
      </w:r>
      <w:r>
        <w:t>1</w:t>
      </w:r>
      <w:r>
        <w:rPr>
          <w:rFonts w:hint="eastAsia"/>
          <w:lang w:val="en-US" w:eastAsia="zh-CN"/>
        </w:rPr>
        <w:t>1</w:t>
      </w:r>
      <w:r>
        <w:t xml:space="preserve">.2 </w:t>
      </w:r>
      <w:r>
        <w:rPr>
          <w:rFonts w:hint="eastAsia"/>
        </w:rPr>
        <w:t>基于毒力因子的降维分析</w:t>
      </w:r>
      <w:r>
        <w:tab/>
      </w:r>
      <w:r>
        <w:fldChar w:fldCharType="begin"/>
      </w:r>
      <w:r>
        <w:instrText xml:space="preserve"> PAGEREF _Toc32753 \h </w:instrText>
      </w:r>
      <w:r>
        <w:fldChar w:fldCharType="separate"/>
      </w:r>
      <w:r>
        <w:t>51</w:t>
      </w:r>
      <w:r>
        <w:fldChar w:fldCharType="end"/>
      </w:r>
      <w:r>
        <w:rPr>
          <w:rFonts w:cs="Times New Roman"/>
          <w:color w:val="000000" w:themeColor="text1"/>
          <w14:textFill>
            <w14:solidFill>
              <w14:schemeClr w14:val="tx1"/>
            </w14:solidFill>
          </w14:textFill>
        </w:rPr>
        <w:fldChar w:fldCharType="end"/>
      </w:r>
    </w:p>
    <w:p w14:paraId="143C519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_Toc17732 </w:instrText>
      </w:r>
      <w:r>
        <w:rPr>
          <w:rFonts w:cs="Times New Roman"/>
        </w:rPr>
        <w:fldChar w:fldCharType="separate"/>
      </w:r>
      <w:r>
        <w:t>1</w:t>
      </w:r>
      <w:r>
        <w:rPr>
          <w:rFonts w:hint="eastAsia"/>
          <w:lang w:val="en-US" w:eastAsia="zh-CN"/>
        </w:rPr>
        <w:t>1</w:t>
      </w:r>
      <w:r>
        <w:t xml:space="preserve">.3 </w:t>
      </w:r>
      <w:r>
        <w:rPr>
          <w:rFonts w:hint="eastAsia"/>
        </w:rPr>
        <w:t>基于毒力因子的组间差异分析</w:t>
      </w:r>
      <w:r>
        <w:tab/>
      </w:r>
      <w:r>
        <w:fldChar w:fldCharType="begin"/>
      </w:r>
      <w:r>
        <w:instrText xml:space="preserve"> PAGEREF _Toc17732 \h </w:instrText>
      </w:r>
      <w:r>
        <w:fldChar w:fldCharType="separate"/>
      </w:r>
      <w:r>
        <w:t>53</w:t>
      </w:r>
      <w:r>
        <w:fldChar w:fldCharType="end"/>
      </w:r>
      <w:r>
        <w:rPr>
          <w:rFonts w:cs="Times New Roman"/>
          <w:color w:val="000000" w:themeColor="text1"/>
          <w14:textFill>
            <w14:solidFill>
              <w14:schemeClr w14:val="tx1"/>
            </w14:solidFill>
          </w14:textFill>
        </w:rPr>
        <w:fldChar w:fldCharType="end"/>
      </w:r>
    </w:p>
    <w:p w14:paraId="2B59CF6D">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_Toc31785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2</w:t>
      </w:r>
      <w:r>
        <w:rPr>
          <w:rFonts w:ascii="Times New Roman" w:hAnsi="Times New Roman" w:eastAsia="宋体" w:cs="Times New Roman"/>
          <w:bCs w:val="0"/>
          <w:kern w:val="44"/>
          <w:szCs w:val="21"/>
          <w:lang w:val="en-US" w:eastAsia="zh-CN" w:bidi="ar-SA"/>
        </w:rPr>
        <w:t>.</w:t>
      </w:r>
      <w:r>
        <w:rPr>
          <w:rFonts w:hint="eastAsia"/>
          <w:bCs w:val="0"/>
        </w:rPr>
        <w:t>可移动遗传元件分析</w:t>
      </w:r>
      <w:r>
        <w:tab/>
      </w:r>
      <w:r>
        <w:fldChar w:fldCharType="begin"/>
      </w:r>
      <w:r>
        <w:instrText xml:space="preserve"> PAGEREF _Toc31785 \h </w:instrText>
      </w:r>
      <w:r>
        <w:fldChar w:fldCharType="separate"/>
      </w:r>
      <w:r>
        <w:t>58</w:t>
      </w:r>
      <w:r>
        <w:fldChar w:fldCharType="end"/>
      </w:r>
      <w:r>
        <w:rPr>
          <w:rFonts w:cs="Times New Roman"/>
          <w:color w:val="000000" w:themeColor="text1"/>
          <w14:textFill>
            <w14:solidFill>
              <w14:schemeClr w14:val="tx1"/>
            </w14:solidFill>
          </w14:textFill>
        </w:rPr>
        <w:fldChar w:fldCharType="end"/>
      </w:r>
    </w:p>
    <w:p w14:paraId="63CE7DE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_Toc31820 </w:instrText>
      </w:r>
      <w:r>
        <w:rPr>
          <w:rFonts w:cs="Times New Roman"/>
        </w:rPr>
        <w:fldChar w:fldCharType="separate"/>
      </w:r>
      <w:r>
        <w:t>1</w:t>
      </w:r>
      <w:r>
        <w:rPr>
          <w:rFonts w:hint="eastAsia"/>
          <w:lang w:val="en-US" w:eastAsia="zh-CN"/>
        </w:rPr>
        <w:t>2</w:t>
      </w:r>
      <w:r>
        <w:t>.1</w:t>
      </w:r>
      <w:r>
        <w:rPr>
          <w:rFonts w:hint="eastAsia"/>
        </w:rPr>
        <w:t>可移动基因元件丰度统计</w:t>
      </w:r>
      <w:r>
        <w:tab/>
      </w:r>
      <w:r>
        <w:fldChar w:fldCharType="begin"/>
      </w:r>
      <w:r>
        <w:instrText xml:space="preserve"> PAGEREF _Toc31820 \h </w:instrText>
      </w:r>
      <w:r>
        <w:fldChar w:fldCharType="separate"/>
      </w:r>
      <w:r>
        <w:t>58</w:t>
      </w:r>
      <w:r>
        <w:fldChar w:fldCharType="end"/>
      </w:r>
      <w:r>
        <w:rPr>
          <w:rFonts w:cs="Times New Roman"/>
          <w:color w:val="000000" w:themeColor="text1"/>
          <w14:textFill>
            <w14:solidFill>
              <w14:schemeClr w14:val="tx1"/>
            </w14:solidFill>
          </w14:textFill>
        </w:rPr>
        <w:fldChar w:fldCharType="end"/>
      </w:r>
    </w:p>
    <w:p w14:paraId="132A33C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_Toc8480 </w:instrText>
      </w:r>
      <w:r>
        <w:rPr>
          <w:rFonts w:cs="Times New Roman"/>
        </w:rPr>
        <w:fldChar w:fldCharType="separate"/>
      </w:r>
      <w:r>
        <w:t>1</w:t>
      </w:r>
      <w:r>
        <w:rPr>
          <w:rFonts w:hint="eastAsia"/>
          <w:lang w:val="en-US" w:eastAsia="zh-CN"/>
        </w:rPr>
        <w:t>2</w:t>
      </w:r>
      <w:r>
        <w:t xml:space="preserve">.2 </w:t>
      </w:r>
      <w:r>
        <w:rPr>
          <w:rFonts w:hint="eastAsia"/>
        </w:rPr>
        <w:t>可移动基因元件的降维分析</w:t>
      </w:r>
      <w:r>
        <w:tab/>
      </w:r>
      <w:r>
        <w:fldChar w:fldCharType="begin"/>
      </w:r>
      <w:r>
        <w:instrText xml:space="preserve"> PAGEREF _Toc8480 \h </w:instrText>
      </w:r>
      <w:r>
        <w:fldChar w:fldCharType="separate"/>
      </w:r>
      <w:r>
        <w:t>60</w:t>
      </w:r>
      <w:r>
        <w:fldChar w:fldCharType="end"/>
      </w:r>
      <w:r>
        <w:rPr>
          <w:rFonts w:cs="Times New Roman"/>
          <w:color w:val="000000" w:themeColor="text1"/>
          <w14:textFill>
            <w14:solidFill>
              <w14:schemeClr w14:val="tx1"/>
            </w14:solidFill>
          </w14:textFill>
        </w:rPr>
        <w:fldChar w:fldCharType="end"/>
      </w:r>
    </w:p>
    <w:p w14:paraId="3CCFFAC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_Toc18398 </w:instrText>
      </w:r>
      <w:r>
        <w:rPr>
          <w:rFonts w:cs="Times New Roman"/>
        </w:rPr>
        <w:fldChar w:fldCharType="separate"/>
      </w:r>
      <w:r>
        <w:t>1</w:t>
      </w:r>
      <w:r>
        <w:rPr>
          <w:rFonts w:hint="eastAsia"/>
          <w:lang w:val="en-US" w:eastAsia="zh-CN"/>
        </w:rPr>
        <w:t>2</w:t>
      </w:r>
      <w:r>
        <w:t xml:space="preserve">.3 </w:t>
      </w:r>
      <w:r>
        <w:rPr>
          <w:rFonts w:hint="eastAsia"/>
        </w:rPr>
        <w:t>可移动基因元件的组间差异分析</w:t>
      </w:r>
      <w:r>
        <w:tab/>
      </w:r>
      <w:r>
        <w:fldChar w:fldCharType="begin"/>
      </w:r>
      <w:r>
        <w:instrText xml:space="preserve"> PAGEREF _Toc18398 \h </w:instrText>
      </w:r>
      <w:r>
        <w:fldChar w:fldCharType="separate"/>
      </w:r>
      <w:r>
        <w:t>62</w:t>
      </w:r>
      <w:r>
        <w:fldChar w:fldCharType="end"/>
      </w:r>
      <w:r>
        <w:rPr>
          <w:rFonts w:cs="Times New Roman"/>
          <w:color w:val="000000" w:themeColor="text1"/>
          <w14:textFill>
            <w14:solidFill>
              <w14:schemeClr w14:val="tx1"/>
            </w14:solidFill>
          </w14:textFill>
        </w:rPr>
        <w:fldChar w:fldCharType="end"/>
      </w:r>
    </w:p>
    <w:p w14:paraId="728F27C5">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_Toc17700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3</w:t>
      </w:r>
      <w:r>
        <w:rPr>
          <w:rFonts w:ascii="Times New Roman" w:hAnsi="Times New Roman" w:eastAsia="宋体" w:cs="Times New Roman"/>
          <w:bCs w:val="0"/>
          <w:kern w:val="44"/>
          <w:szCs w:val="21"/>
          <w:lang w:val="en-US" w:eastAsia="zh-CN" w:bidi="ar-SA"/>
        </w:rPr>
        <w:t>.</w:t>
      </w:r>
      <w:r>
        <w:rPr>
          <w:rFonts w:hint="eastAsia"/>
          <w:bCs w:val="0"/>
        </w:rPr>
        <w:t>重金属抗性基因注释</w:t>
      </w:r>
      <w:r>
        <w:tab/>
      </w:r>
      <w:r>
        <w:fldChar w:fldCharType="begin"/>
      </w:r>
      <w:r>
        <w:instrText xml:space="preserve"> PAGEREF _Toc17700 \h </w:instrText>
      </w:r>
      <w:r>
        <w:fldChar w:fldCharType="separate"/>
      </w:r>
      <w:r>
        <w:t>67</w:t>
      </w:r>
      <w:r>
        <w:fldChar w:fldCharType="end"/>
      </w:r>
      <w:r>
        <w:rPr>
          <w:rFonts w:cs="Times New Roman"/>
          <w:color w:val="000000" w:themeColor="text1"/>
          <w14:textFill>
            <w14:solidFill>
              <w14:schemeClr w14:val="tx1"/>
            </w14:solidFill>
          </w14:textFill>
        </w:rPr>
        <w:fldChar w:fldCharType="end"/>
      </w:r>
    </w:p>
    <w:p w14:paraId="7274AF1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_Toc9538 </w:instrText>
      </w:r>
      <w:r>
        <w:rPr>
          <w:rFonts w:cs="Times New Roman"/>
        </w:rPr>
        <w:fldChar w:fldCharType="separate"/>
      </w:r>
      <w:r>
        <w:t>1</w:t>
      </w:r>
      <w:r>
        <w:rPr>
          <w:rFonts w:hint="eastAsia"/>
          <w:lang w:val="en-US" w:eastAsia="zh-CN"/>
        </w:rPr>
        <w:t>3</w:t>
      </w:r>
      <w:r>
        <w:t>.1</w:t>
      </w:r>
      <w:r>
        <w:rPr>
          <w:rFonts w:hint="eastAsia"/>
        </w:rPr>
        <w:t>重金属抗性基因丰度统计</w:t>
      </w:r>
      <w:r>
        <w:tab/>
      </w:r>
      <w:r>
        <w:fldChar w:fldCharType="begin"/>
      </w:r>
      <w:r>
        <w:instrText xml:space="preserve"> PAGEREF _Toc9538 \h </w:instrText>
      </w:r>
      <w:r>
        <w:fldChar w:fldCharType="separate"/>
      </w:r>
      <w:r>
        <w:t>67</w:t>
      </w:r>
      <w:r>
        <w:fldChar w:fldCharType="end"/>
      </w:r>
      <w:r>
        <w:rPr>
          <w:rFonts w:cs="Times New Roman"/>
          <w:color w:val="000000" w:themeColor="text1"/>
          <w14:textFill>
            <w14:solidFill>
              <w14:schemeClr w14:val="tx1"/>
            </w14:solidFill>
          </w14:textFill>
        </w:rPr>
        <w:fldChar w:fldCharType="end"/>
      </w:r>
    </w:p>
    <w:p w14:paraId="3A0FF44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_Toc14282 </w:instrText>
      </w:r>
      <w:r>
        <w:rPr>
          <w:rFonts w:cs="Times New Roman"/>
        </w:rPr>
        <w:fldChar w:fldCharType="separate"/>
      </w:r>
      <w:r>
        <w:t>1</w:t>
      </w:r>
      <w:r>
        <w:rPr>
          <w:rFonts w:hint="eastAsia"/>
          <w:lang w:val="en-US" w:eastAsia="zh-CN"/>
        </w:rPr>
        <w:t>3</w:t>
      </w:r>
      <w:r>
        <w:t xml:space="preserve">.2 </w:t>
      </w:r>
      <w:r>
        <w:rPr>
          <w:rFonts w:hint="eastAsia"/>
        </w:rPr>
        <w:t>重金属抗性基因的降维分析</w:t>
      </w:r>
      <w:r>
        <w:tab/>
      </w:r>
      <w:r>
        <w:fldChar w:fldCharType="begin"/>
      </w:r>
      <w:r>
        <w:instrText xml:space="preserve"> PAGEREF _Toc14282 \h </w:instrText>
      </w:r>
      <w:r>
        <w:fldChar w:fldCharType="separate"/>
      </w:r>
      <w:r>
        <w:t>69</w:t>
      </w:r>
      <w:r>
        <w:fldChar w:fldCharType="end"/>
      </w:r>
      <w:r>
        <w:rPr>
          <w:rFonts w:cs="Times New Roman"/>
          <w:color w:val="000000" w:themeColor="text1"/>
          <w14:textFill>
            <w14:solidFill>
              <w14:schemeClr w14:val="tx1"/>
            </w14:solidFill>
          </w14:textFill>
        </w:rPr>
        <w:fldChar w:fldCharType="end"/>
      </w:r>
    </w:p>
    <w:p w14:paraId="09F30309">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_Toc30585 </w:instrText>
      </w:r>
      <w:r>
        <w:rPr>
          <w:rFonts w:cs="Times New Roman"/>
        </w:rPr>
        <w:fldChar w:fldCharType="separate"/>
      </w:r>
      <w:r>
        <w:t>1</w:t>
      </w:r>
      <w:r>
        <w:rPr>
          <w:rFonts w:hint="eastAsia"/>
          <w:lang w:val="en-US" w:eastAsia="zh-CN"/>
        </w:rPr>
        <w:t>3</w:t>
      </w:r>
      <w:r>
        <w:t xml:space="preserve">.3 </w:t>
      </w:r>
      <w:r>
        <w:rPr>
          <w:rFonts w:hint="eastAsia"/>
        </w:rPr>
        <w:t>重金属抗性基因的组间差异分析</w:t>
      </w:r>
      <w:r>
        <w:tab/>
      </w:r>
      <w:r>
        <w:fldChar w:fldCharType="begin"/>
      </w:r>
      <w:r>
        <w:instrText xml:space="preserve"> PAGEREF _Toc30585 \h </w:instrText>
      </w:r>
      <w:r>
        <w:fldChar w:fldCharType="separate"/>
      </w:r>
      <w:r>
        <w:t>71</w:t>
      </w:r>
      <w:r>
        <w:fldChar w:fldCharType="end"/>
      </w:r>
      <w:r>
        <w:rPr>
          <w:rFonts w:cs="Times New Roman"/>
          <w:color w:val="000000" w:themeColor="text1"/>
          <w14:textFill>
            <w14:solidFill>
              <w14:schemeClr w14:val="tx1"/>
            </w14:solidFill>
          </w14:textFill>
        </w:rPr>
        <w:fldChar w:fldCharType="end"/>
      </w:r>
    </w:p>
    <w:p w14:paraId="797CF4B2">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_Toc25288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4</w:t>
      </w:r>
      <w:r>
        <w:rPr>
          <w:rFonts w:ascii="Times New Roman" w:hAnsi="Times New Roman" w:eastAsia="宋体" w:cs="Times New Roman"/>
          <w:bCs w:val="0"/>
          <w:kern w:val="44"/>
          <w:szCs w:val="21"/>
          <w:lang w:val="en-US" w:eastAsia="zh-CN" w:bidi="ar-SA"/>
        </w:rPr>
        <w:t>.</w:t>
      </w:r>
      <w:r>
        <w:rPr>
          <w:rFonts w:hint="eastAsia"/>
          <w:bCs w:val="0"/>
        </w:rPr>
        <w:t>群体感应基因注释</w:t>
      </w:r>
      <w:r>
        <w:tab/>
      </w:r>
      <w:r>
        <w:fldChar w:fldCharType="begin"/>
      </w:r>
      <w:r>
        <w:instrText xml:space="preserve"> PAGEREF _Toc25288 \h </w:instrText>
      </w:r>
      <w:r>
        <w:fldChar w:fldCharType="separate"/>
      </w:r>
      <w:r>
        <w:t>76</w:t>
      </w:r>
      <w:r>
        <w:fldChar w:fldCharType="end"/>
      </w:r>
      <w:r>
        <w:rPr>
          <w:rFonts w:cs="Times New Roman"/>
          <w:color w:val="000000" w:themeColor="text1"/>
          <w14:textFill>
            <w14:solidFill>
              <w14:schemeClr w14:val="tx1"/>
            </w14:solidFill>
          </w14:textFill>
        </w:rPr>
        <w:fldChar w:fldCharType="end"/>
      </w:r>
    </w:p>
    <w:p w14:paraId="48876BD0">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_Toc12596 </w:instrText>
      </w:r>
      <w:r>
        <w:rPr>
          <w:rFonts w:cs="Times New Roman"/>
        </w:rPr>
        <w:fldChar w:fldCharType="separate"/>
      </w:r>
      <w:r>
        <w:t>1</w:t>
      </w:r>
      <w:r>
        <w:rPr>
          <w:rFonts w:hint="eastAsia"/>
          <w:lang w:val="en-US" w:eastAsia="zh-CN"/>
        </w:rPr>
        <w:t>4</w:t>
      </w:r>
      <w:r>
        <w:t>.1</w:t>
      </w:r>
      <w:r>
        <w:rPr>
          <w:rFonts w:hint="eastAsia"/>
        </w:rPr>
        <w:t>群体感应基因丰度统计</w:t>
      </w:r>
      <w:r>
        <w:tab/>
      </w:r>
      <w:r>
        <w:fldChar w:fldCharType="begin"/>
      </w:r>
      <w:r>
        <w:instrText xml:space="preserve"> PAGEREF _Toc12596 \h </w:instrText>
      </w:r>
      <w:r>
        <w:fldChar w:fldCharType="separate"/>
      </w:r>
      <w:r>
        <w:t>77</w:t>
      </w:r>
      <w:r>
        <w:fldChar w:fldCharType="end"/>
      </w:r>
      <w:r>
        <w:rPr>
          <w:rFonts w:cs="Times New Roman"/>
          <w:color w:val="000000" w:themeColor="text1"/>
          <w14:textFill>
            <w14:solidFill>
              <w14:schemeClr w14:val="tx1"/>
            </w14:solidFill>
          </w14:textFill>
        </w:rPr>
        <w:fldChar w:fldCharType="end"/>
      </w:r>
    </w:p>
    <w:p w14:paraId="108D8D2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_Toc9879 </w:instrText>
      </w:r>
      <w:r>
        <w:rPr>
          <w:rFonts w:cs="Times New Roman"/>
        </w:rPr>
        <w:fldChar w:fldCharType="separate"/>
      </w:r>
      <w:r>
        <w:t>1</w:t>
      </w:r>
      <w:r>
        <w:rPr>
          <w:rFonts w:hint="eastAsia"/>
          <w:lang w:val="en-US" w:eastAsia="zh-CN"/>
        </w:rPr>
        <w:t>4</w:t>
      </w:r>
      <w:r>
        <w:t xml:space="preserve">.2 </w:t>
      </w:r>
      <w:r>
        <w:rPr>
          <w:rFonts w:hint="eastAsia"/>
        </w:rPr>
        <w:t>群体感应基因的降维分析</w:t>
      </w:r>
      <w:r>
        <w:tab/>
      </w:r>
      <w:r>
        <w:fldChar w:fldCharType="begin"/>
      </w:r>
      <w:r>
        <w:instrText xml:space="preserve"> PAGEREF _Toc9879 \h </w:instrText>
      </w:r>
      <w:r>
        <w:fldChar w:fldCharType="separate"/>
      </w:r>
      <w:r>
        <w:t>78</w:t>
      </w:r>
      <w:r>
        <w:fldChar w:fldCharType="end"/>
      </w:r>
      <w:r>
        <w:rPr>
          <w:rFonts w:cs="Times New Roman"/>
          <w:color w:val="000000" w:themeColor="text1"/>
          <w14:textFill>
            <w14:solidFill>
              <w14:schemeClr w14:val="tx1"/>
            </w14:solidFill>
          </w14:textFill>
        </w:rPr>
        <w:fldChar w:fldCharType="end"/>
      </w:r>
    </w:p>
    <w:p w14:paraId="65597A5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_Toc12139 </w:instrText>
      </w:r>
      <w:r>
        <w:rPr>
          <w:rFonts w:cs="Times New Roman"/>
        </w:rPr>
        <w:fldChar w:fldCharType="separate"/>
      </w:r>
      <w:r>
        <w:t>1</w:t>
      </w:r>
      <w:r>
        <w:rPr>
          <w:rFonts w:hint="eastAsia"/>
          <w:lang w:val="en-US" w:eastAsia="zh-CN"/>
        </w:rPr>
        <w:t>4</w:t>
      </w:r>
      <w:r>
        <w:t xml:space="preserve">.3 </w:t>
      </w:r>
      <w:r>
        <w:rPr>
          <w:rFonts w:hint="eastAsia"/>
        </w:rPr>
        <w:t>群体感应基因的组间差异分析</w:t>
      </w:r>
      <w:r>
        <w:tab/>
      </w:r>
      <w:r>
        <w:fldChar w:fldCharType="begin"/>
      </w:r>
      <w:r>
        <w:instrText xml:space="preserve"> PAGEREF _Toc12139 \h </w:instrText>
      </w:r>
      <w:r>
        <w:fldChar w:fldCharType="separate"/>
      </w:r>
      <w:r>
        <w:t>80</w:t>
      </w:r>
      <w:r>
        <w:fldChar w:fldCharType="end"/>
      </w:r>
      <w:r>
        <w:rPr>
          <w:rFonts w:cs="Times New Roman"/>
          <w:color w:val="000000" w:themeColor="text1"/>
          <w14:textFill>
            <w14:solidFill>
              <w14:schemeClr w14:val="tx1"/>
            </w14:solidFill>
          </w14:textFill>
        </w:rPr>
        <w:fldChar w:fldCharType="end"/>
      </w:r>
    </w:p>
    <w:p w14:paraId="75C7EB3A">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_Toc31012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5</w:t>
      </w:r>
      <w:r>
        <w:rPr>
          <w:rFonts w:ascii="Times New Roman" w:hAnsi="Times New Roman" w:eastAsia="宋体" w:cs="Times New Roman"/>
          <w:bCs w:val="0"/>
          <w:kern w:val="44"/>
          <w:szCs w:val="21"/>
          <w:lang w:val="en-US" w:eastAsia="zh-CN" w:bidi="ar-SA"/>
        </w:rPr>
        <w:t>.</w:t>
      </w:r>
      <w:r>
        <w:rPr>
          <w:rFonts w:hint="eastAsia"/>
          <w:bCs w:val="0"/>
        </w:rPr>
        <w:t>宏基因组binning</w:t>
      </w:r>
      <w:r>
        <w:tab/>
      </w:r>
      <w:r>
        <w:fldChar w:fldCharType="begin"/>
      </w:r>
      <w:r>
        <w:instrText xml:space="preserve"> PAGEREF _Toc31012 \h </w:instrText>
      </w:r>
      <w:r>
        <w:fldChar w:fldCharType="separate"/>
      </w:r>
      <w:r>
        <w:t>85</w:t>
      </w:r>
      <w:r>
        <w:fldChar w:fldCharType="end"/>
      </w:r>
      <w:r>
        <w:rPr>
          <w:rFonts w:cs="Times New Roman"/>
          <w:color w:val="000000" w:themeColor="text1"/>
          <w14:textFill>
            <w14:solidFill>
              <w14:schemeClr w14:val="tx1"/>
            </w14:solidFill>
          </w14:textFill>
        </w:rPr>
        <w:fldChar w:fldCharType="end"/>
      </w:r>
    </w:p>
    <w:p w14:paraId="528D802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_Toc20937 </w:instrText>
      </w:r>
      <w:r>
        <w:rPr>
          <w:rFonts w:cs="Times New Roman"/>
        </w:rPr>
        <w:fldChar w:fldCharType="separate"/>
      </w:r>
      <w:r>
        <w:rPr>
          <w:rFonts w:hint="default" w:ascii="Times New Roman" w:hAnsi="Times New Roman" w:eastAsia="宋体" w:cs="Times New Roman"/>
          <w:bCs/>
          <w:kern w:val="0"/>
          <w:szCs w:val="21"/>
          <w:lang w:val="en-US" w:eastAsia="zh-CN" w:bidi="ar-SA"/>
        </w:rPr>
        <w:t>1</w:t>
      </w:r>
      <w:r>
        <w:rPr>
          <w:rFonts w:hint="eastAsia" w:cs="Times New Roman"/>
          <w:bCs/>
          <w:kern w:val="0"/>
          <w:szCs w:val="21"/>
          <w:lang w:val="en-US" w:eastAsia="zh-CN" w:bidi="ar-SA"/>
        </w:rPr>
        <w:t>5</w:t>
      </w:r>
      <w:r>
        <w:rPr>
          <w:rFonts w:hint="default" w:ascii="Times New Roman" w:hAnsi="Times New Roman" w:eastAsia="宋体" w:cs="Times New Roman"/>
          <w:bCs/>
          <w:kern w:val="0"/>
          <w:szCs w:val="21"/>
          <w:lang w:val="en-US" w:eastAsia="zh-CN" w:bidi="ar-SA"/>
        </w:rPr>
        <w:t>.1</w:t>
      </w:r>
      <w:r>
        <w:rPr>
          <w:rFonts w:hint="eastAsia" w:cs="Times New Roman"/>
          <w:bCs/>
          <w:kern w:val="0"/>
          <w:szCs w:val="21"/>
          <w:lang w:val="en-US" w:eastAsia="zh-CN" w:bidi="ar-SA"/>
        </w:rPr>
        <w:t xml:space="preserve"> </w:t>
      </w:r>
      <w:r>
        <w:rPr>
          <w:rFonts w:hint="eastAsia"/>
        </w:rPr>
        <w:t>GC-</w:t>
      </w:r>
      <w:r>
        <w:t>coverage</w:t>
      </w:r>
      <w:r>
        <w:rPr>
          <w:rFonts w:hint="eastAsia"/>
        </w:rPr>
        <w:t>图</w:t>
      </w:r>
      <w:r>
        <w:tab/>
      </w:r>
      <w:r>
        <w:fldChar w:fldCharType="begin"/>
      </w:r>
      <w:r>
        <w:instrText xml:space="preserve"> PAGEREF _Toc20937 \h </w:instrText>
      </w:r>
      <w:r>
        <w:fldChar w:fldCharType="separate"/>
      </w:r>
      <w:r>
        <w:t>86</w:t>
      </w:r>
      <w:r>
        <w:fldChar w:fldCharType="end"/>
      </w:r>
      <w:r>
        <w:rPr>
          <w:rFonts w:cs="Times New Roman"/>
          <w:color w:val="000000" w:themeColor="text1"/>
          <w14:textFill>
            <w14:solidFill>
              <w14:schemeClr w14:val="tx1"/>
            </w14:solidFill>
          </w14:textFill>
        </w:rPr>
        <w:fldChar w:fldCharType="end"/>
      </w:r>
    </w:p>
    <w:p w14:paraId="1B4CB66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_Toc16158 </w:instrText>
      </w:r>
      <w:r>
        <w:rPr>
          <w:rFonts w:cs="Times New Roman"/>
        </w:rPr>
        <w:fldChar w:fldCharType="separate"/>
      </w:r>
      <w:r>
        <w:rPr>
          <w:rFonts w:hint="default" w:ascii="Times New Roman" w:hAnsi="Times New Roman" w:eastAsia="宋体" w:cs="Times New Roman"/>
          <w:bCs/>
          <w:kern w:val="0"/>
          <w:szCs w:val="21"/>
          <w:lang w:val="en-US" w:eastAsia="zh-CN" w:bidi="ar-SA"/>
        </w:rPr>
        <w:t>1</w:t>
      </w:r>
      <w:r>
        <w:rPr>
          <w:rFonts w:hint="eastAsia" w:cs="Times New Roman"/>
          <w:bCs/>
          <w:kern w:val="0"/>
          <w:szCs w:val="21"/>
          <w:lang w:val="en-US" w:eastAsia="zh-CN" w:bidi="ar-SA"/>
        </w:rPr>
        <w:t>5</w:t>
      </w:r>
      <w:r>
        <w:rPr>
          <w:rFonts w:hint="default" w:ascii="Times New Roman" w:hAnsi="Times New Roman" w:eastAsia="宋体" w:cs="Times New Roman"/>
          <w:bCs/>
          <w:kern w:val="0"/>
          <w:szCs w:val="21"/>
          <w:lang w:val="en-US" w:eastAsia="zh-CN" w:bidi="ar-SA"/>
        </w:rPr>
        <w:t>.2</w:t>
      </w:r>
      <w:r>
        <w:rPr>
          <w:rFonts w:hint="eastAsia" w:cs="Times New Roman"/>
          <w:bCs/>
          <w:kern w:val="0"/>
          <w:szCs w:val="21"/>
          <w:lang w:val="en-US" w:eastAsia="zh-CN" w:bidi="ar-SA"/>
        </w:rPr>
        <w:t xml:space="preserve"> </w:t>
      </w:r>
      <w:r>
        <w:rPr>
          <w:rFonts w:hint="eastAsia"/>
        </w:rPr>
        <w:t>Bin的定量及可视化</w:t>
      </w:r>
      <w:r>
        <w:tab/>
      </w:r>
      <w:r>
        <w:fldChar w:fldCharType="begin"/>
      </w:r>
      <w:r>
        <w:instrText xml:space="preserve"> PAGEREF _Toc16158 \h </w:instrText>
      </w:r>
      <w:r>
        <w:fldChar w:fldCharType="separate"/>
      </w:r>
      <w:r>
        <w:t>87</w:t>
      </w:r>
      <w:r>
        <w:fldChar w:fldCharType="end"/>
      </w:r>
      <w:r>
        <w:rPr>
          <w:rFonts w:cs="Times New Roman"/>
          <w:color w:val="000000" w:themeColor="text1"/>
          <w14:textFill>
            <w14:solidFill>
              <w14:schemeClr w14:val="tx1"/>
            </w14:solidFill>
          </w14:textFill>
        </w:rPr>
        <w:fldChar w:fldCharType="end"/>
      </w:r>
    </w:p>
    <w:p w14:paraId="3695653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_Toc1857 </w:instrText>
      </w:r>
      <w:r>
        <w:rPr>
          <w:rFonts w:cs="Times New Roman"/>
        </w:rPr>
        <w:fldChar w:fldCharType="separate"/>
      </w:r>
      <w:r>
        <w:rPr>
          <w:rFonts w:hint="default" w:ascii="Times New Roman" w:hAnsi="Times New Roman" w:eastAsia="宋体" w:cs="Times New Roman"/>
          <w:bCs/>
          <w:kern w:val="0"/>
          <w:szCs w:val="21"/>
          <w:lang w:val="en-US" w:eastAsia="zh-CN" w:bidi="ar-SA"/>
        </w:rPr>
        <w:t>1</w:t>
      </w:r>
      <w:r>
        <w:rPr>
          <w:rFonts w:hint="eastAsia" w:cs="Times New Roman"/>
          <w:bCs/>
          <w:kern w:val="0"/>
          <w:szCs w:val="21"/>
          <w:lang w:val="en-US" w:eastAsia="zh-CN" w:bidi="ar-SA"/>
        </w:rPr>
        <w:t>5</w:t>
      </w:r>
      <w:r>
        <w:rPr>
          <w:rFonts w:hint="default" w:ascii="Times New Roman" w:hAnsi="Times New Roman" w:eastAsia="宋体" w:cs="Times New Roman"/>
          <w:bCs/>
          <w:kern w:val="0"/>
          <w:szCs w:val="21"/>
          <w:lang w:val="en-US" w:eastAsia="zh-CN" w:bidi="ar-SA"/>
        </w:rPr>
        <w:t>.3</w:t>
      </w:r>
      <w:r>
        <w:rPr>
          <w:rFonts w:hint="eastAsia" w:cs="Times New Roman"/>
          <w:bCs/>
          <w:kern w:val="0"/>
          <w:szCs w:val="21"/>
          <w:lang w:val="en-US" w:eastAsia="zh-CN" w:bidi="ar-SA"/>
        </w:rPr>
        <w:t xml:space="preserve"> </w:t>
      </w:r>
      <w:r>
        <w:rPr>
          <w:rFonts w:hint="eastAsia"/>
        </w:rPr>
        <w:t>Bin的注释</w:t>
      </w:r>
      <w:r>
        <w:tab/>
      </w:r>
      <w:r>
        <w:fldChar w:fldCharType="begin"/>
      </w:r>
      <w:r>
        <w:instrText xml:space="preserve"> PAGEREF _Toc1857 \h </w:instrText>
      </w:r>
      <w:r>
        <w:fldChar w:fldCharType="separate"/>
      </w:r>
      <w:r>
        <w:t>87</w:t>
      </w:r>
      <w:r>
        <w:fldChar w:fldCharType="end"/>
      </w:r>
      <w:r>
        <w:rPr>
          <w:rFonts w:cs="Times New Roman"/>
          <w:color w:val="000000" w:themeColor="text1"/>
          <w14:textFill>
            <w14:solidFill>
              <w14:schemeClr w14:val="tx1"/>
            </w14:solidFill>
          </w14:textFill>
        </w:rPr>
        <w:fldChar w:fldCharType="end"/>
      </w:r>
    </w:p>
    <w:p w14:paraId="392D2D6B">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_Toc23716 </w:instrText>
      </w:r>
      <w:r>
        <w:rPr>
          <w:rFonts w:cs="Times New Roman"/>
        </w:rPr>
        <w:fldChar w:fldCharType="separate"/>
      </w:r>
      <w:r>
        <w:rPr>
          <w:rFonts w:hint="eastAsia"/>
          <w:bCs w:val="0"/>
        </w:rPr>
        <w:t>1</w:t>
      </w:r>
      <w:r>
        <w:rPr>
          <w:rFonts w:hint="eastAsia"/>
          <w:bCs w:val="0"/>
          <w:lang w:val="en-US" w:eastAsia="zh-CN"/>
        </w:rPr>
        <w:t>6</w:t>
      </w:r>
      <w:r>
        <w:rPr>
          <w:bCs w:val="0"/>
        </w:rPr>
        <w:t xml:space="preserve">. </w:t>
      </w:r>
      <w:r>
        <w:rPr>
          <w:rFonts w:hint="eastAsia"/>
        </w:rPr>
        <w:t>软件列表</w:t>
      </w:r>
      <w:r>
        <w:tab/>
      </w:r>
      <w:r>
        <w:fldChar w:fldCharType="begin"/>
      </w:r>
      <w:r>
        <w:instrText xml:space="preserve"> PAGEREF _Toc23716 \h </w:instrText>
      </w:r>
      <w:r>
        <w:fldChar w:fldCharType="separate"/>
      </w:r>
      <w:r>
        <w:t>88</w:t>
      </w:r>
      <w:r>
        <w:fldChar w:fldCharType="end"/>
      </w:r>
      <w:r>
        <w:rPr>
          <w:rFonts w:cs="Times New Roman"/>
          <w:color w:val="000000" w:themeColor="text1"/>
          <w14:textFill>
            <w14:solidFill>
              <w14:schemeClr w14:val="tx1"/>
            </w14:solidFill>
          </w14:textFill>
        </w:rPr>
        <w:fldChar w:fldCharType="end"/>
      </w:r>
    </w:p>
    <w:p w14:paraId="54C1C027">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_Toc30858 </w:instrText>
      </w:r>
      <w:r>
        <w:rPr>
          <w:rFonts w:cs="Times New Roman"/>
        </w:rPr>
        <w:fldChar w:fldCharType="separate"/>
      </w:r>
      <w:r>
        <w:rPr>
          <w:rFonts w:hint="eastAsia"/>
          <w:bCs w:val="0"/>
        </w:rPr>
        <w:t>1</w:t>
      </w:r>
      <w:r>
        <w:rPr>
          <w:rFonts w:hint="eastAsia"/>
          <w:bCs w:val="0"/>
          <w:lang w:val="en-US" w:eastAsia="zh-CN"/>
        </w:rPr>
        <w:t>7</w:t>
      </w:r>
      <w:r>
        <w:rPr>
          <w:bCs w:val="0"/>
        </w:rPr>
        <w:t xml:space="preserve">. </w:t>
      </w:r>
      <w:r>
        <w:rPr>
          <w:rFonts w:hint="eastAsia"/>
        </w:rPr>
        <w:t>文件位置</w:t>
      </w:r>
      <w:r>
        <w:tab/>
      </w:r>
      <w:r>
        <w:fldChar w:fldCharType="begin"/>
      </w:r>
      <w:r>
        <w:instrText xml:space="preserve"> PAGEREF _Toc30858 \h </w:instrText>
      </w:r>
      <w:r>
        <w:fldChar w:fldCharType="separate"/>
      </w:r>
      <w:r>
        <w:t>89</w:t>
      </w:r>
      <w:r>
        <w:fldChar w:fldCharType="end"/>
      </w:r>
      <w:r>
        <w:rPr>
          <w:rFonts w:cs="Times New Roman"/>
          <w:color w:val="000000" w:themeColor="text1"/>
          <w14:textFill>
            <w14:solidFill>
              <w14:schemeClr w14:val="tx1"/>
            </w14:solidFill>
          </w14:textFill>
        </w:rPr>
        <w:fldChar w:fldCharType="end"/>
      </w:r>
    </w:p>
    <w:p w14:paraId="3388580B">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_Toc8281 </w:instrText>
      </w:r>
      <w:r>
        <w:rPr>
          <w:rFonts w:cs="Times New Roman"/>
        </w:rPr>
        <w:fldChar w:fldCharType="separate"/>
      </w:r>
      <w:r>
        <w:rPr>
          <w:rFonts w:hint="eastAsia"/>
          <w:bCs w:val="0"/>
        </w:rPr>
        <w:t>1</w:t>
      </w:r>
      <w:r>
        <w:rPr>
          <w:rFonts w:hint="eastAsia"/>
          <w:bCs w:val="0"/>
          <w:lang w:val="en-US" w:eastAsia="zh-CN"/>
        </w:rPr>
        <w:t>8</w:t>
      </w:r>
      <w:r>
        <w:rPr>
          <w:bCs w:val="0"/>
        </w:rPr>
        <w:t xml:space="preserve">. </w:t>
      </w:r>
      <w:r>
        <w:t>参考文献</w:t>
      </w:r>
      <w:r>
        <w:tab/>
      </w:r>
      <w:r>
        <w:fldChar w:fldCharType="begin"/>
      </w:r>
      <w:r>
        <w:instrText xml:space="preserve"> PAGEREF _Toc8281 \h </w:instrText>
      </w:r>
      <w:r>
        <w:fldChar w:fldCharType="separate"/>
      </w:r>
      <w:r>
        <w:t>89</w:t>
      </w:r>
      <w:r>
        <w:fldChar w:fldCharType="end"/>
      </w:r>
      <w:r>
        <w:rPr>
          <w:rFonts w:cs="Times New Roman"/>
          <w:color w:val="000000" w:themeColor="text1"/>
          <w14:textFill>
            <w14:solidFill>
              <w14:schemeClr w14:val="tx1"/>
            </w14:solidFill>
          </w14:textFill>
        </w:rPr>
        <w:fldChar w:fldCharType="end"/>
      </w:r>
    </w:p>
    <w:p w14:paraId="5C456CD5">
      <w:pPr>
        <w:ind w:firstLine="0" w:firstLineChars="0"/>
      </w:pPr>
      <w:r>
        <w:rPr>
          <w:rFonts w:cs="Times New Roman"/>
          <w:color w:val="000000" w:themeColor="text1"/>
          <w14:textFill>
            <w14:solidFill>
              <w14:schemeClr w14:val="tx1"/>
            </w14:solidFill>
          </w14:textFill>
        </w:rPr>
        <w:fldChar w:fldCharType="end"/>
      </w:r>
      <w:r>
        <w:rPr>
          <w:b/>
          <w:szCs w:val="21"/>
        </w:rPr>
        <w:br w:type="page"/>
      </w:r>
    </w:p>
    <w:p w14:paraId="6E6D17C5">
      <w:pPr>
        <w:pStyle w:val="40"/>
      </w:pPr>
      <w:bookmarkStart w:id="22" w:name="_Toc3201"/>
      <w:r>
        <w:rPr>
          <w:rFonts w:hint="eastAsia"/>
        </w:rPr>
        <w:t>1. 项目介绍</w:t>
      </w:r>
      <w:bookmarkEnd w:id="21"/>
      <w:bookmarkEnd w:id="22"/>
    </w:p>
    <w:p w14:paraId="6A35CC16">
      <w:pPr>
        <w:ind w:firstLine="420"/>
        <w:rPr>
          <w:b/>
          <w:bCs/>
        </w:rPr>
      </w:pPr>
      <w:bookmarkStart w:id="23" w:name="_Toc5664"/>
      <w:bookmarkStart w:id="24" w:name="_Toc16130"/>
      <w:bookmarkStart w:id="25" w:name="_Toc1041"/>
      <w:bookmarkStart w:id="26" w:name="_Toc12468"/>
      <w:r>
        <w:rPr>
          <w:rFonts w:hint="eastAsia"/>
        </w:rPr>
        <w:t>宏基因组（Metagenomics），也称元基因组，利用新一代高通量测序技术（NGS）以特定环境下微生物群体基因组为研究对象，在分析微生物多样性、种群结构、进化关系的基础上，可进一步探究微生物群体功能活性、相互协作关系及与环境之间的关系，发掘潜在的生物学意义。与传统微生物研究方法相比，宏基因组测序技术规避了绝大部分微生物不能培养、痕量菌无法检测的缺点，因此近年来在环境微生物学研究中得到了广泛应用。</w:t>
      </w:r>
      <w:bookmarkEnd w:id="23"/>
      <w:bookmarkEnd w:id="24"/>
      <w:bookmarkEnd w:id="25"/>
      <w:bookmarkEnd w:id="26"/>
    </w:p>
    <w:p w14:paraId="2CE35B02">
      <w:pPr>
        <w:pStyle w:val="40"/>
      </w:pPr>
      <w:bookmarkStart w:id="27" w:name="_Toc1690"/>
      <w:bookmarkStart w:id="28" w:name="_Toc5477"/>
      <w:bookmarkStart w:id="29" w:name="_Toc21927"/>
      <w:bookmarkStart w:id="30" w:name="_Toc8162"/>
      <w:bookmarkStart w:id="31" w:name="_Toc13666"/>
      <w:r>
        <w:t>2.</w:t>
      </w:r>
      <w:r>
        <w:rPr>
          <w:rFonts w:hint="eastAsia"/>
        </w:rPr>
        <w:t xml:space="preserve"> </w:t>
      </w:r>
      <w:r>
        <w:t>数据分析流程</w:t>
      </w:r>
      <w:bookmarkEnd w:id="27"/>
      <w:bookmarkEnd w:id="28"/>
      <w:bookmarkEnd w:id="29"/>
      <w:bookmarkEnd w:id="30"/>
      <w:bookmarkEnd w:id="31"/>
    </w:p>
    <w:p w14:paraId="29272E99">
      <w:pPr>
        <w:ind w:firstLine="420"/>
        <w:jc w:val="left"/>
      </w:pPr>
      <w:r>
        <w:rPr>
          <w:rFonts w:hint="eastAsia"/>
        </w:rPr>
        <w:t>原始下机数据为fastq格式，首先对原始数据即raw data进行拆分、质量剪切等操作，如果为宿主内或宿主体表微生物同时进行去除宿主污染等操作。得到的序列为优质序列即valid data，使用拼接软件对优质序列进行拼接组装，并进行基因预测。对预测出的基因进行物种以及功能上的注释分类，包括NR、KEGG、eggNOG等。同时得到各样本中物种的相对丰度，在此基础上，进行样本相似性聚类、排序检验以及差异统计比较等分析。整个分析流程参照下图：</w:t>
      </w:r>
    </w:p>
    <w:p w14:paraId="5F337960">
      <w:pPr>
        <w:ind w:firstLine="199" w:firstLineChars="95"/>
        <w:jc w:val="left"/>
      </w:pPr>
      <w:r>
        <w:drawing>
          <wp:inline distT="0" distB="0" distL="0" distR="0">
            <wp:extent cx="5274310" cy="29171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74310" cy="2917190"/>
                    </a:xfrm>
                    <a:prstGeom prst="rect">
                      <a:avLst/>
                    </a:prstGeom>
                  </pic:spPr>
                </pic:pic>
              </a:graphicData>
            </a:graphic>
          </wp:inline>
        </w:drawing>
      </w:r>
    </w:p>
    <w:p w14:paraId="54C430E4">
      <w:pPr>
        <w:pStyle w:val="40"/>
      </w:pPr>
      <w:bookmarkStart w:id="32" w:name="_Toc31582"/>
      <w:bookmarkStart w:id="33" w:name="_Toc202"/>
      <w:bookmarkStart w:id="34" w:name="_Toc14568"/>
      <w:bookmarkStart w:id="35" w:name="_Toc23315"/>
      <w:r>
        <w:rPr>
          <w:rFonts w:hint="eastAsia"/>
        </w:rPr>
        <w:t>3</w:t>
      </w:r>
      <w:r>
        <w:t>. 数据</w:t>
      </w:r>
      <w:r>
        <w:rPr>
          <w:rFonts w:hint="eastAsia"/>
        </w:rPr>
        <w:t>质控</w:t>
      </w:r>
      <w:bookmarkEnd w:id="32"/>
      <w:bookmarkEnd w:id="33"/>
      <w:bookmarkEnd w:id="34"/>
      <w:bookmarkEnd w:id="35"/>
    </w:p>
    <w:p w14:paraId="05946C94">
      <w:pPr>
        <w:pStyle w:val="41"/>
      </w:pPr>
      <w:bookmarkStart w:id="36" w:name="_Toc18673"/>
      <w:bookmarkStart w:id="37" w:name="_Toc7828"/>
      <w:bookmarkStart w:id="38" w:name="_Toc20984"/>
      <w:bookmarkStart w:id="39" w:name="_Toc72"/>
      <w:bookmarkStart w:id="40" w:name="_Toc23807"/>
      <w:r>
        <w:t>3.1</w:t>
      </w:r>
      <w:r>
        <w:rPr>
          <w:rFonts w:hint="eastAsia"/>
        </w:rPr>
        <w:t xml:space="preserve"> </w:t>
      </w:r>
      <w:bookmarkEnd w:id="36"/>
      <w:bookmarkEnd w:id="37"/>
      <w:bookmarkEnd w:id="38"/>
      <w:bookmarkEnd w:id="39"/>
      <w:r>
        <w:rPr>
          <w:rFonts w:hint="eastAsia"/>
        </w:rPr>
        <w:t>测序结果格式介绍</w:t>
      </w:r>
      <w:bookmarkEnd w:id="40"/>
    </w:p>
    <w:p w14:paraId="2A1623C3">
      <w:pPr>
        <w:ind w:firstLine="420"/>
        <w:jc w:val="left"/>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二代高通量测序结果最初以原始图像数据文件存在，经CASAVA碱基识别后转化为原始测序读段（Sequenced Reads），称为Raw Reads，以FASTQ（简称为fq）文件格式存储。FASTQ是一种存储生物序列及相应质量值的常用文本格式，每条测序读段由四行组成，第一行为测序读段的标识信息，通常以@开头，随后是测序标识别符和描述信息。第二行为测序读段的碱基序列。第三行通常以+开头，存储与第一行相同的信息或为缺省值。第四行为对应碱基的测序质量值，该行字符为第二行对应碱基的质量值加上33后转换为ASCII码，逆向转化即可直观得到每个碱基的质量信息，如下图所示：</w:t>
      </w:r>
    </w:p>
    <w:p w14:paraId="2E66B9F2">
      <w:pPr>
        <w:ind w:firstLine="420"/>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4666615" cy="1917065"/>
            <wp:effectExtent l="0" t="0" r="635" b="6985"/>
            <wp:docPr id="1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4"/>
                    <pic:cNvPicPr>
                      <a:picLocks noChangeAspect="1" noChangeArrowheads="1"/>
                    </pic:cNvPicPr>
                  </pic:nvPicPr>
                  <pic:blipFill>
                    <a:blip r:embed="rId17">
                      <a:extLst>
                        <a:ext uri="{28A0092B-C50C-407E-A947-70E740481C1C}">
                          <a14:useLocalDpi xmlns:a14="http://schemas.microsoft.com/office/drawing/2010/main" val="0"/>
                        </a:ext>
                      </a:extLst>
                    </a:blip>
                    <a:srcRect l="4667" t="15550" r="2550" b="16717"/>
                    <a:stretch>
                      <a:fillRect/>
                    </a:stretch>
                  </pic:blipFill>
                  <pic:spPr>
                    <a:xfrm>
                      <a:off x="0" y="0"/>
                      <a:ext cx="4675754" cy="1920804"/>
                    </a:xfrm>
                    <a:prstGeom prst="rect">
                      <a:avLst/>
                    </a:prstGeom>
                    <a:noFill/>
                    <a:ln>
                      <a:noFill/>
                    </a:ln>
                  </pic:spPr>
                </pic:pic>
              </a:graphicData>
            </a:graphic>
          </wp:inline>
        </w:drawing>
      </w:r>
    </w:p>
    <w:p w14:paraId="35F8450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FASTQ格式文件示意图</w:t>
      </w:r>
    </w:p>
    <w:p w14:paraId="107D7F74">
      <w:pPr>
        <w:pStyle w:val="41"/>
        <w:rPr>
          <w:bCs w:val="0"/>
        </w:rPr>
      </w:pPr>
      <w:bookmarkStart w:id="41" w:name="_Toc32015"/>
      <w:r>
        <w:rPr>
          <w:bCs w:val="0"/>
        </w:rPr>
        <w:t>3.2</w:t>
      </w:r>
      <w:r>
        <w:rPr>
          <w:rFonts w:hint="eastAsia"/>
          <w:bCs w:val="0"/>
        </w:rPr>
        <w:t xml:space="preserve"> </w:t>
      </w:r>
      <w:r>
        <w:rPr>
          <w:rFonts w:hint="eastAsia"/>
          <w:color w:val="000000" w:themeColor="text1"/>
          <w14:textFill>
            <w14:solidFill>
              <w14:schemeClr w14:val="tx1"/>
            </w14:solidFill>
          </w14:textFill>
        </w:rPr>
        <w:t>测序碱基质量值</w:t>
      </w:r>
      <w:bookmarkEnd w:id="41"/>
    </w:p>
    <w:p w14:paraId="398F516B">
      <w:pPr>
        <w:ind w:firstLine="420"/>
      </w:pPr>
      <w:r>
        <w:rPr>
          <w:rFonts w:hint="eastAsia"/>
        </w:rPr>
        <w:t>碱基质量值（Quality Score或Q-score）是碱基识别（Base Calling）出错的概率的整数映射。通常使用的Phred碱基质量值公式为：Q</w:t>
      </w:r>
      <w:r>
        <w:rPr>
          <w:vertAlign w:val="subscript"/>
        </w:rPr>
        <w:t>-</w:t>
      </w:r>
      <w:r>
        <w:rPr>
          <w:rFonts w:hint="eastAsia"/>
          <w:vertAlign w:val="subscript"/>
        </w:rPr>
        <w:t>s</w:t>
      </w:r>
      <w:r>
        <w:rPr>
          <w:vertAlign w:val="subscript"/>
        </w:rPr>
        <w:t xml:space="preserve">core </w:t>
      </w:r>
      <w:r>
        <w:t>= -10*log</w:t>
      </w:r>
      <w:r>
        <w:rPr>
          <w:vertAlign w:val="subscript"/>
        </w:rPr>
        <w:t>10</w:t>
      </w:r>
      <w:r>
        <w:t>P</w:t>
      </w:r>
      <w:r>
        <w:rPr>
          <w:rFonts w:hint="eastAsia"/>
        </w:rPr>
        <w:t>，其中，P为碱基识别出错的概率。</w:t>
      </w:r>
    </w:p>
    <w:p w14:paraId="4A334C43">
      <w:pPr>
        <w:ind w:firstLine="420"/>
      </w:pPr>
      <w:r>
        <w:rPr>
          <w:rFonts w:hint="eastAsia"/>
        </w:rPr>
        <w:t>下表给出了碱基质量值与碱基识别出错的概率的对应关系：</w:t>
      </w:r>
    </w:p>
    <w:p w14:paraId="2D0190BD">
      <w:pPr>
        <w:ind w:firstLine="0" w:firstLineChars="0"/>
        <w:jc w:val="center"/>
      </w:pPr>
      <w:r>
        <w:rPr>
          <w:rFonts w:hint="eastAsia"/>
        </w:rPr>
        <w:t>表1 碱基质量值与碱基识别出错的概率的对应关系表</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EBA62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301A79CE">
            <w:pPr>
              <w:ind w:firstLine="0" w:firstLineChars="0"/>
              <w:jc w:val="center"/>
            </w:pPr>
            <w:r>
              <w:rPr>
                <w:rFonts w:hint="eastAsia"/>
              </w:rPr>
              <w:t>碱基质量值</w:t>
            </w:r>
          </w:p>
        </w:tc>
        <w:tc>
          <w:tcPr>
            <w:tcW w:w="2765" w:type="dxa"/>
          </w:tcPr>
          <w:p w14:paraId="02BF90D5">
            <w:pPr>
              <w:ind w:firstLine="0" w:firstLineChars="0"/>
              <w:jc w:val="center"/>
            </w:pPr>
            <w:r>
              <w:rPr>
                <w:rFonts w:hint="eastAsia"/>
              </w:rPr>
              <w:t>碱基识别出错的概率</w:t>
            </w:r>
          </w:p>
        </w:tc>
        <w:tc>
          <w:tcPr>
            <w:tcW w:w="2766" w:type="dxa"/>
          </w:tcPr>
          <w:p w14:paraId="0A23E950">
            <w:pPr>
              <w:ind w:firstLine="0" w:firstLineChars="0"/>
              <w:jc w:val="center"/>
            </w:pPr>
            <w:r>
              <w:rPr>
                <w:rFonts w:hint="eastAsia"/>
              </w:rPr>
              <w:t>碱基识别精度</w:t>
            </w:r>
          </w:p>
        </w:tc>
      </w:tr>
      <w:tr w14:paraId="5C387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6F6D40E8">
            <w:pPr>
              <w:ind w:firstLine="0" w:firstLineChars="0"/>
              <w:jc w:val="center"/>
            </w:pPr>
            <w:r>
              <w:t>Q10</w:t>
            </w:r>
          </w:p>
        </w:tc>
        <w:tc>
          <w:tcPr>
            <w:tcW w:w="2765" w:type="dxa"/>
            <w:tcBorders>
              <w:top w:val="single" w:color="auto" w:sz="4" w:space="0"/>
            </w:tcBorders>
          </w:tcPr>
          <w:p w14:paraId="4D5FEB32">
            <w:pPr>
              <w:ind w:firstLine="0" w:firstLineChars="0"/>
              <w:jc w:val="center"/>
            </w:pPr>
            <w:r>
              <w:t>1/10</w:t>
            </w:r>
          </w:p>
        </w:tc>
        <w:tc>
          <w:tcPr>
            <w:tcW w:w="2766" w:type="dxa"/>
            <w:tcBorders>
              <w:top w:val="single" w:color="auto" w:sz="4" w:space="0"/>
            </w:tcBorders>
          </w:tcPr>
          <w:p w14:paraId="73CEB667">
            <w:pPr>
              <w:ind w:firstLine="0" w:firstLineChars="0"/>
              <w:jc w:val="center"/>
            </w:pPr>
            <w:r>
              <w:t>90%</w:t>
            </w:r>
          </w:p>
        </w:tc>
      </w:tr>
      <w:tr w14:paraId="493A65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765" w:type="dxa"/>
          </w:tcPr>
          <w:p w14:paraId="7CC9AAAE">
            <w:pPr>
              <w:ind w:firstLine="0" w:firstLineChars="0"/>
              <w:jc w:val="center"/>
            </w:pPr>
            <w:r>
              <w:t>Q20</w:t>
            </w:r>
          </w:p>
        </w:tc>
        <w:tc>
          <w:tcPr>
            <w:tcW w:w="2765" w:type="dxa"/>
          </w:tcPr>
          <w:p w14:paraId="5FA5D4BD">
            <w:pPr>
              <w:ind w:firstLine="0" w:firstLineChars="0"/>
              <w:jc w:val="center"/>
            </w:pPr>
            <w:r>
              <w:t>1/100</w:t>
            </w:r>
          </w:p>
        </w:tc>
        <w:tc>
          <w:tcPr>
            <w:tcW w:w="2766" w:type="dxa"/>
          </w:tcPr>
          <w:p w14:paraId="77DF367E">
            <w:pPr>
              <w:ind w:firstLine="0" w:firstLineChars="0"/>
              <w:jc w:val="center"/>
            </w:pPr>
            <w:r>
              <w:t>99%</w:t>
            </w:r>
          </w:p>
        </w:tc>
      </w:tr>
      <w:tr w14:paraId="5C276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06138C6">
            <w:pPr>
              <w:ind w:firstLine="0" w:firstLineChars="0"/>
              <w:jc w:val="center"/>
            </w:pPr>
            <w:r>
              <w:t>Q30</w:t>
            </w:r>
          </w:p>
        </w:tc>
        <w:tc>
          <w:tcPr>
            <w:tcW w:w="2765" w:type="dxa"/>
          </w:tcPr>
          <w:p w14:paraId="0CCBFE11">
            <w:pPr>
              <w:ind w:firstLine="0" w:firstLineChars="0"/>
              <w:jc w:val="center"/>
            </w:pPr>
            <w:r>
              <w:t>1/1000</w:t>
            </w:r>
          </w:p>
        </w:tc>
        <w:tc>
          <w:tcPr>
            <w:tcW w:w="2766" w:type="dxa"/>
          </w:tcPr>
          <w:p w14:paraId="08DE8881">
            <w:pPr>
              <w:ind w:firstLine="0" w:firstLineChars="0"/>
              <w:jc w:val="center"/>
            </w:pPr>
            <w:r>
              <w:t>99.9%</w:t>
            </w:r>
          </w:p>
        </w:tc>
      </w:tr>
      <w:tr w14:paraId="7B3A02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E447FD6">
            <w:pPr>
              <w:ind w:firstLine="0" w:firstLineChars="0"/>
              <w:jc w:val="center"/>
            </w:pPr>
            <w:r>
              <w:t>Q40</w:t>
            </w:r>
          </w:p>
        </w:tc>
        <w:tc>
          <w:tcPr>
            <w:tcW w:w="2765" w:type="dxa"/>
          </w:tcPr>
          <w:p w14:paraId="54E93791">
            <w:pPr>
              <w:ind w:firstLine="0" w:firstLineChars="0"/>
              <w:jc w:val="center"/>
            </w:pPr>
            <w:r>
              <w:t>1/10000</w:t>
            </w:r>
          </w:p>
        </w:tc>
        <w:tc>
          <w:tcPr>
            <w:tcW w:w="2766" w:type="dxa"/>
          </w:tcPr>
          <w:p w14:paraId="12059536">
            <w:pPr>
              <w:ind w:firstLine="0" w:firstLineChars="0"/>
              <w:jc w:val="center"/>
            </w:pPr>
            <w:r>
              <w:t>99.99%</w:t>
            </w:r>
          </w:p>
        </w:tc>
      </w:tr>
    </w:tbl>
    <w:p w14:paraId="7B8A1F34">
      <w:pPr>
        <w:ind w:firstLine="420"/>
      </w:pPr>
      <w:r>
        <w:rPr>
          <w:rFonts w:hint="eastAsia"/>
        </w:rPr>
        <w:t>样品原始数据碱基质量值分布图见下图：</w:t>
      </w:r>
    </w:p>
    <w:p w14:paraId="7CDBF8A9">
      <w:pPr>
        <w:ind w:firstLine="420"/>
        <w:jc w:val="center"/>
      </w:pPr>
      <w:r>
        <w:rPr>
          <w:rFonts w:cs="Times New Roman"/>
          <w:szCs w:val="21"/>
        </w:rPr>
        <w:drawing>
          <wp:inline distT="0" distB="0" distL="0" distR="0">
            <wp:extent cx="3999230" cy="2207260"/>
            <wp:effectExtent l="0" t="0" r="127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1DDF6575">
      <w:pPr>
        <w:pStyle w:val="32"/>
      </w:pPr>
      <w:r>
        <w:rPr>
          <w:rFonts w:hint="eastAsia"/>
        </w:rPr>
        <w:t>注：横坐标为Reads的碱基位置，纵坐标为单碱基错误率。测序错误率受测序仪本身、测序试剂、样品等多个因素共同影响。由于测序过程中化学试剂的消耗，测序错误率会随着测序序列(Sequenced Reads)长度的增加而升高。此特征是Illumina高通量测序平台所具有的</w:t>
      </w:r>
    </w:p>
    <w:p w14:paraId="1E43E8F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Result/group*/1-data_quality/*/error_rate.</w:t>
      </w:r>
      <w:r>
        <w:rPr>
          <w:rFonts w:hint="eastAsia" w:cs="Times New Roman"/>
          <w:color w:val="000000" w:themeColor="text1"/>
          <w14:textFill>
            <w14:solidFill>
              <w14:schemeClr w14:val="tx1"/>
            </w14:solidFill>
          </w14:textFill>
        </w:rPr>
        <w:t>png</w:t>
      </w:r>
    </w:p>
    <w:p w14:paraId="2E4BF1D7">
      <w:pPr>
        <w:pStyle w:val="41"/>
        <w:rPr>
          <w:bCs w:val="0"/>
        </w:rPr>
      </w:pPr>
      <w:bookmarkStart w:id="42" w:name="_Toc28406"/>
      <w:r>
        <w:rPr>
          <w:bCs w:val="0"/>
        </w:rPr>
        <w:t>3.3</w:t>
      </w:r>
      <w:r>
        <w:rPr>
          <w:rFonts w:hint="eastAsia"/>
          <w:bCs w:val="0"/>
        </w:rPr>
        <w:t xml:space="preserve"> 测序碱基含量分布</w:t>
      </w:r>
      <w:bookmarkEnd w:id="42"/>
    </w:p>
    <w:p w14:paraId="328996DA">
      <w:pPr>
        <w:ind w:firstLine="420"/>
      </w:pPr>
      <w:r>
        <w:rPr>
          <w:rFonts w:hint="eastAsia"/>
        </w:rPr>
        <w:t>碱基类型分布检查用于检测有无AT、GC分离现象,由于所测的序列为随机打断的DNA片段，因随机性打断及碱基互补配对原则，理论上，G和C、A和T的含量每个测序循环上应分别相等，且整个测序过程稳定不变，呈水平线。由于Reads 5’端的前几个碱基为随机引物序列存在一定的偏好性，因此会在碱基分布图中出现前端波动较大的现象。</w:t>
      </w:r>
    </w:p>
    <w:p w14:paraId="636D098D">
      <w:pPr>
        <w:ind w:firstLine="420"/>
      </w:pPr>
      <w:r>
        <w:rPr>
          <w:rFonts w:hint="eastAsia"/>
        </w:rPr>
        <w:t>碱基含量分布图如下所示：</w:t>
      </w:r>
    </w:p>
    <w:p w14:paraId="691456B0">
      <w:pPr>
        <w:ind w:firstLine="420"/>
        <w:jc w:val="center"/>
      </w:pPr>
      <w:r>
        <w:rPr>
          <w:rFonts w:cs="Times New Roman"/>
          <w:szCs w:val="21"/>
        </w:rPr>
        <w:drawing>
          <wp:inline distT="0" distB="0" distL="0" distR="0">
            <wp:extent cx="3999230" cy="2207260"/>
            <wp:effectExtent l="0" t="0" r="127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4C4E906D">
      <w:pPr>
        <w:pStyle w:val="32"/>
      </w:pPr>
      <w:r>
        <w:rPr>
          <w:rFonts w:hint="eastAsia"/>
        </w:rPr>
        <w:t>注：横坐标为Reads的碱基位置，纵坐标为单碱基所占比例。</w:t>
      </w:r>
    </w:p>
    <w:p w14:paraId="7D0794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Result/group*/1-data_quality/*/ATGC_content.</w:t>
      </w:r>
      <w:r>
        <w:rPr>
          <w:rFonts w:hint="eastAsia" w:cs="Times New Roman"/>
          <w:color w:val="000000" w:themeColor="text1"/>
          <w14:textFill>
            <w14:solidFill>
              <w14:schemeClr w14:val="tx1"/>
            </w14:solidFill>
          </w14:textFill>
        </w:rPr>
        <w:t>png</w:t>
      </w:r>
    </w:p>
    <w:p w14:paraId="26D59926">
      <w:pPr>
        <w:pStyle w:val="41"/>
        <w:rPr>
          <w:bCs w:val="0"/>
        </w:rPr>
      </w:pPr>
      <w:bookmarkStart w:id="43" w:name="_Toc3267"/>
      <w:bookmarkStart w:id="44" w:name="_Toc24347"/>
      <w:bookmarkStart w:id="45" w:name="_Toc48"/>
      <w:bookmarkStart w:id="46" w:name="_Toc30154"/>
      <w:bookmarkStart w:id="47" w:name="_Toc12145"/>
      <w:r>
        <w:rPr>
          <w:bCs w:val="0"/>
        </w:rPr>
        <w:t>3.4</w:t>
      </w:r>
      <w:r>
        <w:rPr>
          <w:rFonts w:hint="eastAsia"/>
          <w:bCs w:val="0"/>
        </w:rPr>
        <w:t xml:space="preserve"> 数据处理过程和参数</w:t>
      </w:r>
      <w:bookmarkEnd w:id="43"/>
      <w:bookmarkEnd w:id="44"/>
      <w:bookmarkEnd w:id="45"/>
      <w:bookmarkEnd w:id="46"/>
      <w:bookmarkEnd w:id="47"/>
    </w:p>
    <w:p w14:paraId="6B611D58">
      <w:pPr>
        <w:ind w:firstLine="420"/>
        <w:rPr>
          <w:rFonts w:cs="Times New Roman"/>
        </w:rPr>
      </w:pPr>
      <w:r>
        <w:rPr>
          <w:rFonts w:hint="eastAsia" w:cs="Times New Roman"/>
        </w:rPr>
        <w:t>二代高通量测序平台测序得到的是Pair-End（PE）双端序列数据，对测得的Fastq数据进行质控处理后得到优质的Fasta数据：</w:t>
      </w:r>
    </w:p>
    <w:p w14:paraId="07AFB14F">
      <w:pPr>
        <w:ind w:firstLine="420"/>
      </w:pPr>
      <w:r>
        <w:rPr>
          <w:rFonts w:hint="eastAsia"/>
        </w:rPr>
        <w:t>具体参数如下：</w:t>
      </w:r>
    </w:p>
    <w:p w14:paraId="7A31CC62">
      <w:pPr>
        <w:pStyle w:val="31"/>
        <w:numPr>
          <w:ilvl w:val="0"/>
          <w:numId w:val="1"/>
        </w:numPr>
        <w:ind w:firstLineChars="0"/>
      </w:pPr>
      <w:r>
        <w:rPr>
          <w:rFonts w:hint="eastAsia"/>
        </w:rPr>
        <w:t>利用fast</w:t>
      </w:r>
      <w:r>
        <w:t>p</w:t>
      </w:r>
      <w:r>
        <w:rPr>
          <w:rFonts w:hint="eastAsia"/>
        </w:rPr>
        <w:t>对Fastq数据进行质控。采用滑动窗口策略,窗口大小设置</w:t>
      </w:r>
      <w:r>
        <w:t>4</w:t>
      </w:r>
      <w:r>
        <w:rPr>
          <w:rFonts w:hint="eastAsia"/>
        </w:rPr>
        <w:t>，平均质量值为20，最小保留序列长度为1</w:t>
      </w:r>
      <w:r>
        <w:t>0</w:t>
      </w:r>
      <w:r>
        <w:rPr>
          <w:rFonts w:hint="eastAsia"/>
        </w:rPr>
        <w:t>0，fastq自动去除接头序列；</w:t>
      </w:r>
    </w:p>
    <w:p w14:paraId="637ABDA4">
      <w:pPr>
        <w:pStyle w:val="31"/>
        <w:numPr>
          <w:ilvl w:val="0"/>
          <w:numId w:val="1"/>
        </w:numPr>
        <w:ind w:firstLineChars="0"/>
      </w:pPr>
      <w:r>
        <w:rPr>
          <w:rFonts w:hint="eastAsia"/>
        </w:rPr>
        <w:t>如果为宿主内或宿主体表微生物同时进行去除宿主污染操作，利用</w:t>
      </w:r>
      <w:r>
        <w:t>bowtie2</w:t>
      </w:r>
      <w:r>
        <w:rPr>
          <w:rFonts w:hint="eastAsia"/>
        </w:rPr>
        <w:t>比对去宿主序列。</w:t>
      </w:r>
    </w:p>
    <w:p w14:paraId="76CA2819">
      <w:pPr>
        <w:ind w:firstLine="420"/>
      </w:pPr>
      <w:r>
        <w:rPr>
          <w:rFonts w:hint="eastAsia"/>
        </w:rPr>
        <w:t>软件：</w:t>
      </w:r>
      <w:r>
        <w:t>fastp</w:t>
      </w:r>
      <w:r>
        <w:rPr>
          <w:rFonts w:hint="eastAsia"/>
        </w:rPr>
        <w:t>（v</w:t>
      </w:r>
      <w:r>
        <w:t>0.12.4</w:t>
      </w:r>
      <w:r>
        <w:rPr>
          <w:rFonts w:hint="eastAsia"/>
        </w:rPr>
        <w:t>）；</w:t>
      </w:r>
      <w:r>
        <w:t>bowtie2</w:t>
      </w:r>
      <w:r>
        <w:rPr>
          <w:rFonts w:hint="eastAsia"/>
        </w:rPr>
        <w:t>（</w:t>
      </w:r>
      <w:r>
        <w:t>v2.5.2）</w:t>
      </w:r>
    </w:p>
    <w:p w14:paraId="44713A06">
      <w:pPr>
        <w:pStyle w:val="41"/>
      </w:pPr>
      <w:bookmarkStart w:id="48" w:name="_Toc143847364"/>
      <w:bookmarkStart w:id="49" w:name="_Toc16418"/>
      <w:r>
        <w:t>3.5</w:t>
      </w:r>
      <w:r>
        <w:rPr>
          <w:rFonts w:hint="eastAsia"/>
        </w:rPr>
        <w:t xml:space="preserve"> </w:t>
      </w:r>
      <w:r>
        <w:t>数据质控与统计</w:t>
      </w:r>
      <w:bookmarkEnd w:id="48"/>
      <w:bookmarkEnd w:id="49"/>
    </w:p>
    <w:p w14:paraId="46CBC43B">
      <w:pPr>
        <w:ind w:firstLine="420"/>
      </w:pPr>
      <w:r>
        <w:t>测序得到的原始数据（Raw Data），存在一定的干扰数据（Dirty Data），为了得到高质量的测序数据，以提高后续生物信息分析准确性，首先需要对原始下机数据进行质控和过滤，得到有效数据（Clean Data）。</w:t>
      </w:r>
      <w:r>
        <w:rPr>
          <w:rFonts w:hint="eastAsia"/>
        </w:rPr>
        <w:t>使用</w:t>
      </w:r>
      <w:r>
        <w:t>fastp</w:t>
      </w:r>
      <w:r>
        <w:rPr>
          <w:rFonts w:hint="eastAsia"/>
        </w:rPr>
        <w:t>对原始数据进行过滤，去除低质量碱基。</w:t>
      </w:r>
    </w:p>
    <w:p w14:paraId="1233F34A">
      <w:pPr>
        <w:ind w:firstLine="420"/>
      </w:pPr>
      <w:r>
        <w:rPr>
          <w:rFonts w:hint="eastAsia"/>
        </w:rPr>
        <w:t>原始数据组成图如下所示：</w:t>
      </w:r>
    </w:p>
    <w:p w14:paraId="6E0907EA">
      <w:pPr>
        <w:ind w:firstLine="420"/>
        <w:jc w:val="center"/>
      </w:pPr>
      <w:r>
        <w:rPr>
          <w:rFonts w:cs="Times New Roman"/>
          <w:szCs w:val="21"/>
        </w:rPr>
        <w:drawing>
          <wp:inline distT="0" distB="0" distL="0" distR="0">
            <wp:extent cx="3999230" cy="2207260"/>
            <wp:effectExtent l="0" t="0" r="127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6B819863">
      <w:pPr>
        <w:pStyle w:val="32"/>
      </w:pPr>
      <w:r>
        <w:rPr>
          <w:rFonts w:hint="eastAsia"/>
        </w:rPr>
        <w:t>注：Host reads：属于宿主的Reads数的比例。Low quality：过滤掉的低质量Reads数占总Raw Reads数的比例。Clean Reads：经过过滤得到的Clean Reads 数占总Raw Reads数的比例。</w:t>
      </w:r>
    </w:p>
    <w:p w14:paraId="65BFFBE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Result/group*/1-data_quality/*/reads_quality_summary.</w:t>
      </w:r>
      <w:r>
        <w:rPr>
          <w:rFonts w:hint="eastAsia" w:cs="Times New Roman"/>
          <w:color w:val="000000" w:themeColor="text1"/>
          <w14:textFill>
            <w14:solidFill>
              <w14:schemeClr w14:val="tx1"/>
            </w14:solidFill>
          </w14:textFill>
        </w:rPr>
        <w:t>png</w:t>
      </w:r>
    </w:p>
    <w:p w14:paraId="112EF8ED">
      <w:pPr>
        <w:ind w:firstLine="420"/>
        <w:rPr>
          <w:rFonts w:cs="Times New Roman"/>
        </w:rPr>
      </w:pPr>
      <w:r>
        <w:rPr>
          <w:rFonts w:cs="Times New Roman"/>
        </w:rPr>
        <w:t>测序数据量及质量统计</w:t>
      </w:r>
      <w:r>
        <w:rPr>
          <w:rFonts w:hint="eastAsia" w:cs="Times New Roman"/>
        </w:rPr>
        <w:t>说明信息表如下</w:t>
      </w:r>
      <w:r>
        <w:rPr>
          <w:rFonts w:cs="Times New Roman"/>
        </w:rPr>
        <w:t>：</w:t>
      </w:r>
    </w:p>
    <w:p w14:paraId="52105E2F">
      <w:pPr>
        <w:ind w:firstLine="420"/>
        <w:jc w:val="center"/>
        <w:rPr>
          <w:rFonts w:cs="Times New Roman"/>
        </w:rPr>
      </w:pPr>
      <w:r>
        <w:rPr>
          <w:rFonts w:hint="eastAsia" w:cs="Times New Roman"/>
        </w:rPr>
        <w:t>表</w:t>
      </w:r>
      <w:r>
        <w:rPr>
          <w:rFonts w:cs="Times New Roman"/>
        </w:rPr>
        <w:t>1</w:t>
      </w:r>
      <w:r>
        <w:rPr>
          <w:rFonts w:hint="eastAsia" w:cs="Times New Roman"/>
        </w:rPr>
        <w:t xml:space="preserve"> </w:t>
      </w:r>
      <w:r>
        <w:rPr>
          <w:rFonts w:cs="Times New Roman"/>
        </w:rPr>
        <w:t>测序数据量及质量统计</w:t>
      </w:r>
      <w:r>
        <w:rPr>
          <w:rFonts w:hint="eastAsia" w:cs="Times New Roman"/>
        </w:rPr>
        <w:t>说明信息表</w:t>
      </w:r>
    </w:p>
    <w:tbl>
      <w:tblPr>
        <w:tblStyle w:val="22"/>
        <w:tblW w:w="858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3"/>
        <w:gridCol w:w="5596"/>
      </w:tblGrid>
      <w:tr w14:paraId="2BF3B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bottom w:val="single" w:color="000000" w:sz="6" w:space="0"/>
            </w:tcBorders>
            <w:shd w:val="clear" w:color="auto" w:fill="FFFFFF"/>
          </w:tcPr>
          <w:p w14:paraId="58FA12DB">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表头</w:t>
            </w:r>
          </w:p>
        </w:tc>
        <w:tc>
          <w:tcPr>
            <w:tcW w:w="6339" w:type="dxa"/>
            <w:tcBorders>
              <w:bottom w:val="single" w:color="000000" w:sz="6" w:space="0"/>
            </w:tcBorders>
            <w:shd w:val="clear" w:color="auto" w:fill="FFFFFF"/>
          </w:tcPr>
          <w:p w14:paraId="0CB236F9">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描述</w:t>
            </w:r>
          </w:p>
        </w:tc>
      </w:tr>
      <w:tr w14:paraId="2C3F9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45" w:hRule="atLeast"/>
        </w:trPr>
        <w:tc>
          <w:tcPr>
            <w:tcW w:w="2250" w:type="dxa"/>
            <w:tcBorders>
              <w:top w:val="single" w:color="000000" w:sz="6" w:space="0"/>
              <w:tl2br w:val="nil"/>
              <w:tr2bl w:val="nil"/>
            </w:tcBorders>
            <w:shd w:val="clear" w:color="auto" w:fill="FFFFFF"/>
          </w:tcPr>
          <w:p w14:paraId="400D77AA">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Sample_name</w:t>
            </w:r>
          </w:p>
        </w:tc>
        <w:tc>
          <w:tcPr>
            <w:tcW w:w="6339" w:type="dxa"/>
            <w:tcBorders>
              <w:top w:val="single" w:color="000000" w:sz="6" w:space="0"/>
              <w:tl2br w:val="nil"/>
              <w:tr2bl w:val="nil"/>
            </w:tcBorders>
            <w:shd w:val="clear" w:color="auto" w:fill="FFFFFF"/>
          </w:tcPr>
          <w:p w14:paraId="5FB48AD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样本名称</w:t>
            </w:r>
          </w:p>
        </w:tc>
      </w:tr>
      <w:tr w14:paraId="14523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1F45C97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Raw_reads</w:t>
            </w:r>
          </w:p>
        </w:tc>
        <w:tc>
          <w:tcPr>
            <w:tcW w:w="6339" w:type="dxa"/>
            <w:tcBorders>
              <w:tl2br w:val="nil"/>
              <w:tr2bl w:val="nil"/>
            </w:tcBorders>
            <w:shd w:val="clear" w:color="auto" w:fill="FFFFFF"/>
          </w:tcPr>
          <w:p w14:paraId="534EE273">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原始数据reads数</w:t>
            </w:r>
          </w:p>
        </w:tc>
      </w:tr>
      <w:tr w14:paraId="10315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trPr>
        <w:tc>
          <w:tcPr>
            <w:tcW w:w="2250" w:type="dxa"/>
            <w:tcBorders>
              <w:tl2br w:val="nil"/>
              <w:tr2bl w:val="nil"/>
            </w:tcBorders>
            <w:shd w:val="clear" w:color="auto" w:fill="FFFFFF"/>
          </w:tcPr>
          <w:p w14:paraId="31414354">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Raw_bases（G）</w:t>
            </w:r>
          </w:p>
        </w:tc>
        <w:tc>
          <w:tcPr>
            <w:tcW w:w="6339" w:type="dxa"/>
            <w:tcBorders>
              <w:tl2br w:val="nil"/>
              <w:tr2bl w:val="nil"/>
            </w:tcBorders>
            <w:shd w:val="clear" w:color="auto" w:fill="FFFFFF"/>
          </w:tcPr>
          <w:p w14:paraId="2FC0BD77">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原始数据碱基数，测序序列的个数乘以测序序列的长度，并转化为以G为单位</w:t>
            </w:r>
          </w:p>
        </w:tc>
      </w:tr>
      <w:tr w14:paraId="62DDA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692" w:hRule="atLeast"/>
        </w:trPr>
        <w:tc>
          <w:tcPr>
            <w:tcW w:w="2250" w:type="dxa"/>
            <w:tcBorders>
              <w:tl2br w:val="nil"/>
              <w:tr2bl w:val="nil"/>
            </w:tcBorders>
            <w:shd w:val="clear" w:color="auto" w:fill="FFFFFF"/>
          </w:tcPr>
          <w:p w14:paraId="4EF5A8C1">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Removed_low_quality_Reads</w:t>
            </w:r>
          </w:p>
        </w:tc>
        <w:tc>
          <w:tcPr>
            <w:tcW w:w="6339" w:type="dxa"/>
            <w:tcBorders>
              <w:tl2br w:val="nil"/>
              <w:tr2bl w:val="nil"/>
            </w:tcBorders>
            <w:shd w:val="clear" w:color="auto" w:fill="FFFFFF"/>
          </w:tcPr>
          <w:p w14:paraId="4157DD9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去除低质量之后的reads数</w:t>
            </w:r>
          </w:p>
        </w:tc>
      </w:tr>
      <w:tr w14:paraId="4EB07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B5AD89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Removed_Low_Qualitybases(G)</w:t>
            </w:r>
          </w:p>
        </w:tc>
        <w:tc>
          <w:tcPr>
            <w:tcW w:w="6339" w:type="dxa"/>
            <w:tcBorders>
              <w:tl2br w:val="nil"/>
              <w:tr2bl w:val="nil"/>
            </w:tcBorders>
            <w:shd w:val="clear" w:color="auto" w:fill="FFFFFF"/>
          </w:tcPr>
          <w:p w14:paraId="17345BB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原始数据过滤后的碱基数，测序序列的个数乘以测序序列的长度，并转化为以G为单位</w:t>
            </w:r>
          </w:p>
        </w:tc>
      </w:tr>
      <w:tr w14:paraId="27CAD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23C4F36">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Removed_host_Reads</w:t>
            </w:r>
          </w:p>
        </w:tc>
        <w:tc>
          <w:tcPr>
            <w:tcW w:w="6339" w:type="dxa"/>
            <w:tcBorders>
              <w:tl2br w:val="nil"/>
              <w:tr2bl w:val="nil"/>
            </w:tcBorders>
            <w:shd w:val="clear" w:color="auto" w:fill="FFFFFF"/>
          </w:tcPr>
          <w:p w14:paraId="3EB7AF3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过滤掉宿主之后的reads总数</w:t>
            </w:r>
          </w:p>
        </w:tc>
      </w:tr>
      <w:tr w14:paraId="3305CA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2C559DFE">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Removed_host_bases(G)</w:t>
            </w:r>
          </w:p>
        </w:tc>
        <w:tc>
          <w:tcPr>
            <w:tcW w:w="6339" w:type="dxa"/>
            <w:tcBorders>
              <w:tl2br w:val="nil"/>
              <w:tr2bl w:val="nil"/>
            </w:tcBorders>
            <w:shd w:val="clear" w:color="auto" w:fill="FFFFFF"/>
          </w:tcPr>
          <w:p w14:paraId="6B9AF71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Data总碱基数</w:t>
            </w:r>
          </w:p>
        </w:tc>
      </w:tr>
      <w:tr w14:paraId="495874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0030C3E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Q20（%）</w:t>
            </w:r>
          </w:p>
        </w:tc>
        <w:tc>
          <w:tcPr>
            <w:tcW w:w="6339" w:type="dxa"/>
            <w:tcBorders>
              <w:tl2br w:val="nil"/>
              <w:tr2bl w:val="nil"/>
            </w:tcBorders>
            <w:shd w:val="clear" w:color="auto" w:fill="FFFFFF"/>
          </w:tcPr>
          <w:p w14:paraId="69D91DC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Phred数值大于20的碱基占总碱基的百分比，一般&gt;90%</w:t>
            </w:r>
          </w:p>
        </w:tc>
      </w:tr>
      <w:tr w14:paraId="39A08C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2250" w:type="dxa"/>
            <w:tcBorders>
              <w:tl2br w:val="nil"/>
              <w:tr2bl w:val="nil"/>
            </w:tcBorders>
            <w:shd w:val="clear" w:color="auto" w:fill="FFFFFF"/>
          </w:tcPr>
          <w:p w14:paraId="61868B7B">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Q30（%）</w:t>
            </w:r>
          </w:p>
        </w:tc>
        <w:tc>
          <w:tcPr>
            <w:tcW w:w="6339" w:type="dxa"/>
            <w:tcBorders>
              <w:tl2br w:val="nil"/>
              <w:tr2bl w:val="nil"/>
            </w:tcBorders>
            <w:shd w:val="clear" w:color="auto" w:fill="FFFFFF"/>
          </w:tcPr>
          <w:p w14:paraId="01A1DCCE">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Phred数值大于30的碱基占总碱基的百分比，一般&gt;80%</w:t>
            </w:r>
          </w:p>
        </w:tc>
      </w:tr>
      <w:tr w14:paraId="2C95D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220" w:hRule="atLeast"/>
        </w:trPr>
        <w:tc>
          <w:tcPr>
            <w:tcW w:w="2250" w:type="dxa"/>
            <w:tcBorders>
              <w:tl2br w:val="nil"/>
              <w:tr2bl w:val="nil"/>
            </w:tcBorders>
            <w:shd w:val="clear" w:color="auto" w:fill="FFFFFF"/>
          </w:tcPr>
          <w:p w14:paraId="5F3F9C0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GC_content（%）</w:t>
            </w:r>
          </w:p>
        </w:tc>
        <w:tc>
          <w:tcPr>
            <w:tcW w:w="6339" w:type="dxa"/>
            <w:tcBorders>
              <w:tl2br w:val="nil"/>
              <w:tr2bl w:val="nil"/>
            </w:tcBorders>
            <w:shd w:val="clear" w:color="auto" w:fill="FFFFFF"/>
          </w:tcPr>
          <w:p w14:paraId="2651D64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reads中G与C占四种碱基的百分比</w:t>
            </w:r>
          </w:p>
        </w:tc>
      </w:tr>
    </w:tbl>
    <w:p w14:paraId="0B4396C3">
      <w:pPr>
        <w:ind w:firstLine="420"/>
      </w:pPr>
      <w:r>
        <w:rPr>
          <w:rFonts w:hint="eastAsia"/>
        </w:rPr>
        <w:t>结果目录：</w:t>
      </w:r>
      <w:r>
        <w:t>Result/01.clean_data/qc_stats.xlsx</w:t>
      </w:r>
    </w:p>
    <w:p w14:paraId="3AFB7F39">
      <w:pPr>
        <w:pStyle w:val="40"/>
      </w:pPr>
      <w:bookmarkStart w:id="50" w:name="_Toc27671"/>
      <w:r>
        <w:rPr>
          <w:rFonts w:hint="eastAsia"/>
        </w:rPr>
        <w:t>4.</w:t>
      </w:r>
      <w:r>
        <w:t xml:space="preserve"> </w:t>
      </w:r>
      <w:r>
        <w:rPr>
          <w:rFonts w:hint="eastAsia"/>
        </w:rPr>
        <w:t>数据组装</w:t>
      </w:r>
      <w:bookmarkEnd w:id="50"/>
    </w:p>
    <w:p w14:paraId="5D4C7304">
      <w:pPr>
        <w:ind w:firstLine="420"/>
      </w:pPr>
      <w:r>
        <w:rPr>
          <w:rFonts w:hint="eastAsia"/>
        </w:rPr>
        <w:t>序列经过质控后，为了得到更为有效的基因组信息，并对序列进行更为准确的功能注释分析，需要进行宏基因组的组装分析。</w:t>
      </w:r>
    </w:p>
    <w:p w14:paraId="58E53AF7">
      <w:pPr>
        <w:ind w:firstLine="420"/>
      </w:pPr>
      <w:r>
        <w:rPr>
          <w:rFonts w:hint="eastAsia"/>
        </w:rPr>
        <w:t>分析方法和软件：基于单个样本的reads，使用基于De-Brujin graph原理的拼接软件MEGAHIT对其进行拼接组装，根据kmer间的重叠（overlap）关系，构建De-Brujin graph，获得contigs，筛选500 bp以上的Contigs进行统计并用于后续分析。</w:t>
      </w:r>
    </w:p>
    <w:p w14:paraId="6D13FFC0">
      <w:pPr>
        <w:ind w:firstLine="420"/>
      </w:pPr>
      <w:r>
        <w:rPr>
          <w:rFonts w:hint="eastAsia"/>
        </w:rPr>
        <w:t>从组装结果出发，统计每个样品中Contigs长度的分布，并绘制成图，Contigs长度分布如下所示：</w:t>
      </w:r>
    </w:p>
    <w:p w14:paraId="334769C7">
      <w:pPr>
        <w:ind w:firstLine="420"/>
        <w:jc w:val="center"/>
      </w:pPr>
      <w:r>
        <w:rPr>
          <w:rFonts w:cs="Times New Roman"/>
          <w:szCs w:val="21"/>
        </w:rPr>
        <w:drawing>
          <wp:inline distT="0" distB="0" distL="0" distR="0">
            <wp:extent cx="3999230" cy="2207260"/>
            <wp:effectExtent l="0" t="0" r="127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55B1C90A">
      <w:pPr>
        <w:pStyle w:val="32"/>
      </w:pPr>
      <w:r>
        <w:rPr>
          <w:rFonts w:hint="eastAsia"/>
        </w:rPr>
        <w:t>注：横坐标为不同样本，不同颜色代表不同Contigs长度区间，纵坐标为不同长度区间Contigs的数量</w:t>
      </w:r>
    </w:p>
    <w:p w14:paraId="207A64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Result/group*/2-Assembly/contig_length.</w:t>
      </w:r>
      <w:r>
        <w:rPr>
          <w:rFonts w:hint="eastAsia" w:cs="Times New Roman"/>
          <w:color w:val="000000" w:themeColor="text1"/>
          <w14:textFill>
            <w14:solidFill>
              <w14:schemeClr w14:val="tx1"/>
            </w14:solidFill>
          </w14:textFill>
        </w:rPr>
        <w:t>png</w:t>
      </w:r>
    </w:p>
    <w:p w14:paraId="12812E61">
      <w:pPr>
        <w:pStyle w:val="40"/>
      </w:pPr>
      <w:bookmarkStart w:id="51" w:name="_Toc4296"/>
      <w:r>
        <w:t>5</w:t>
      </w:r>
      <w:r>
        <w:rPr>
          <w:rFonts w:hint="eastAsia"/>
        </w:rPr>
        <w:t>.</w:t>
      </w:r>
      <w:r>
        <w:t xml:space="preserve"> </w:t>
      </w:r>
      <w:r>
        <w:rPr>
          <w:rFonts w:hint="eastAsia"/>
        </w:rPr>
        <w:t>基因预测以及基因集构建</w:t>
      </w:r>
      <w:bookmarkEnd w:id="51"/>
    </w:p>
    <w:p w14:paraId="00DD0B5F">
      <w:pPr>
        <w:ind w:firstLine="420"/>
      </w:pPr>
      <w:r>
        <w:rPr>
          <w:rFonts w:hint="eastAsia"/>
        </w:rPr>
        <w:t>在基因组组装的基础上，进行基因的预测分析，并对预测出来的基因进行后续的基因集构建以及功能注释分析等。</w:t>
      </w:r>
    </w:p>
    <w:p w14:paraId="3B09DD9B">
      <w:pPr>
        <w:ind w:firstLine="420"/>
      </w:pPr>
      <w:r>
        <w:rPr>
          <w:rFonts w:hint="eastAsia"/>
        </w:rPr>
        <w:t>（1）使用Prodigal软件对拼接的Contigs序列进行ORF预测，并将其翻译为氨基酸序列。</w:t>
      </w:r>
    </w:p>
    <w:p w14:paraId="04874F97">
      <w:pPr>
        <w:ind w:firstLine="420"/>
      </w:pPr>
      <w:r>
        <w:rPr>
          <w:rFonts w:hint="eastAsia"/>
        </w:rPr>
        <w:t>（2）对各样品组装的ORF预测结果，采用CD-HIT软件进行去冗余，以获得非冗余的初始gene catalogue（此处，操作上，将非冗余的连续基因编码的核酸序列称之为genes），默认以identity 95%，coverage 90%进行聚类，并选取最长的序列为代表性序列。</w:t>
      </w:r>
    </w:p>
    <w:p w14:paraId="56050F59">
      <w:pPr>
        <w:ind w:firstLine="420"/>
      </w:pPr>
      <w:r>
        <w:rPr>
          <w:rFonts w:hint="eastAsia"/>
        </w:rPr>
        <w:t>（</w:t>
      </w:r>
      <w:r>
        <w:t>3</w:t>
      </w:r>
      <w:r>
        <w:rPr>
          <w:rFonts w:hint="eastAsia"/>
        </w:rPr>
        <w:t>）使用bowtie2软件，分别将每个样本的clean reads与非冗余基因集进行比对（95 %</w:t>
      </w:r>
      <w:r>
        <w:t xml:space="preserve"> </w:t>
      </w:r>
      <w:r>
        <w:rPr>
          <w:rFonts w:hint="eastAsia"/>
        </w:rPr>
        <w:t>identity），统计基因在对应样本中的丰度信息。</w:t>
      </w:r>
    </w:p>
    <w:p w14:paraId="1B2AABB7">
      <w:pPr>
        <w:ind w:firstLine="420"/>
      </w:pPr>
      <w:r>
        <w:rPr>
          <w:rFonts w:hint="eastAsia"/>
        </w:rPr>
        <w:t>（4）从比对上的reads数目及基因长度出发，计算得到各基因在各样品中的丰度信息，计算公式如下所示：r为比对上基因的reads数目，L为基因的长度。</w:t>
      </w:r>
    </w:p>
    <w:p w14:paraId="4F0A51EA">
      <w:pPr>
        <w:ind w:firstLine="420"/>
        <w:jc w:val="center"/>
      </w:pPr>
      <w:r>
        <w:drawing>
          <wp:inline distT="0" distB="0" distL="0" distR="0">
            <wp:extent cx="1354455" cy="490220"/>
            <wp:effectExtent l="0" t="0" r="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9"/>
                    <a:stretch>
                      <a:fillRect/>
                    </a:stretch>
                  </pic:blipFill>
                  <pic:spPr>
                    <a:xfrm>
                      <a:off x="0" y="0"/>
                      <a:ext cx="1371550" cy="496938"/>
                    </a:xfrm>
                    <a:prstGeom prst="rect">
                      <a:avLst/>
                    </a:prstGeom>
                  </pic:spPr>
                </pic:pic>
              </a:graphicData>
            </a:graphic>
          </wp:inline>
        </w:drawing>
      </w:r>
    </w:p>
    <w:p w14:paraId="59F54DF4">
      <w:pPr>
        <w:pStyle w:val="41"/>
      </w:pPr>
      <w:bookmarkStart w:id="52" w:name="_Toc9522"/>
      <w:r>
        <w:t xml:space="preserve">5.1 </w:t>
      </w:r>
      <w:r>
        <w:rPr>
          <w:rFonts w:hint="eastAsia"/>
        </w:rPr>
        <w:t>gene catalogue基本信息统计</w:t>
      </w:r>
      <w:bookmarkEnd w:id="52"/>
    </w:p>
    <w:p w14:paraId="32BC8293">
      <w:pPr>
        <w:ind w:firstLine="420"/>
      </w:pPr>
      <w:r>
        <w:rPr>
          <w:rFonts w:hint="eastAsia"/>
        </w:rPr>
        <w:t>使用python对gene catalogue的长度进行统计，gene catalogue长度分布图如下：</w:t>
      </w:r>
    </w:p>
    <w:p w14:paraId="04EA21B0">
      <w:pPr>
        <w:ind w:firstLine="420"/>
        <w:jc w:val="center"/>
      </w:pPr>
      <w:r>
        <w:rPr>
          <w:rFonts w:cs="Times New Roman"/>
          <w:szCs w:val="21"/>
        </w:rPr>
        <w:drawing>
          <wp:inline distT="0" distB="0" distL="0" distR="0">
            <wp:extent cx="3999230" cy="2207260"/>
            <wp:effectExtent l="0" t="0" r="127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251B2013">
      <w:pPr>
        <w:pStyle w:val="32"/>
      </w:pPr>
      <w:r>
        <w:rPr>
          <w:rFonts w:hint="eastAsia"/>
        </w:rPr>
        <w:t>注：横坐标为序列长度，纵坐标表示该长度的序列有多少条</w:t>
      </w:r>
    </w:p>
    <w:p w14:paraId="1CAA49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Result/group*/3-GenePredict/gene_length.png</w:t>
      </w:r>
    </w:p>
    <w:p w14:paraId="4BC52540">
      <w:pPr>
        <w:pStyle w:val="41"/>
      </w:pPr>
      <w:bookmarkStart w:id="53" w:name="_Toc11249"/>
      <w:r>
        <w:t xml:space="preserve">5.2 </w:t>
      </w:r>
      <w:r>
        <w:rPr>
          <w:rFonts w:hint="eastAsia"/>
        </w:rPr>
        <w:t>基于基因丰度的样品间相关性和韦恩分析</w:t>
      </w:r>
      <w:bookmarkEnd w:id="53"/>
    </w:p>
    <w:p w14:paraId="6532D80C">
      <w:pPr>
        <w:ind w:firstLine="420"/>
      </w:pPr>
      <w:r>
        <w:rPr>
          <w:rFonts w:hint="eastAsia"/>
        </w:rPr>
        <w:t>样品间基因丰度相关性是检验实验样本选择是否合理性的重要指标。相关系数越接近1，表明样品之间基因丰度模式的相似度越高。</w:t>
      </w:r>
    </w:p>
    <w:p w14:paraId="6A972F5B">
      <w:pPr>
        <w:ind w:firstLine="420"/>
      </w:pPr>
      <w:r>
        <w:rPr>
          <w:rFonts w:hint="eastAsia"/>
        </w:rPr>
        <w:t>样品间相关系数热图如下：</w:t>
      </w:r>
    </w:p>
    <w:p w14:paraId="45009E95">
      <w:pPr>
        <w:ind w:firstLine="42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3" name="图片 5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3D0A2E1">
      <w:pPr>
        <w:pStyle w:val="32"/>
      </w:pPr>
      <w:r>
        <w:rPr>
          <w:rFonts w:hint="eastAsia"/>
        </w:rPr>
        <w:t>注：不同颜色代表spearman相关系数的高低；相关系数与颜色间的关系见右侧图例说明；颜色越深代表样品间相关系数越大。</w:t>
      </w:r>
    </w:p>
    <w:p w14:paraId="360569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Result/group*/4-GeneAbundance/Sample_correlation/sample.corr_heatmap.png</w:t>
      </w:r>
    </w:p>
    <w:p w14:paraId="089B22D7">
      <w:pPr>
        <w:ind w:firstLine="420"/>
      </w:pPr>
      <w:r>
        <w:rPr>
          <w:rFonts w:hint="eastAsia"/>
        </w:rPr>
        <w:t>为了考察指定样品间的基因数目分布情况，分析不同样品之间的基因共有、特有信息，绘制了韦恩图(Venn Graph)或者upset图，如下：</w:t>
      </w:r>
    </w:p>
    <w:p w14:paraId="429437CB">
      <w:pPr>
        <w:ind w:firstLine="42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0" name="图片 5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B2D4E99">
      <w:pPr>
        <w:pStyle w:val="32"/>
      </w:pPr>
      <w:r>
        <w:rPr>
          <w:rFonts w:hint="eastAsia"/>
        </w:rPr>
        <w:t>注：venn图中圆圈相交部分代表样本之间的共有基因，圆圈未相交部分代表各样本的特有元素。upset图中左侧柱状图展示各原始数据集中包含的元素总量。下方交集点的部分，通过横向的对应关系，用点指代左侧的对应数据集名称。通过纵向实现点与点之间的连接，来表示对应数据集之间存在交集的情况。即，通过点与点之间的连接，对应传统韦恩图中圈与圈的重叠。通过纵向的对应关系，对应上方柱状图，表示该交集情况下的交集元素数量。</w:t>
      </w:r>
    </w:p>
    <w:p w14:paraId="242D13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Result/group*/4-GeneAbundance/Venn/upset.png</w:t>
      </w:r>
    </w:p>
    <w:p w14:paraId="70645A33">
      <w:pPr>
        <w:pStyle w:val="40"/>
      </w:pPr>
      <w:bookmarkStart w:id="54" w:name="_Toc14195"/>
      <w:bookmarkStart w:id="55" w:name="_Toc27566"/>
      <w:bookmarkStart w:id="56" w:name="_Toc20388"/>
      <w:bookmarkStart w:id="57" w:name="_Toc10609"/>
      <w:bookmarkStart w:id="58" w:name="_Toc25884"/>
      <w:r>
        <w:t>6</w:t>
      </w:r>
      <w:r>
        <w:rPr>
          <w:rFonts w:hint="eastAsia"/>
        </w:rPr>
        <w:t>.</w:t>
      </w:r>
      <w:r>
        <w:t xml:space="preserve"> </w:t>
      </w:r>
      <w:r>
        <w:rPr>
          <w:rFonts w:hint="eastAsia"/>
        </w:rPr>
        <w:t>物种组成及丰度分析</w:t>
      </w:r>
      <w:bookmarkEnd w:id="54"/>
      <w:bookmarkEnd w:id="55"/>
      <w:bookmarkEnd w:id="56"/>
      <w:bookmarkEnd w:id="57"/>
      <w:bookmarkEnd w:id="58"/>
    </w:p>
    <w:p w14:paraId="54E54472">
      <w:pPr>
        <w:ind w:firstLine="420"/>
      </w:pPr>
      <w:r>
        <w:rPr>
          <w:rFonts w:hint="eastAsia"/>
        </w:rPr>
        <w:t>1）使用genes与各功能数据库进行比对。DIAMOND软件将Unigenes与从NCBI的NR数据库中抽提出的细菌(Bacteria)、真菌(Fungi)、古菌(Archaea)和病毒(Viruses)序列进行比对（evalue≤1e-5）；</w:t>
      </w:r>
    </w:p>
    <w:p w14:paraId="7A7FB53C">
      <w:pPr>
        <w:ind w:firstLine="420"/>
      </w:pPr>
      <w:r>
        <w:t>2</w:t>
      </w:r>
      <w:r>
        <w:rPr>
          <w:rFonts w:hint="eastAsia"/>
        </w:rPr>
        <w:t>）由于每一条序列可能会有多个比对结果，得到多个不同的物种分类信息，为了保证其生物意义，采取LCA算法(应用于MEGAN软件的系统分类)，将出现第一个分支前的分类级别，作为该序列的物种注释信息；</w:t>
      </w:r>
    </w:p>
    <w:p w14:paraId="1058A740">
      <w:pPr>
        <w:ind w:firstLine="420"/>
      </w:pPr>
      <w:r>
        <w:t>3</w:t>
      </w:r>
      <w:r>
        <w:rPr>
          <w:rFonts w:hint="eastAsia"/>
        </w:rPr>
        <w:t>）从LCA注释结果及基因丰度表出发，获得各个样品在各个分类层级（界门纲目科属种）上的丰度信息，对于某个物种在某个样品中的丰度，等于注释为该物种的基因丰度的加和；</w:t>
      </w:r>
    </w:p>
    <w:p w14:paraId="3414FDD2">
      <w:pPr>
        <w:ind w:firstLine="420"/>
      </w:pPr>
      <w:r>
        <w:t>4</w:t>
      </w:r>
      <w:r>
        <w:rPr>
          <w:rFonts w:hint="eastAsia"/>
        </w:rPr>
        <w:t>）从各个分类层级（界门纲目科属种）上的丰度表出发，进行Krona分析，相对丰度概况展示，丰度聚类热图展示，PCA和NMDS降维分析，Anosim组间（内）差异分析，组间差异物种的Metastat和LEfSe多元统计分析。</w:t>
      </w:r>
    </w:p>
    <w:p w14:paraId="245A2447">
      <w:pPr>
        <w:pStyle w:val="41"/>
      </w:pPr>
      <w:bookmarkStart w:id="59" w:name="_Toc8874"/>
      <w:r>
        <w:t xml:space="preserve">6.1 </w:t>
      </w:r>
      <w:r>
        <w:rPr>
          <w:rFonts w:hint="eastAsia"/>
        </w:rPr>
        <w:t>物种组成分析</w:t>
      </w:r>
      <w:bookmarkEnd w:id="59"/>
    </w:p>
    <w:p w14:paraId="312E7A1B">
      <w:pPr>
        <w:ind w:firstLine="420"/>
        <w:rPr>
          <w:rFonts w:hint="eastAsia"/>
        </w:rPr>
      </w:pPr>
      <w:r>
        <w:rPr>
          <w:rFonts w:hint="eastAsia"/>
        </w:rPr>
        <w:t>根据分类结果，将分类结果归为4类：古细菌（Archaea）、细菌（Bacteria）、真菌（Fungi）和病毒（Virus）；所有分类的信息在All中。</w:t>
      </w:r>
    </w:p>
    <w:p w14:paraId="7D8A031C">
      <w:pPr>
        <w:ind w:firstLine="420"/>
        <w:rPr>
          <w:rFonts w:hint="eastAsia"/>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14:textFill>
            <w14:solidFill>
              <w14:schemeClr w14:val="tx1"/>
            </w14:solidFill>
          </w14:textFill>
        </w:rPr>
        <w:t>5-TaxAnnotation</w:t>
      </w:r>
      <w:r>
        <w:rPr>
          <w:rFonts w:hint="eastAsia" w:cs="Times New Roman"/>
          <w:color w:val="000000" w:themeColor="text1"/>
          <w:lang w:val="en-US" w:eastAsia="zh-CN"/>
          <w14:textFill>
            <w14:solidFill>
              <w14:schemeClr w14:val="tx1"/>
            </w14:solidFill>
          </w14:textFill>
        </w:rPr>
        <w:t>/1.Tables</w:t>
      </w:r>
    </w:p>
    <w:p w14:paraId="5F0F2E21">
      <w:pPr>
        <w:pStyle w:val="41"/>
      </w:pPr>
      <w:bookmarkStart w:id="60" w:name="_Toc11525"/>
      <w:r>
        <w:t xml:space="preserve">6.2 </w:t>
      </w:r>
      <w:r>
        <w:rPr>
          <w:rFonts w:hint="eastAsia"/>
        </w:rPr>
        <w:t>注释分析</w:t>
      </w:r>
      <w:bookmarkEnd w:id="60"/>
    </w:p>
    <w:p w14:paraId="64699D66">
      <w:pPr>
        <w:ind w:firstLine="420"/>
        <w:rPr>
          <w:rFonts w:cs="Times New Roman"/>
        </w:rPr>
      </w:pPr>
      <w:r>
        <w:rPr>
          <w:rFonts w:cs="Times New Roman"/>
        </w:rPr>
        <w:t>使用Krona工具对物种注释结果进行可视化展示，通过多个同心圆由内向外地展现出样本在界</w:t>
      </w:r>
      <w:r>
        <w:rPr>
          <w:rFonts w:hint="eastAsia" w:cs="Times New Roman"/>
        </w:rPr>
        <w:t>（kingdom）</w:t>
      </w:r>
      <w:r>
        <w:rPr>
          <w:rFonts w:cs="Times New Roman"/>
        </w:rPr>
        <w:t>、门</w:t>
      </w:r>
      <w:r>
        <w:rPr>
          <w:rFonts w:hint="eastAsia" w:cs="Times New Roman"/>
        </w:rPr>
        <w:t>（</w:t>
      </w:r>
      <w:r>
        <w:rPr>
          <w:rFonts w:cs="Times New Roman"/>
        </w:rPr>
        <w:t>Phylum</w:t>
      </w:r>
      <w:r>
        <w:rPr>
          <w:rFonts w:hint="eastAsia" w:cs="Times New Roman"/>
        </w:rPr>
        <w:t>）</w:t>
      </w:r>
      <w:r>
        <w:rPr>
          <w:rFonts w:cs="Times New Roman"/>
        </w:rPr>
        <w:t>、纲</w:t>
      </w:r>
      <w:r>
        <w:rPr>
          <w:rFonts w:hint="eastAsia" w:cs="Times New Roman"/>
        </w:rPr>
        <w:t>（</w:t>
      </w:r>
      <w:r>
        <w:rPr>
          <w:rFonts w:cs="Times New Roman"/>
        </w:rPr>
        <w:t>Class</w:t>
      </w:r>
      <w:r>
        <w:rPr>
          <w:rFonts w:hint="eastAsia" w:cs="Times New Roman"/>
        </w:rPr>
        <w:t>）</w:t>
      </w:r>
      <w:r>
        <w:rPr>
          <w:rFonts w:cs="Times New Roman"/>
        </w:rPr>
        <w:t>、目</w:t>
      </w:r>
      <w:r>
        <w:rPr>
          <w:rFonts w:hint="eastAsia" w:cs="Times New Roman"/>
        </w:rPr>
        <w:t>（</w:t>
      </w:r>
      <w:r>
        <w:rPr>
          <w:rFonts w:cs="Times New Roman"/>
        </w:rPr>
        <w:t>Order</w:t>
      </w:r>
      <w:r>
        <w:rPr>
          <w:rFonts w:hint="eastAsia" w:cs="Times New Roman"/>
        </w:rPr>
        <w:t>）</w:t>
      </w:r>
      <w:r>
        <w:rPr>
          <w:rFonts w:cs="Times New Roman"/>
        </w:rPr>
        <w:t>、科</w:t>
      </w:r>
      <w:r>
        <w:rPr>
          <w:rFonts w:hint="eastAsia" w:cs="Times New Roman"/>
        </w:rPr>
        <w:t>（</w:t>
      </w:r>
      <w:r>
        <w:rPr>
          <w:rFonts w:cs="Times New Roman"/>
        </w:rPr>
        <w:t>Family</w:t>
      </w:r>
      <w:r>
        <w:rPr>
          <w:rFonts w:hint="eastAsia" w:cs="Times New Roman"/>
        </w:rPr>
        <w:t>）</w:t>
      </w:r>
      <w:r>
        <w:rPr>
          <w:rFonts w:cs="Times New Roman"/>
        </w:rPr>
        <w:t>、属</w:t>
      </w:r>
      <w:r>
        <w:rPr>
          <w:rFonts w:hint="eastAsia" w:cs="Times New Roman"/>
        </w:rPr>
        <w:t>（</w:t>
      </w:r>
      <w:r>
        <w:rPr>
          <w:rFonts w:cs="Times New Roman"/>
        </w:rPr>
        <w:t>Genus</w:t>
      </w:r>
      <w:r>
        <w:rPr>
          <w:rFonts w:hint="eastAsia" w:cs="Times New Roman"/>
        </w:rPr>
        <w:t>）</w:t>
      </w:r>
      <w:r>
        <w:rPr>
          <w:rFonts w:hint="eastAsia" w:cs="Times New Roman"/>
          <w:lang w:eastAsia="zh-CN"/>
        </w:rPr>
        <w:t>、</w:t>
      </w:r>
      <w:r>
        <w:rPr>
          <w:rFonts w:hint="eastAsia" w:cs="Times New Roman"/>
          <w:lang w:val="en-US" w:eastAsia="zh-CN"/>
        </w:rPr>
        <w:t>种（Species）</w:t>
      </w:r>
      <w:r>
        <w:rPr>
          <w:rFonts w:cs="Times New Roman"/>
        </w:rPr>
        <w:t>各分类学水平的物种比例和分布，提供更全面的物种组成及进化信息，更多信息请参考KRONA结果详细信息</w:t>
      </w:r>
      <w:r>
        <w:rPr>
          <w:rFonts w:hint="eastAsia" w:cs="Times New Roman"/>
        </w:rPr>
        <w:t>。</w:t>
      </w:r>
    </w:p>
    <w:p w14:paraId="42C84418">
      <w:pPr>
        <w:ind w:firstLine="420"/>
        <w:rPr>
          <w:color w:val="0070C0"/>
        </w:rPr>
      </w:pPr>
      <w:r>
        <w:rPr>
          <w:rFonts w:hint="eastAsia"/>
          <w:color w:val="0070C0"/>
        </w:rPr>
        <w:t>多级物种组成图示意图如下（具体结果信息请查看结果文件）</w:t>
      </w:r>
      <w:r>
        <w:rPr>
          <w:color w:val="0070C0"/>
        </w:rPr>
        <w:t>：</w:t>
      </w:r>
    </w:p>
    <w:p w14:paraId="17E93818">
      <w:pPr>
        <w:pStyle w:val="32"/>
        <w:spacing w:line="360" w:lineRule="auto"/>
        <w:ind w:firstLine="420" w:firstLineChars="200"/>
        <w:jc w:val="center"/>
      </w:pPr>
      <w:r>
        <w:drawing>
          <wp:inline distT="0" distB="0" distL="0" distR="0">
            <wp:extent cx="3761105" cy="18002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1"/>
                    <a:stretch>
                      <a:fillRect/>
                    </a:stretch>
                  </pic:blipFill>
                  <pic:spPr>
                    <a:xfrm>
                      <a:off x="0" y="0"/>
                      <a:ext cx="3783967" cy="1811348"/>
                    </a:xfrm>
                    <a:prstGeom prst="rect">
                      <a:avLst/>
                    </a:prstGeom>
                  </pic:spPr>
                </pic:pic>
              </a:graphicData>
            </a:graphic>
          </wp:inline>
        </w:drawing>
      </w:r>
    </w:p>
    <w:p w14:paraId="6919AF5B">
      <w:pPr>
        <w:pStyle w:val="32"/>
      </w:pPr>
      <w:r>
        <w:t>注：从最里圈往外圈看，依次是界、门、纲、目、科、属</w:t>
      </w:r>
      <w:r>
        <w:rPr>
          <w:rFonts w:hint="eastAsia"/>
          <w:lang w:eastAsia="zh-CN"/>
        </w:rPr>
        <w:t>、</w:t>
      </w:r>
      <w:r>
        <w:rPr>
          <w:rFonts w:hint="eastAsia"/>
          <w:lang w:val="en-US" w:eastAsia="zh-CN"/>
        </w:rPr>
        <w:t>种</w:t>
      </w:r>
      <w:r>
        <w:t>水平的物种组成。</w:t>
      </w:r>
    </w:p>
    <w:p w14:paraId="1969309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Result/group*/5-TaxAnnotation/2.Krona/krona.html</w:t>
      </w:r>
    </w:p>
    <w:p w14:paraId="737903D6">
      <w:pPr>
        <w:pStyle w:val="41"/>
      </w:pPr>
      <w:bookmarkStart w:id="61" w:name="_Toc3516"/>
      <w:bookmarkStart w:id="62" w:name="_Toc17445"/>
      <w:bookmarkStart w:id="63" w:name="_Toc2645"/>
      <w:bookmarkStart w:id="64" w:name="_Toc1294"/>
      <w:bookmarkStart w:id="65" w:name="_Toc26806"/>
      <w:r>
        <w:t>6.3</w:t>
      </w:r>
      <w:r>
        <w:rPr>
          <w:rFonts w:hint="eastAsia"/>
        </w:rPr>
        <w:t xml:space="preserve"> </w:t>
      </w:r>
      <w:r>
        <w:t>物种组成柱状图</w:t>
      </w:r>
      <w:bookmarkEnd w:id="61"/>
      <w:bookmarkEnd w:id="62"/>
      <w:bookmarkEnd w:id="63"/>
      <w:bookmarkEnd w:id="64"/>
      <w:bookmarkEnd w:id="65"/>
    </w:p>
    <w:p w14:paraId="04952ECB">
      <w:pPr>
        <w:ind w:firstLine="420"/>
        <w:rPr>
          <w:rFonts w:cs="Times New Roman"/>
        </w:rPr>
      </w:pPr>
      <w:r>
        <w:rPr>
          <w:rFonts w:cs="Times New Roman"/>
        </w:rPr>
        <w:t>多样本物种组成柱状图，是最常用于展示每个样本物种组成的形式之一。在某一分类水平上将每个样本的物种组成绘制成柱状图展示在一张图上，更直观地同时观测到每个样本的物种组成、同组样本物种组成的一致性、以及样本</w:t>
      </w:r>
      <w:r>
        <w:rPr>
          <w:rFonts w:hint="eastAsia" w:cs="Times New Roman"/>
        </w:rPr>
        <w:t>/</w:t>
      </w:r>
      <w:r>
        <w:rPr>
          <w:rFonts w:cs="Times New Roman"/>
        </w:rPr>
        <w:t>分组间物种组成差异，本分析默认选择相对丰度</w:t>
      </w:r>
      <w:r>
        <w:rPr>
          <w:rFonts w:hint="eastAsia" w:cs="Times New Roman"/>
        </w:rPr>
        <w:t>排名前</w:t>
      </w:r>
      <w:r>
        <w:rPr>
          <w:rFonts w:cs="Times New Roman"/>
        </w:rPr>
        <w:t>20的物种绘制柱状图。</w:t>
      </w:r>
    </w:p>
    <w:p w14:paraId="6A30D392">
      <w:pPr>
        <w:ind w:firstLine="420"/>
        <w:rPr>
          <w:rFonts w:cs="Times New Roman"/>
          <w:color w:val="0070C0"/>
        </w:rPr>
      </w:pPr>
      <w:r>
        <w:rPr>
          <w:rFonts w:cs="Times New Roman"/>
          <w:color w:val="0070C0"/>
        </w:rPr>
        <w:t>多样本群落结构柱状图</w:t>
      </w:r>
      <w:r>
        <w:rPr>
          <w:rFonts w:hint="eastAsia" w:cs="Times New Roman"/>
          <w:color w:val="0070C0"/>
        </w:rPr>
        <w:t>示例图如下</w:t>
      </w:r>
      <w:r>
        <w:rPr>
          <w:rFonts w:cs="Times New Roman"/>
          <w:color w:val="0070C0"/>
        </w:rPr>
        <w:t>：</w:t>
      </w:r>
    </w:p>
    <w:p w14:paraId="6E318039">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1" name="图片 5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C10F208">
      <w:pPr>
        <w:pStyle w:val="32"/>
      </w:pPr>
      <w:r>
        <w:t>注：横坐标为样本名，纵坐标为相对丰度（即物种在该样本中所占的比例），图中不同颜色的柱子代表不同物种，对应的物种见柱状图下方的颜色注释，柱子的长短代表该物种所占比例的大小。</w:t>
      </w:r>
    </w:p>
    <w:p w14:paraId="31220954">
      <w:pPr>
        <w:ind w:firstLine="420"/>
        <w:rPr>
          <w:rFonts w:cs="Times New Roman"/>
          <w:color w:val="000000" w:themeColor="text1"/>
          <w14:textFill>
            <w14:solidFill>
              <w14:schemeClr w14:val="tx1"/>
            </w14:solidFill>
          </w14:textFill>
        </w:rPr>
      </w:pPr>
      <w:bookmarkStart w:id="66" w:name="_Toc26174"/>
      <w:bookmarkStart w:id="67" w:name="_Toc6862"/>
      <w:bookmarkStart w:id="68" w:name="_Toc6261"/>
      <w:bookmarkStart w:id="69" w:name="_Toc158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Result/group*/5-TaxAnnotation/3.Barplot</w:t>
      </w:r>
    </w:p>
    <w:p w14:paraId="01CCAF11">
      <w:pPr>
        <w:pStyle w:val="41"/>
      </w:pPr>
      <w:bookmarkStart w:id="70" w:name="_Toc8687"/>
      <w:r>
        <w:t>6.4</w:t>
      </w:r>
      <w:r>
        <w:rPr>
          <w:rFonts w:hint="eastAsia"/>
        </w:rPr>
        <w:t xml:space="preserve"> UPGMA聚类树与柱状图结合绘图</w:t>
      </w:r>
      <w:bookmarkEnd w:id="66"/>
      <w:bookmarkEnd w:id="67"/>
      <w:bookmarkEnd w:id="68"/>
      <w:bookmarkEnd w:id="69"/>
      <w:bookmarkEnd w:id="70"/>
    </w:p>
    <w:p w14:paraId="2464C099">
      <w:pPr>
        <w:ind w:firstLine="420"/>
        <w:rPr>
          <w:rFonts w:cs="Times New Roman"/>
        </w:rPr>
      </w:pPr>
      <w:r>
        <w:rPr>
          <w:rFonts w:cs="Times New Roman"/>
        </w:rPr>
        <w:t>聚类树表示了各样本或分组之间，物种丰度组成的相似性或相异程度</w:t>
      </w:r>
      <w:r>
        <w:rPr>
          <w:rFonts w:hint="eastAsia" w:cs="Times New Roman"/>
        </w:rPr>
        <w:t>，</w:t>
      </w:r>
      <w:r>
        <w:rPr>
          <w:rFonts w:cs="Times New Roman"/>
        </w:rPr>
        <w:t>柱形图常用于表示代表性的门纲目科属等丰度，</w:t>
      </w:r>
      <w:r>
        <w:rPr>
          <w:rFonts w:hint="eastAsia" w:cs="Times New Roman"/>
        </w:rPr>
        <w:t>一般</w:t>
      </w:r>
      <w:r>
        <w:rPr>
          <w:rFonts w:cs="Times New Roman"/>
        </w:rPr>
        <w:t>默认选择相对丰度前20的物种绘制柱状图</w:t>
      </w:r>
      <w:r>
        <w:rPr>
          <w:rFonts w:hint="eastAsia" w:cs="Times New Roman"/>
        </w:rPr>
        <w:t>，将</w:t>
      </w:r>
      <w:r>
        <w:rPr>
          <w:rFonts w:cs="Times New Roman"/>
        </w:rPr>
        <w:t>聚类树与柱形图结合，</w:t>
      </w:r>
      <w:r>
        <w:rPr>
          <w:rFonts w:hint="eastAsia" w:cs="Times New Roman"/>
        </w:rPr>
        <w:t>既能</w:t>
      </w:r>
      <w:r>
        <w:rPr>
          <w:rFonts w:cs="Times New Roman"/>
        </w:rPr>
        <w:t>反映样本或分组间的相似性，又能展示样本内的元素组成信息</w:t>
      </w:r>
      <w:r>
        <w:rPr>
          <w:rFonts w:hint="eastAsia" w:cs="Times New Roman"/>
        </w:rPr>
        <w:t>。基于</w:t>
      </w:r>
      <w:r>
        <w:rPr>
          <w:rFonts w:cs="Times New Roman"/>
        </w:rPr>
        <w:t>Bray-Curtis</w:t>
      </w:r>
      <w:r>
        <w:rPr>
          <w:rFonts w:hint="eastAsia" w:cs="Times New Roman"/>
        </w:rPr>
        <w:t>距离矩阵，UPGMA方法聚类建树，并将聚类结果与各样品在门、纲、目、科、属水平上的物种相对丰度整合展示。</w:t>
      </w:r>
    </w:p>
    <w:p w14:paraId="483D6182">
      <w:pPr>
        <w:ind w:firstLine="420"/>
        <w:rPr>
          <w:rFonts w:cs="Times New Roman"/>
        </w:rPr>
      </w:pPr>
      <w:r>
        <w:rPr>
          <w:rFonts w:hint="eastAsia" w:cs="Times New Roman"/>
          <w:color w:val="0070C0"/>
        </w:rPr>
        <w:t>聚类树柱状图组合示例如下：</w:t>
      </w:r>
    </w:p>
    <w:p w14:paraId="75D2A458">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4" name="图片 5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CF7C84B">
      <w:pPr>
        <w:pStyle w:val="32"/>
      </w:pPr>
      <w:r>
        <w:t>注：图中左边部分为聚类树图（样本间距离类型：Bray-Curtis），图中右边部分，不同颜色的柱子代表不同物种，对应的物种见柱状图右方的颜色注释，柱子的长短代表该物种所占比例的大小。</w:t>
      </w:r>
    </w:p>
    <w:p w14:paraId="38CBB6B2">
      <w:pPr>
        <w:ind w:firstLine="420"/>
        <w:rPr>
          <w:rFonts w:cs="Times New Roman"/>
          <w:color w:val="000000" w:themeColor="text1"/>
          <w14:textFill>
            <w14:solidFill>
              <w14:schemeClr w14:val="tx1"/>
            </w14:solidFill>
          </w14:textFill>
        </w:rPr>
      </w:pPr>
      <w:bookmarkStart w:id="71" w:name="_Toc6742"/>
      <w:bookmarkStart w:id="72" w:name="_Toc28927"/>
      <w:bookmarkStart w:id="73" w:name="_Toc29843"/>
      <w:bookmarkStart w:id="74" w:name="_Toc666"/>
      <w:bookmarkStart w:id="75" w:name="_Toc5001"/>
      <w:bookmarkStart w:id="76" w:name="_Toc22802"/>
      <w:bookmarkStart w:id="77" w:name="_Toc31760"/>
      <w:bookmarkStart w:id="78" w:name="_Toc2259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Result/group*/5-TaxAnnotation/4.Bar_tree</w:t>
      </w:r>
    </w:p>
    <w:p w14:paraId="7A2C8F25">
      <w:pPr>
        <w:pStyle w:val="41"/>
      </w:pPr>
      <w:bookmarkStart w:id="79" w:name="_Toc7790"/>
      <w:r>
        <w:t>6.5</w:t>
      </w:r>
      <w:r>
        <w:rPr>
          <w:rFonts w:hint="eastAsia"/>
        </w:rPr>
        <w:t xml:space="preserve"> </w:t>
      </w:r>
      <w:r>
        <w:t>物种组成聚类热图</w:t>
      </w:r>
      <w:bookmarkEnd w:id="71"/>
      <w:bookmarkEnd w:id="72"/>
      <w:bookmarkEnd w:id="73"/>
      <w:bookmarkEnd w:id="74"/>
      <w:bookmarkEnd w:id="79"/>
    </w:p>
    <w:p w14:paraId="1A7C7F65">
      <w:pPr>
        <w:ind w:firstLine="420"/>
        <w:rPr>
          <w:rFonts w:cs="Times New Roman"/>
        </w:rPr>
      </w:pPr>
      <w:r>
        <w:rPr>
          <w:rFonts w:cs="Times New Roman"/>
        </w:rPr>
        <w:t>相对于样本聚类柱状图，Heatma</w:t>
      </w:r>
      <w:r>
        <w:rPr>
          <w:rFonts w:hint="eastAsia" w:cs="Times New Roman"/>
        </w:rPr>
        <w:t>p</w:t>
      </w:r>
      <w:r>
        <w:rPr>
          <w:rFonts w:cs="Times New Roman"/>
        </w:rPr>
        <w:t>图基于距离对物种和样本分别进行聚类，并在图中展示每个样本的物种组成，越相似的物种/样本在聚类树上的距离越近，反映出所有样本在特定分类水平上物种组成的相似性及差异性，同时提示</w:t>
      </w:r>
      <w:r>
        <w:rPr>
          <w:rFonts w:hint="eastAsia" w:cs="Times New Roman"/>
        </w:rPr>
        <w:t>了</w:t>
      </w:r>
      <w:r>
        <w:rPr>
          <w:rFonts w:cs="Times New Roman"/>
        </w:rPr>
        <w:t>某些菌群可能存在分布的特异性</w:t>
      </w:r>
      <w:r>
        <w:rPr>
          <w:rFonts w:hint="eastAsia" w:cs="Times New Roman"/>
        </w:rPr>
        <w:t>。本分析默认选择相对丰度排名前</w:t>
      </w:r>
      <w:r>
        <w:rPr>
          <w:rFonts w:cs="Times New Roman"/>
        </w:rPr>
        <w:t>50</w:t>
      </w:r>
      <w:r>
        <w:rPr>
          <w:rFonts w:hint="eastAsia" w:cs="Times New Roman"/>
        </w:rPr>
        <w:t>（top</w:t>
      </w:r>
      <w:r>
        <w:rPr>
          <w:rFonts w:cs="Times New Roman"/>
        </w:rPr>
        <w:t>5</w:t>
      </w:r>
      <w:r>
        <w:rPr>
          <w:rFonts w:hint="eastAsia" w:cs="Times New Roman"/>
        </w:rPr>
        <w:t>0）物种绘制热图（总数低于</w:t>
      </w:r>
      <w:r>
        <w:rPr>
          <w:rFonts w:cs="Times New Roman"/>
        </w:rPr>
        <w:t>5</w:t>
      </w:r>
      <w:r>
        <w:rPr>
          <w:rFonts w:hint="eastAsia" w:cs="Times New Roman"/>
        </w:rPr>
        <w:t>0的全选）。</w:t>
      </w:r>
    </w:p>
    <w:p w14:paraId="35301065">
      <w:pPr>
        <w:ind w:firstLine="420"/>
        <w:rPr>
          <w:color w:val="0070C0"/>
        </w:rPr>
      </w:pPr>
      <w:r>
        <w:rPr>
          <w:rFonts w:hint="eastAsia"/>
          <w:color w:val="0070C0"/>
        </w:rPr>
        <w:t>物种组成聚类热图如下：</w:t>
      </w:r>
    </w:p>
    <w:p w14:paraId="0FF1D035">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5" name="图片 5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CD28BE">
      <w:pPr>
        <w:pStyle w:val="32"/>
      </w:pPr>
      <w:r>
        <w:t>注：横坐标为样本名，纵坐标为该分类水平下top50的物种物种注释信息，图中的颜色代表了物种的丰度大小，颜色由蓝色到红色渐变表示物种丰度由小到大。</w:t>
      </w:r>
    </w:p>
    <w:p w14:paraId="3BA0D04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Result/group*/5-TaxAnnotation/5.Heatmap</w:t>
      </w:r>
    </w:p>
    <w:p w14:paraId="2363D432">
      <w:pPr>
        <w:pStyle w:val="41"/>
      </w:pPr>
      <w:bookmarkStart w:id="80" w:name="_Toc10555"/>
      <w:r>
        <w:t>6.6</w:t>
      </w:r>
      <w:r>
        <w:rPr>
          <w:rFonts w:hint="eastAsia"/>
        </w:rPr>
        <w:t xml:space="preserve"> 基于物种丰度的降维分析</w:t>
      </w:r>
      <w:bookmarkEnd w:id="80"/>
    </w:p>
    <w:bookmarkEnd w:id="75"/>
    <w:bookmarkEnd w:id="76"/>
    <w:bookmarkEnd w:id="77"/>
    <w:bookmarkEnd w:id="78"/>
    <w:p w14:paraId="47D03ACF">
      <w:pPr>
        <w:pStyle w:val="43"/>
      </w:pPr>
      <w:bookmarkStart w:id="81" w:name="_Toc7803"/>
      <w:bookmarkStart w:id="82" w:name="_Toc24094"/>
      <w:bookmarkStart w:id="83" w:name="_Toc3482"/>
      <w:bookmarkStart w:id="84" w:name="_Toc4343"/>
      <w:r>
        <w:rPr>
          <w:rFonts w:hint="eastAsia"/>
        </w:rPr>
        <w:t>6.</w:t>
      </w:r>
      <w:r>
        <w:t>6.1 PCA分析</w:t>
      </w:r>
      <w:bookmarkEnd w:id="81"/>
      <w:bookmarkEnd w:id="82"/>
      <w:bookmarkEnd w:id="83"/>
      <w:bookmarkEnd w:id="84"/>
    </w:p>
    <w:p w14:paraId="1A6CFD54">
      <w:pPr>
        <w:ind w:firstLine="420"/>
        <w:rPr>
          <w:rFonts w:cs="Times New Roman"/>
          <w:shd w:val="clear" w:color="auto" w:fill="FFFFFF"/>
        </w:rPr>
      </w:pPr>
      <w:r>
        <w:rPr>
          <w:rFonts w:cs="Times New Roman"/>
          <w:shd w:val="clear" w:color="auto" w:fill="FFFFFF"/>
        </w:rPr>
        <w:t>主成分分析（PCA，Principal Component Analysis），是一种基于欧式距离（Euclidean distances）的应用方差分解，对多维数据进行降维，从而提取出数据中最主要的元素和结构的方法，去除噪音和冗余，揭示隐藏在复杂数据背后的简单结构，即在低维空间尽可能多地展示数据的主要趋势特征。PCA分析将多维数据的差异反映在二维坐标图上，坐标轴为能够最大程度解释方差的两个特征根，样本组成越相似在PCA图中越聚集，而不同组的样本可能表现出分散分布。</w:t>
      </w:r>
    </w:p>
    <w:p w14:paraId="623F4918">
      <w:pPr>
        <w:ind w:firstLine="420"/>
        <w:rPr>
          <w:rFonts w:cs="Times New Roman"/>
          <w:color w:val="0070C0"/>
        </w:rPr>
      </w:pPr>
      <w:r>
        <w:rPr>
          <w:rFonts w:hint="eastAsia" w:cs="Times New Roman"/>
          <w:color w:val="0070C0"/>
          <w:shd w:val="clear" w:color="auto" w:fill="FFFFFF"/>
        </w:rPr>
        <w:t>P</w:t>
      </w:r>
      <w:r>
        <w:rPr>
          <w:rFonts w:cs="Times New Roman"/>
          <w:color w:val="0070C0"/>
          <w:shd w:val="clear" w:color="auto" w:fill="FFFFFF"/>
        </w:rPr>
        <w:t>CA</w:t>
      </w:r>
      <w:r>
        <w:rPr>
          <w:rFonts w:hint="eastAsia" w:cs="Times New Roman"/>
          <w:color w:val="0070C0"/>
          <w:shd w:val="clear" w:color="auto" w:fill="FFFFFF"/>
        </w:rPr>
        <w:t>图如下所示：</w:t>
      </w:r>
    </w:p>
    <w:p w14:paraId="30E405CC">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6" name="图片 5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6BF220D">
      <w:pPr>
        <w:pStyle w:val="32"/>
      </w:pPr>
      <w:r>
        <w:t>注：横坐标表示第一主成分，百分数表示第一主成分对样本差异的贡献值；纵坐标表示第二主成分，百分数表示第二主成分对样本差异的贡献值；图中的每个点表示一个样本，同一个组的样本使用同一种颜色表示；刻度是相对距离，无实际意义；分布越近的点表示样本越相似。</w:t>
      </w:r>
    </w:p>
    <w:p w14:paraId="5D8A1660">
      <w:pPr>
        <w:ind w:firstLine="420"/>
        <w:rPr>
          <w:rFonts w:cs="Times New Roman"/>
          <w:color w:val="000000" w:themeColor="text1"/>
          <w14:textFill>
            <w14:solidFill>
              <w14:schemeClr w14:val="tx1"/>
            </w14:solidFill>
          </w14:textFill>
        </w:rPr>
      </w:pPr>
      <w:bookmarkStart w:id="85" w:name="_Toc17711"/>
      <w:bookmarkStart w:id="86" w:name="_Toc18116"/>
      <w:bookmarkStart w:id="87" w:name="_Toc21078"/>
      <w:bookmarkStart w:id="88" w:name="_Toc1873"/>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Result/group*/5-TaxAnnotation/6.Beta_diversity_analysis/*/*/1.PCA</w:t>
      </w:r>
    </w:p>
    <w:p w14:paraId="15894FEC">
      <w:pPr>
        <w:pStyle w:val="43"/>
        <w:spacing w:before="156" w:beforeLines="50" w:after="156" w:afterLines="50" w:line="360" w:lineRule="auto"/>
        <w:jc w:val="left"/>
        <w:outlineLvl w:val="1"/>
        <w:rPr>
          <w:bCs w:val="0"/>
        </w:rPr>
      </w:pPr>
      <w:bookmarkStart w:id="89" w:name="_Toc26984"/>
      <w:r>
        <w:rPr>
          <w:rFonts w:hint="eastAsia"/>
        </w:rPr>
        <w:t>6.</w:t>
      </w:r>
      <w:r>
        <w:t>6.</w:t>
      </w:r>
      <w:r>
        <w:rPr>
          <w:bCs w:val="0"/>
        </w:rPr>
        <w:t>2</w:t>
      </w:r>
      <w:r>
        <w:rPr>
          <w:rFonts w:hint="eastAsia"/>
          <w:bCs w:val="0"/>
        </w:rPr>
        <w:t xml:space="preserve"> PCoA分析</w:t>
      </w:r>
      <w:bookmarkEnd w:id="85"/>
      <w:bookmarkEnd w:id="86"/>
      <w:bookmarkEnd w:id="87"/>
      <w:bookmarkEnd w:id="88"/>
      <w:bookmarkEnd w:id="89"/>
    </w:p>
    <w:p w14:paraId="4FCBCB8D">
      <w:pPr>
        <w:ind w:firstLine="420"/>
        <w:rPr>
          <w:rFonts w:cs="Times New Roman"/>
        </w:rPr>
      </w:pPr>
      <w:r>
        <w:rPr>
          <w:rFonts w:cs="Times New Roman"/>
        </w:rPr>
        <w:t>主坐标分析（PCoA，Principal Coordinate Analysis）是一种与PCA类似的降维排序方法</w:t>
      </w:r>
      <w:r>
        <w:rPr>
          <w:rFonts w:hint="eastAsia" w:cs="Times New Roman"/>
        </w:rPr>
        <w:t>，</w:t>
      </w:r>
      <w:r>
        <w:rPr>
          <w:rFonts w:cs="Times New Roman"/>
        </w:rPr>
        <w:t>其区别在于PCA基于欧式距离，而在PCoA排序过程中，可以选择其他的距离</w:t>
      </w:r>
      <w:r>
        <w:rPr>
          <w:rFonts w:hint="eastAsia" w:cs="Times New Roman"/>
        </w:rPr>
        <w:t>或</w:t>
      </w:r>
      <w:r>
        <w:rPr>
          <w:rFonts w:cs="Times New Roman"/>
        </w:rPr>
        <w:t>非相似性矩阵，进而在二维坐标中，将对象之间的相互关系表现出来。在PCoA分析中，计算距离矩阵的方法有很多种，例如：unweighted unifrac、weighted unifrac、Bray-Crutis和Jaccard。其中Bray-Crutis和Jaccard只考虑物种组成，而unifrac距离则会综合物种进化关系。</w:t>
      </w:r>
      <w:r>
        <w:rPr>
          <w:rFonts w:hint="eastAsia" w:cs="Times New Roman"/>
        </w:rPr>
        <w:t>U</w:t>
      </w:r>
      <w:r>
        <w:rPr>
          <w:rFonts w:cs="Times New Roman"/>
        </w:rPr>
        <w:t>nweighted unifrac和weighted unifrac的区别在于unweighted unifarc距离只考虑序列/物种是否在群落中出现，而不考虑序列的丰度，即如果两个群落包含的物种完全相同，那么不管物种的丰度是否有差，unweighted uniFrac值都为0，但在某些具体的情况下，研究者感兴趣的恰恰是群落中物种丰度的变化，例如研究人体肠道微生物分布在抗生素治疗下的变化情况，这时应选择基于weighted unifarc距离的PCoA分析，其将样本间物种丰度差异纳入考虑</w:t>
      </w:r>
      <w:r>
        <w:rPr>
          <w:rFonts w:hint="eastAsia" w:cs="Times New Roman"/>
        </w:rPr>
        <w:t>。</w:t>
      </w:r>
    </w:p>
    <w:p w14:paraId="584CD09D">
      <w:pPr>
        <w:ind w:firstLine="420"/>
        <w:rPr>
          <w:rFonts w:cs="Times New Roman"/>
          <w:color w:val="0070C0"/>
        </w:rPr>
      </w:pPr>
      <w:r>
        <w:rPr>
          <w:rFonts w:hint="eastAsia" w:cs="Times New Roman"/>
          <w:color w:val="0070C0"/>
        </w:rPr>
        <w:t>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图如下所示：</w:t>
      </w:r>
    </w:p>
    <w:p w14:paraId="15EC028F">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7" name="图片 5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A2AF487">
      <w:pPr>
        <w:pStyle w:val="32"/>
      </w:pPr>
      <w:r>
        <w:t>注：横坐标（PCoA1）和纵坐标（PCoA2）为样本间差异解释度最大的两个主要成分，刻度是相对距离，无实际意义。图中每个点代表一个样本，点的不同颜色表示样本所属分组，分布越近的点表示样本越相似。</w:t>
      </w:r>
    </w:p>
    <w:p w14:paraId="7CF3AAF1">
      <w:pPr>
        <w:ind w:firstLine="420"/>
        <w:rPr>
          <w:rFonts w:cs="Times New Roman"/>
          <w:color w:val="000000" w:themeColor="text1"/>
          <w14:textFill>
            <w14:solidFill>
              <w14:schemeClr w14:val="tx1"/>
            </w14:solidFill>
          </w14:textFill>
        </w:rPr>
      </w:pPr>
      <w:bookmarkStart w:id="90" w:name="_Toc8350"/>
      <w:bookmarkStart w:id="91" w:name="_Toc9709"/>
      <w:bookmarkStart w:id="92" w:name="_Toc7221"/>
      <w:bookmarkStart w:id="93" w:name="_Toc15026"/>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Result/group*/5-TaxAnnotation/6.Beta_diversity_analysis/*/*/2.PCoA</w:t>
      </w:r>
    </w:p>
    <w:p w14:paraId="2AF1DFD4">
      <w:pPr>
        <w:pStyle w:val="43"/>
        <w:spacing w:before="156" w:beforeLines="50" w:after="156" w:afterLines="50" w:line="360" w:lineRule="auto"/>
        <w:jc w:val="left"/>
        <w:outlineLvl w:val="1"/>
        <w:rPr>
          <w:bCs w:val="0"/>
        </w:rPr>
      </w:pPr>
      <w:bookmarkStart w:id="94" w:name="_Toc8920"/>
      <w:r>
        <w:rPr>
          <w:rFonts w:hint="eastAsia"/>
        </w:rPr>
        <w:t>6.</w:t>
      </w:r>
      <w:r>
        <w:t>6.</w:t>
      </w:r>
      <w:r>
        <w:rPr>
          <w:bCs w:val="0"/>
        </w:rPr>
        <w:t>3</w:t>
      </w:r>
      <w:r>
        <w:rPr>
          <w:rFonts w:hint="eastAsia"/>
          <w:bCs w:val="0"/>
        </w:rPr>
        <w:t xml:space="preserve"> NMDS分析</w:t>
      </w:r>
      <w:bookmarkEnd w:id="90"/>
      <w:bookmarkEnd w:id="91"/>
      <w:bookmarkEnd w:id="92"/>
      <w:bookmarkEnd w:id="93"/>
      <w:bookmarkEnd w:id="94"/>
    </w:p>
    <w:p w14:paraId="1C24A0A9">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非度量多维尺度分析（NMDS，nonmetric multidimensional scaling）与PCoA一样可以基于任何类型的距离/非相似性矩阵对对象（样本）进行排序，其区别在于NMDS不再是特征根排序技术，也不再以排序轴承载更多的方差为目的，因此NMDS排序图可以任意旋转、中心化和倒置。NMDS分析在多维空间内构建对象的初始结构，并用迭代程序不断地调整对象位置，目标是尽可能</w:t>
      </w:r>
      <w:r>
        <w:rPr>
          <w:rFonts w:hint="eastAsia" w:cs="Times New Roman"/>
          <w:color w:val="000000" w:themeColor="text1"/>
          <w14:textFill>
            <w14:solidFill>
              <w14:schemeClr w14:val="tx1"/>
            </w14:solidFill>
          </w14:textFill>
        </w:rPr>
        <w:t>地</w:t>
      </w:r>
      <w:r>
        <w:rPr>
          <w:rFonts w:cs="Times New Roman"/>
          <w:color w:val="000000" w:themeColor="text1"/>
          <w14:textFill>
            <w14:solidFill>
              <w14:schemeClr w14:val="tx1"/>
            </w14:solidFill>
          </w14:textFill>
        </w:rPr>
        <w:t>最小化应力函数（stress function，取值0~1），应力函数是排序空间内对象结果与原始距离矩阵之间相异程度的度量。如果预先设定的排序轴数量比较少（如二维、三维），则在相同轴数的情况下，NMDS往往能够获得比PCoA更少失真的对象之间的关系。</w:t>
      </w:r>
      <w:r>
        <w:rPr>
          <w:rFonts w:hint="eastAsia" w:cs="Times New Roman"/>
          <w:color w:val="000000" w:themeColor="text1"/>
          <w14:textFill>
            <w14:solidFill>
              <w14:schemeClr w14:val="tx1"/>
            </w14:solidFill>
          </w14:textFill>
        </w:rPr>
        <w:t>Stress值越接近0则说明模型拟合越好，</w:t>
      </w:r>
      <w:r>
        <w:rPr>
          <w:rFonts w:cs="Times New Roman"/>
          <w:sz w:val="22"/>
        </w:rPr>
        <w:t>通常stress&lt;0.2表示可以被接受</w:t>
      </w:r>
      <w:r>
        <w:rPr>
          <w:rFonts w:hint="eastAsia" w:cs="Times New Roman"/>
          <w:sz w:val="22"/>
        </w:rPr>
        <w:t>的模型拟合。</w:t>
      </w:r>
    </w:p>
    <w:p w14:paraId="4434224D">
      <w:pPr>
        <w:ind w:firstLine="420"/>
        <w:rPr>
          <w:rFonts w:cs="Times New Roman"/>
          <w:color w:val="0070C0"/>
        </w:rPr>
      </w:pPr>
      <w:r>
        <w:rPr>
          <w:rFonts w:hint="eastAsia" w:cs="Times New Roman"/>
          <w:color w:val="0070C0"/>
        </w:rPr>
        <w:t>N</w:t>
      </w:r>
      <w:r>
        <w:rPr>
          <w:rFonts w:cs="Times New Roman"/>
          <w:color w:val="0070C0"/>
        </w:rPr>
        <w:t>MDS</w:t>
      </w:r>
      <w:r>
        <w:rPr>
          <w:rFonts w:hint="eastAsia" w:cs="Times New Roman"/>
          <w:color w:val="0070C0"/>
        </w:rPr>
        <w:t>分析结果图如下所示：</w:t>
      </w:r>
    </w:p>
    <w:p w14:paraId="1F14B293">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8" name="图片 5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81379A1">
      <w:pPr>
        <w:pStyle w:val="32"/>
      </w:pPr>
      <w:r>
        <w:t>注：横坐标（NMDS1）和纵坐标（NMDS2）为两个排序轴，刻度是相对距离，无实际意义。图中每个点代表一个样本，点的不同颜色表示样本所属分组，分布越近的点表示样本越相似。</w:t>
      </w:r>
    </w:p>
    <w:p w14:paraId="1E2E1997">
      <w:pPr>
        <w:ind w:firstLine="420"/>
        <w:rPr>
          <w:rFonts w:cs="Times New Roman"/>
          <w:color w:val="000000" w:themeColor="text1"/>
          <w14:textFill>
            <w14:solidFill>
              <w14:schemeClr w14:val="tx1"/>
            </w14:solidFill>
          </w14:textFill>
        </w:rPr>
      </w:pPr>
      <w:bookmarkStart w:id="95" w:name="_Toc13031"/>
      <w:bookmarkStart w:id="96" w:name="_Toc10329"/>
      <w:bookmarkStart w:id="97" w:name="_Toc10335"/>
      <w:bookmarkStart w:id="98" w:name="_Toc3195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Result/group*/5-TaxAnnotation/6.Beta_diversity_analysis/*/*/3.NMDS</w:t>
      </w:r>
    </w:p>
    <w:p w14:paraId="1A9D210C">
      <w:pPr>
        <w:pStyle w:val="41"/>
        <w:rPr>
          <w:rFonts w:hint="default"/>
          <w:lang w:val="en-US" w:eastAsia="zh-CN"/>
        </w:rPr>
      </w:pPr>
      <w:bookmarkStart w:id="99" w:name="_Toc30099"/>
      <w:r>
        <w:rPr>
          <w:rFonts w:hint="eastAsia"/>
          <w:lang w:val="en-US" w:eastAsia="zh-CN"/>
        </w:rPr>
        <w:t>6.7</w:t>
      </w:r>
      <w:r>
        <w:rPr>
          <w:rFonts w:hint="default"/>
          <w:lang w:val="en-US" w:eastAsia="zh-CN"/>
        </w:rPr>
        <w:t>.Alpha多样性分析</w:t>
      </w:r>
      <w:bookmarkEnd w:id="99"/>
    </w:p>
    <w:p w14:paraId="528058EF">
      <w:pPr>
        <w:pStyle w:val="43"/>
        <w:spacing w:before="156" w:beforeLines="50" w:after="156" w:afterLines="50" w:line="360" w:lineRule="auto"/>
        <w:jc w:val="left"/>
        <w:outlineLvl w:val="1"/>
        <w:rPr>
          <w:rFonts w:hint="default"/>
          <w:lang w:val="en-US" w:eastAsia="zh-CN"/>
        </w:rPr>
      </w:pPr>
      <w:bookmarkStart w:id="100" w:name="_Toc31084"/>
      <w:r>
        <w:rPr>
          <w:rFonts w:hint="eastAsia"/>
          <w:lang w:val="en-US" w:eastAsia="zh-CN"/>
        </w:rPr>
        <w:t>6.7.1 多样性指数统计</w:t>
      </w:r>
      <w:bookmarkEnd w:id="100"/>
    </w:p>
    <w:p w14:paraId="378891FC">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Alpha多样性（Alpha diversity）是对单个样本中物种多样性的分析，即分析样本内（Within-community）微生物群落的多样性，通过用一系列统计学分析指数来评估各样本中微生物群落的物种丰富度和多样性。评估菌群丰富度和多样性的指数具体如下：</w:t>
      </w:r>
    </w:p>
    <w:p w14:paraId="534DBF0E">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Chao：是用chao1算法估计群落中含OTU/ASV数目的指数，chao1在生态学中常用来估计物种总数，值越大代表物种总数越多；</w:t>
      </w:r>
    </w:p>
    <w:p w14:paraId="3595D776">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ACE：用来估计群落中含有OTU/ASV数目的指数，ACE指数越大，表明群落的丰富度越高</w:t>
      </w:r>
      <w:r>
        <w:rPr>
          <w:rFonts w:hint="eastAsia" w:cs="Times New Roman"/>
          <w:color w:val="000000" w:themeColor="text1"/>
          <w:shd w:val="clear" w:color="auto" w:fill="FFFFFF"/>
          <w:lang w:val="en-US" w:eastAsia="zh-CN"/>
          <w14:textFill>
            <w14:solidFill>
              <w14:schemeClr w14:val="tx1"/>
            </w14:solidFill>
          </w14:textFill>
        </w:rPr>
        <w:t>；</w:t>
      </w:r>
    </w:p>
    <w:p w14:paraId="460F76C8">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Shannon：用来估算样本中微生物的多样性指数之一，与Simpson多样性指数均为常用的反映alpha多样性的指数，Shannon值越大，群落多样性越高；</w:t>
      </w:r>
    </w:p>
    <w:p w14:paraId="7D36696C">
      <w:pPr>
        <w:ind w:firstLine="420"/>
        <w:rPr>
          <w:rFonts w:hint="eastAsia"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Gini_simpson</w:t>
      </w:r>
      <w:r>
        <w:rPr>
          <w:rFonts w:hint="eastAsia" w:cs="Times New Roman"/>
          <w:color w:val="000000" w:themeColor="text1"/>
          <w:shd w:val="clear" w:color="auto" w:fill="FFFFFF"/>
          <w:lang w:val="en-US" w:eastAsia="zh-CN"/>
          <w14:textFill>
            <w14:solidFill>
              <w14:schemeClr w14:val="tx1"/>
            </w14:solidFill>
          </w14:textFill>
        </w:rPr>
        <w:t>：经典Simpson指数代表了在群落中两个随机选择的个体属于同一物种的概率，当群落物种丰富度增加时，这种概率降低，即Simpson指数随着物种丰富度的增加而降低。由于经典Simpson指数与物种丰富度相反的趋势不直观，如今常用演变而来的Gini-Simpson指数表示Simpson指数，即用1减去经典Simpson指数数值后得到。</w:t>
      </w:r>
    </w:p>
    <w:p w14:paraId="11346190">
      <w:pPr>
        <w:pStyle w:val="41"/>
        <w:rPr>
          <w:rFonts w:hint="default" w:ascii="Times New Roman" w:hAnsi="Times New Roman" w:eastAsia="宋体" w:cs="Times New Roman"/>
          <w:b w:val="0"/>
          <w:bCs w:val="0"/>
          <w:color w:val="000000" w:themeColor="text1"/>
          <w:kern w:val="2"/>
          <w:sz w:val="21"/>
          <w:szCs w:val="22"/>
          <w:shd w:val="clear" w:color="auto" w:fill="FFFFFF"/>
          <w:lang w:val="en-US" w:eastAsia="zh-CN" w:bidi="ar-SA"/>
          <w14:textFill>
            <w14:solidFill>
              <w14:schemeClr w14:val="tx1"/>
            </w14:solidFill>
          </w14:textFill>
        </w:rPr>
      </w:pPr>
      <w:bookmarkStart w:id="101" w:name="_Toc20020"/>
      <w:r>
        <w:rPr>
          <w:rFonts w:hint="eastAsia"/>
          <w:lang w:val="en-US" w:eastAsia="zh-CN"/>
        </w:rPr>
        <w:t>6.7.2 多样性指数差异分析</w:t>
      </w:r>
      <w:bookmarkEnd w:id="101"/>
    </w:p>
    <w:p w14:paraId="4AC35A13">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基于各样本的多样性指数，可以检验组间样本的Alpha多样性是否存在显著差异。通过两组t.test检验，以p.value &lt;0.05作为差异显著性筛选阈值，用以评估组间物种多样性是否存在显著差异。</w:t>
      </w:r>
    </w:p>
    <w:p w14:paraId="7FFC950C">
      <w:pPr>
        <w:ind w:firstLine="420"/>
        <w:rPr>
          <w:rFonts w:hint="default" w:cs="Times New Roman"/>
          <w:color w:val="0070C0"/>
          <w:shd w:val="clear" w:color="auto" w:fill="FFFFFF"/>
          <w:lang w:val="en-US" w:eastAsia="zh-CN"/>
        </w:rPr>
      </w:pPr>
      <w:r>
        <w:rPr>
          <w:rFonts w:hint="default" w:cs="Times New Roman"/>
          <w:color w:val="0070C0"/>
          <w:shd w:val="clear" w:color="auto" w:fill="FFFFFF"/>
          <w:lang w:val="en-US" w:eastAsia="zh-CN"/>
        </w:rPr>
        <w:t>样本组间alpha多样性指数箱体图如下：</w:t>
      </w:r>
    </w:p>
    <w:p w14:paraId="1615E61B">
      <w:pPr>
        <w:ind w:left="0" w:leftChars="0" w:firstLine="0" w:firstLineChars="0"/>
        <w:jc w:val="center"/>
        <w:rPr>
          <w:rFonts w:hint="eastAsia"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4" name="图片 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6259186">
      <w:pPr>
        <w:pStyle w:val="32"/>
        <w:rPr>
          <w:rFonts w:hint="default"/>
          <w:lang w:val="en-US" w:eastAsia="zh-CN"/>
        </w:rPr>
      </w:pPr>
      <w:r>
        <w:rPr>
          <w:rFonts w:hint="default"/>
          <w:lang w:val="en-US" w:eastAsia="zh-CN"/>
        </w:rPr>
        <w:t>注：横坐标表示样本名，纵坐标表示该组样本群落多样性指数值，不同的颜色代表不同组别样本，每个点对应一个样本。</w:t>
      </w:r>
    </w:p>
    <w:p w14:paraId="6170A92A">
      <w:pPr>
        <w:ind w:firstLine="420"/>
        <w:rPr>
          <w:rFonts w:hint="default" w:cs="Times New Roman"/>
          <w:color w:val="000000" w:themeColor="text1"/>
          <w:lang w:val="en-US" w:eastAsia="zh-CN"/>
          <w14:textFill>
            <w14:solidFill>
              <w14:schemeClr w14:val="tx1"/>
            </w14:solidFill>
          </w14:textFill>
        </w:rPr>
      </w:pPr>
      <w:r>
        <w:rPr>
          <w:rFonts w:hint="default" w:cs="Times New Roman"/>
          <w:color w:val="000000" w:themeColor="text1"/>
          <w:lang w:val="en-US" w:eastAsia="zh-CN"/>
          <w14:textFill>
            <w14:solidFill>
              <w14:schemeClr w14:val="tx1"/>
            </w14:solidFill>
          </w14:textFill>
        </w:rPr>
        <w:t>结果目录：</w:t>
      </w:r>
      <w:r>
        <w:rPr>
          <w:rFonts w:cs="Times New Roman"/>
          <w:color w:val="000000" w:themeColor="text1"/>
          <w14:textFill>
            <w14:solidFill>
              <w14:schemeClr w14:val="tx1"/>
            </w14:solidFill>
          </w14:textFill>
        </w:rPr>
        <w:t>Result/group*/5-TaxAnnotation/</w:t>
      </w:r>
      <w:r>
        <w:rPr>
          <w:rFonts w:hint="eastAsia" w:cs="Times New Roman"/>
          <w:color w:val="000000" w:themeColor="text1"/>
          <w14:textFill>
            <w14:solidFill>
              <w14:schemeClr w14:val="tx1"/>
            </w14:solidFill>
          </w14:textFill>
        </w:rPr>
        <w:t>7.alpha_diversity_analysis</w:t>
      </w:r>
    </w:p>
    <w:p w14:paraId="69987252">
      <w:pPr>
        <w:pStyle w:val="40"/>
      </w:pPr>
      <w:bookmarkStart w:id="102" w:name="_Toc29080"/>
      <w:r>
        <w:rPr>
          <w:rFonts w:hint="eastAsia"/>
          <w:lang w:val="en-US" w:eastAsia="zh-CN"/>
        </w:rPr>
        <w:t>7</w:t>
      </w:r>
      <w:r>
        <w:t>. 差异分析</w:t>
      </w:r>
      <w:bookmarkEnd w:id="95"/>
      <w:bookmarkEnd w:id="96"/>
      <w:bookmarkEnd w:id="97"/>
      <w:bookmarkEnd w:id="98"/>
      <w:bookmarkEnd w:id="102"/>
    </w:p>
    <w:p w14:paraId="1866A409">
      <w:pPr>
        <w:pStyle w:val="41"/>
      </w:pPr>
      <w:bookmarkStart w:id="103" w:name="_Toc19923"/>
      <w:bookmarkStart w:id="104" w:name="_Toc6693"/>
      <w:bookmarkStart w:id="105" w:name="_Toc21158"/>
      <w:bookmarkStart w:id="106" w:name="_Toc1528"/>
      <w:bookmarkStart w:id="107" w:name="_Toc30386"/>
      <w:r>
        <w:rPr>
          <w:rFonts w:hint="eastAsia"/>
          <w:lang w:val="en-US" w:eastAsia="zh-CN"/>
        </w:rPr>
        <w:t>7</w:t>
      </w:r>
      <w:r>
        <w:t>.1 ANOVA分析</w:t>
      </w:r>
      <w:bookmarkEnd w:id="103"/>
      <w:bookmarkEnd w:id="104"/>
      <w:bookmarkEnd w:id="105"/>
      <w:bookmarkEnd w:id="106"/>
      <w:bookmarkEnd w:id="107"/>
    </w:p>
    <w:p w14:paraId="34AFA47E">
      <w:pPr>
        <w:ind w:firstLine="420"/>
        <w:rPr>
          <w:rFonts w:cs="Times New Roman"/>
          <w:color w:val="000000" w:themeColor="text1"/>
          <w:shd w:val="clear" w:color="auto" w:fill="FFFFFF"/>
          <w14:textFill>
            <w14:solidFill>
              <w14:schemeClr w14:val="tx1"/>
            </w14:solidFill>
          </w14:textFill>
        </w:rPr>
      </w:pPr>
      <w:r>
        <w:rPr>
          <w:rFonts w:hint="eastAsia" w:cs="Times New Roman"/>
          <w:color w:val="000000" w:themeColor="text1"/>
          <w:shd w:val="clear" w:color="auto" w:fill="FFFFFF"/>
          <w14:textFill>
            <w14:solidFill>
              <w14:schemeClr w14:val="tx1"/>
            </w14:solidFill>
          </w14:textFill>
        </w:rPr>
        <w:t>ANOVA（Analysis of Variance，方差分析）又称F检验（F test），主要用于检验多个样本的均值是否相等，从而判断两个或两个以上样本的均值差异显著程度。</w:t>
      </w:r>
    </w:p>
    <w:p w14:paraId="51464A97">
      <w:pPr>
        <w:ind w:firstLine="420"/>
        <w:rPr>
          <w:rFonts w:cs="Times New Roman"/>
          <w:color w:val="0070C0"/>
        </w:rPr>
      </w:pPr>
      <w:r>
        <w:rPr>
          <w:rFonts w:hint="eastAsia" w:cs="Times New Roman"/>
          <w:color w:val="0070C0"/>
          <w:shd w:val="clear" w:color="auto" w:fill="FFFFFF"/>
        </w:rPr>
        <w:t>组间Anova方差分析柱状图如下：</w:t>
      </w:r>
    </w:p>
    <w:p w14:paraId="10A87460">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9" name="图片 5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9854178">
      <w:pPr>
        <w:pStyle w:val="32"/>
      </w:pPr>
      <w:r>
        <w:rPr>
          <w:rFonts w:hint="eastAsia"/>
        </w:rPr>
        <w:t>注：横坐标为分组，不同颜色代表不同的分组，纵坐标为差异物种的相对丰度。</w:t>
      </w:r>
    </w:p>
    <w:p w14:paraId="782D7414">
      <w:pPr>
        <w:ind w:firstLine="420"/>
        <w:rPr>
          <w:rFonts w:cs="Times New Roman"/>
          <w:color w:val="000000" w:themeColor="text1"/>
          <w14:textFill>
            <w14:solidFill>
              <w14:schemeClr w14:val="tx1"/>
            </w14:solidFill>
          </w14:textFill>
        </w:rPr>
      </w:pPr>
      <w:bookmarkStart w:id="108" w:name="_Toc15665"/>
      <w:bookmarkStart w:id="109" w:name="_Toc12933"/>
      <w:bookmarkStart w:id="110" w:name="_Toc24646"/>
      <w:bookmarkStart w:id="111" w:name="_Toc17804"/>
      <w:bookmarkStart w:id="112" w:name="_Hlk14109852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-TaxStatistical_analysis/*/*/1.ANOVA</w:t>
      </w:r>
    </w:p>
    <w:p w14:paraId="02CB1B28">
      <w:pPr>
        <w:pStyle w:val="41"/>
      </w:pPr>
      <w:bookmarkStart w:id="113" w:name="_Toc16517"/>
      <w:r>
        <w:rPr>
          <w:rFonts w:hint="eastAsia"/>
          <w:lang w:val="en-US" w:eastAsia="zh-CN"/>
        </w:rPr>
        <w:t>7</w:t>
      </w:r>
      <w:r>
        <w:t xml:space="preserve">.2 </w:t>
      </w:r>
      <w:r>
        <w:rPr>
          <w:rFonts w:hint="eastAsia"/>
        </w:rPr>
        <w:t>秩和检验</w:t>
      </w:r>
      <w:bookmarkEnd w:id="108"/>
      <w:bookmarkEnd w:id="109"/>
      <w:bookmarkEnd w:id="110"/>
      <w:bookmarkEnd w:id="111"/>
      <w:bookmarkEnd w:id="113"/>
    </w:p>
    <w:p w14:paraId="44DD729F">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w:t>
      </w:r>
    </w:p>
    <w:p w14:paraId="7E83143A">
      <w:pPr>
        <w:ind w:firstLine="420"/>
        <w:rPr>
          <w:rFonts w:cs="Times New Roman"/>
        </w:rPr>
      </w:pPr>
      <w:r>
        <w:rPr>
          <w:rFonts w:hint="eastAsia" w:cs="Times New Roman"/>
          <w:color w:val="0070C0"/>
        </w:rPr>
        <w:t>组间秩和检验差异物种柱状图如下：</w:t>
      </w:r>
    </w:p>
    <w:p w14:paraId="05ABFD72">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0" name="图片 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226A202">
      <w:pPr>
        <w:pStyle w:val="32"/>
      </w:pPr>
      <w:r>
        <w:rPr>
          <w:rFonts w:hint="eastAsia"/>
        </w:rPr>
        <w:t>注：横坐标为分组，不同颜色代表不同的分组，纵坐标为差异物种的相对丰度。</w:t>
      </w:r>
    </w:p>
    <w:bookmarkEnd w:id="112"/>
    <w:p w14:paraId="0F21E4EC">
      <w:pPr>
        <w:ind w:firstLine="420"/>
        <w:rPr>
          <w:rFonts w:cs="Times New Roman"/>
          <w:color w:val="000000" w:themeColor="text1"/>
          <w14:textFill>
            <w14:solidFill>
              <w14:schemeClr w14:val="tx1"/>
            </w14:solidFill>
          </w14:textFill>
        </w:rPr>
      </w:pPr>
      <w:bookmarkStart w:id="114" w:name="_Toc32428"/>
      <w:bookmarkStart w:id="115" w:name="_Toc22458"/>
      <w:bookmarkStart w:id="116" w:name="_Toc5380"/>
      <w:bookmarkStart w:id="117" w:name="_Toc7105"/>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-TaxStatistical_analysis/*/*/2.wilcoxon</w:t>
      </w:r>
    </w:p>
    <w:bookmarkEnd w:id="114"/>
    <w:bookmarkEnd w:id="115"/>
    <w:bookmarkEnd w:id="116"/>
    <w:bookmarkEnd w:id="117"/>
    <w:p w14:paraId="2257DC12">
      <w:pPr>
        <w:pStyle w:val="41"/>
      </w:pPr>
      <w:bookmarkStart w:id="118" w:name="_Toc2973"/>
      <w:bookmarkStart w:id="119" w:name="_Toc21411"/>
      <w:bookmarkStart w:id="120" w:name="_Toc9406"/>
      <w:bookmarkStart w:id="121" w:name="_Toc1105"/>
      <w:bookmarkStart w:id="122" w:name="_Toc2650"/>
      <w:bookmarkStart w:id="123" w:name="_Hlk141098708"/>
      <w:r>
        <w:rPr>
          <w:rFonts w:hint="eastAsia"/>
          <w:lang w:val="en-US" w:eastAsia="zh-CN"/>
        </w:rPr>
        <w:t>7</w:t>
      </w:r>
      <w:r>
        <w:t xml:space="preserve">.3 </w:t>
      </w:r>
      <w:r>
        <w:rPr>
          <w:rFonts w:hint="eastAsia"/>
        </w:rPr>
        <w:t>Stamp分析</w:t>
      </w:r>
      <w:bookmarkEnd w:id="118"/>
      <w:bookmarkEnd w:id="119"/>
      <w:bookmarkEnd w:id="120"/>
      <w:bookmarkEnd w:id="121"/>
      <w:bookmarkEnd w:id="122"/>
    </w:p>
    <w:p w14:paraId="1FA26A1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34CBEB9D">
      <w:pPr>
        <w:ind w:firstLine="420"/>
        <w:rPr>
          <w:rFonts w:cs="Times New Roman"/>
          <w:color w:val="000000" w:themeColor="text1"/>
          <w14:textFill>
            <w14:solidFill>
              <w14:schemeClr w14:val="tx1"/>
            </w14:solidFill>
          </w14:textFill>
        </w:rPr>
      </w:pPr>
      <w:r>
        <w:rPr>
          <w:rFonts w:hint="eastAsia" w:cs="Times New Roman"/>
          <w:color w:val="0070C0"/>
          <w:shd w:val="clear" w:color="auto" w:fill="FFFFFF"/>
        </w:rPr>
        <w:t>组间</w:t>
      </w:r>
      <w:r>
        <w:rPr>
          <w:rFonts w:cs="Times New Roman"/>
          <w:color w:val="0070C0"/>
          <w:shd w:val="clear" w:color="auto" w:fill="FFFFFF"/>
        </w:rPr>
        <w:t>Stamp</w:t>
      </w:r>
      <w:r>
        <w:rPr>
          <w:rFonts w:hint="eastAsia" w:cs="Times New Roman"/>
          <w:color w:val="0070C0"/>
          <w:shd w:val="clear" w:color="auto" w:fill="FFFFFF"/>
        </w:rPr>
        <w:t>分析物种柱状图如下：</w:t>
      </w:r>
    </w:p>
    <w:p w14:paraId="0E1AACE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1" name="图片 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06886C4">
      <w:pPr>
        <w:pStyle w:val="32"/>
      </w:pPr>
      <w:r>
        <w:rPr>
          <w:rFonts w:hint="eastAsia"/>
        </w:rPr>
        <w:t>注：左侧柱形图横坐标表示两样本的不同水平物种丰度的百分数的均值，纵坐标表示差异物种，不同颜色表示不同的组。右侧图表示所设定的置信度区间内物种丰度的差异的比例</w:t>
      </w:r>
    </w:p>
    <w:p w14:paraId="3506ED69">
      <w:pPr>
        <w:ind w:firstLine="420"/>
        <w:rPr>
          <w:rFonts w:cs="Times New Roman"/>
          <w:color w:val="000000" w:themeColor="text1"/>
          <w14:textFill>
            <w14:solidFill>
              <w14:schemeClr w14:val="tx1"/>
            </w14:solidFill>
          </w14:textFill>
        </w:rPr>
      </w:pPr>
      <w:bookmarkStart w:id="124" w:name="_Toc30959"/>
      <w:bookmarkStart w:id="125" w:name="_Toc7991"/>
      <w:bookmarkStart w:id="126" w:name="_Toc4303"/>
      <w:bookmarkStart w:id="127" w:name="_Toc3105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-TaxStatistical_analysis/*/*/3.Stamp</w:t>
      </w:r>
    </w:p>
    <w:p w14:paraId="65CEB7AC">
      <w:pPr>
        <w:pStyle w:val="41"/>
      </w:pPr>
      <w:bookmarkStart w:id="128" w:name="_Toc2997"/>
      <w:r>
        <w:rPr>
          <w:rFonts w:hint="eastAsia"/>
          <w:lang w:val="en-US" w:eastAsia="zh-CN"/>
        </w:rPr>
        <w:t>7</w:t>
      </w:r>
      <w:r>
        <w:t xml:space="preserve">.4 </w:t>
      </w:r>
      <w:r>
        <w:rPr>
          <w:rFonts w:hint="eastAsia"/>
        </w:rPr>
        <w:t>Random_Forest分析</w:t>
      </w:r>
      <w:bookmarkEnd w:id="124"/>
      <w:bookmarkEnd w:id="125"/>
      <w:bookmarkEnd w:id="126"/>
      <w:bookmarkEnd w:id="127"/>
      <w:bookmarkEnd w:id="128"/>
    </w:p>
    <w:p w14:paraId="46693C3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E37F80D">
      <w:pPr>
        <w:ind w:firstLine="420"/>
        <w:rPr>
          <w:rFonts w:cs="Times New Roman"/>
          <w:color w:val="0070C0"/>
        </w:rPr>
      </w:pPr>
      <w:r>
        <w:rPr>
          <w:rFonts w:hint="eastAsia" w:cs="Times New Roman"/>
          <w:color w:val="0070C0"/>
        </w:rPr>
        <w:t>随机森林分析图如下所示（展示排名前10的物种）：</w:t>
      </w:r>
    </w:p>
    <w:p w14:paraId="5433DE0B">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2" name="图片 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4DA253C">
      <w:pPr>
        <w:pStyle w:val="32"/>
      </w:pPr>
      <w:r>
        <w:rPr>
          <w:rFonts w:hint="eastAsia"/>
        </w:rPr>
        <w:t>注：左侧柱形图横坐标为节点纯度，计算每个变量对分类树每个节点上观测值的异质性的影响，从而比较变量的重要性，该值越大表示该变量的重要性越大；纵坐标表示差异物种。右侧柱形图横坐标表示不同分组中某一物种的相对丰度，纵坐标表示差异物种，不同颜色表示不同的组。</w:t>
      </w:r>
    </w:p>
    <w:p w14:paraId="1FD35573">
      <w:pPr>
        <w:ind w:firstLine="420"/>
        <w:rPr>
          <w:rFonts w:cs="Times New Roman"/>
          <w:color w:val="000000" w:themeColor="text1"/>
          <w14:textFill>
            <w14:solidFill>
              <w14:schemeClr w14:val="tx1"/>
            </w14:solidFill>
          </w14:textFill>
        </w:rPr>
      </w:pPr>
      <w:bookmarkStart w:id="129" w:name="_Toc28369"/>
      <w:bookmarkStart w:id="130" w:name="_Toc10259"/>
      <w:bookmarkStart w:id="131" w:name="_Toc14834"/>
      <w:bookmarkStart w:id="132" w:name="_Toc3136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-TaxStatistical_analysis/*/*/4.Random_Forest</w:t>
      </w:r>
    </w:p>
    <w:p w14:paraId="0981F0C7">
      <w:pPr>
        <w:pStyle w:val="41"/>
      </w:pPr>
      <w:bookmarkStart w:id="133" w:name="_Toc3806"/>
      <w:r>
        <w:rPr>
          <w:rFonts w:hint="eastAsia"/>
          <w:lang w:val="en-US" w:eastAsia="zh-CN"/>
        </w:rPr>
        <w:t>7</w:t>
      </w:r>
      <w:r>
        <w:t>.5</w:t>
      </w:r>
      <w:r>
        <w:rPr>
          <w:rFonts w:hint="eastAsia"/>
        </w:rPr>
        <w:t xml:space="preserve"> M</w:t>
      </w:r>
      <w:r>
        <w:t>etagenomeSeq</w:t>
      </w:r>
      <w:r>
        <w:rPr>
          <w:rFonts w:hint="eastAsia"/>
        </w:rPr>
        <w:t>分析</w:t>
      </w:r>
      <w:bookmarkEnd w:id="129"/>
      <w:bookmarkEnd w:id="130"/>
      <w:bookmarkEnd w:id="131"/>
      <w:bookmarkEnd w:id="132"/>
      <w:bookmarkEnd w:id="133"/>
    </w:p>
    <w:p w14:paraId="58FEA72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3C5F9175">
      <w:pPr>
        <w:ind w:firstLine="420"/>
        <w:rPr>
          <w:rFonts w:cs="Times New Roman"/>
          <w:color w:val="0070C0"/>
        </w:rPr>
      </w:pPr>
      <w:r>
        <w:rPr>
          <w:rFonts w:hint="eastAsia" w:cs="Times New Roman"/>
          <w:color w:val="0070C0"/>
        </w:rPr>
        <w:t>MetagenomeSeq差异热图如下（展示top30的差异物种，不足30个展示全部）：</w:t>
      </w:r>
    </w:p>
    <w:p w14:paraId="395C0CDF">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0" name="图片 9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图片 96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B6698E9">
      <w:pPr>
        <w:pStyle w:val="32"/>
        <w:rPr>
          <w:shd w:val="clear" w:color="auto" w:fill="FFFFFF"/>
        </w:rPr>
      </w:pPr>
      <w:r>
        <w:rPr>
          <w:shd w:val="clear" w:color="auto" w:fill="FFFFFF"/>
        </w:rPr>
        <w:t>注：</w:t>
      </w:r>
      <w:r>
        <w:rPr>
          <w:rFonts w:hint="eastAsia"/>
          <w:shd w:val="clear" w:color="auto" w:fill="FFFFFF"/>
        </w:rPr>
        <w:t>每一列表示</w:t>
      </w:r>
      <w:r>
        <w:rPr>
          <w:shd w:val="clear" w:color="auto" w:fill="FFFFFF"/>
        </w:rPr>
        <w:t>不同的样本，</w:t>
      </w:r>
      <w:r>
        <w:rPr>
          <w:rFonts w:hint="eastAsia"/>
          <w:shd w:val="clear" w:color="auto" w:fill="FFFFFF"/>
        </w:rPr>
        <w:t>每一行表示差异物种，</w:t>
      </w:r>
      <w:r>
        <w:t>图中的颜色代表了物种的丰度大小，颜色由蓝色到红色渐变表示物种丰度由小到大。</w:t>
      </w:r>
    </w:p>
    <w:p w14:paraId="4A04EA93">
      <w:pPr>
        <w:ind w:firstLine="420"/>
        <w:rPr>
          <w:rFonts w:cs="Times New Roman"/>
          <w:color w:val="000000" w:themeColor="text1"/>
          <w14:textFill>
            <w14:solidFill>
              <w14:schemeClr w14:val="tx1"/>
            </w14:solidFill>
          </w14:textFill>
        </w:rPr>
      </w:pPr>
      <w:bookmarkStart w:id="134" w:name="_Toc31431"/>
      <w:bookmarkStart w:id="135" w:name="_Toc7634"/>
      <w:bookmarkStart w:id="136" w:name="_Toc9989"/>
      <w:bookmarkStart w:id="137" w:name="_Toc15915"/>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-TaxStatistical_analysis/*/*/5.metagenomeSeq</w:t>
      </w:r>
    </w:p>
    <w:p w14:paraId="39A7F1A1">
      <w:pPr>
        <w:pStyle w:val="41"/>
      </w:pPr>
      <w:bookmarkStart w:id="138" w:name="_Toc17508"/>
      <w:r>
        <w:rPr>
          <w:rFonts w:hint="eastAsia"/>
          <w:lang w:val="en-US" w:eastAsia="zh-CN"/>
        </w:rPr>
        <w:t>7</w:t>
      </w:r>
      <w:r>
        <w:t>.6 Anosim</w:t>
      </w:r>
      <w:r>
        <w:rPr>
          <w:rFonts w:hint="eastAsia"/>
        </w:rPr>
        <w:t>分析</w:t>
      </w:r>
      <w:bookmarkEnd w:id="134"/>
      <w:bookmarkEnd w:id="135"/>
      <w:bookmarkEnd w:id="136"/>
      <w:bookmarkEnd w:id="137"/>
      <w:bookmarkEnd w:id="138"/>
    </w:p>
    <w:p w14:paraId="7AED7A5D">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Anosim（analysis of similarities）指相似性分析，主要用于分析高维数据组间相似性，为数据间差异显著性评价提供依据。Anosim分析是一种非参数检验，可以用来检验</w:t>
      </w:r>
      <w:r>
        <w:rPr>
          <w:rFonts w:cs="Times New Roman"/>
          <w:bCs/>
          <w:color w:val="000000" w:themeColor="text1"/>
          <w14:textFill>
            <w14:solidFill>
              <w14:schemeClr w14:val="tx1"/>
            </w14:solidFill>
          </w14:textFill>
        </w:rPr>
        <w:t>组间的差异是否显著大于组内差异</w:t>
      </w:r>
      <w:r>
        <w:rPr>
          <w:rFonts w:cs="Times New Roman"/>
          <w:color w:val="000000" w:themeColor="text1"/>
          <w14:textFill>
            <w14:solidFill>
              <w14:schemeClr w14:val="tx1"/>
            </w14:solidFill>
          </w14:textFill>
        </w:rPr>
        <w:t>，从而判断分组是否有意义。使用R语言中的Vegan package，利用Bray-Curtis距离值的秩次进行组间差异显著行检验，R-value一般介于（-1，1）之间，当R-value大于0，说明组间差异显著；当R-value小于0，说明组内差异大于组间差异，统计分析的可信度用P-value表示，P &lt; 0.05表示统计具有显著性。</w:t>
      </w:r>
    </w:p>
    <w:p w14:paraId="037C2991">
      <w:pPr>
        <w:ind w:firstLine="420"/>
        <w:rPr>
          <w:rFonts w:cs="Times New Roman"/>
          <w:color w:val="000000" w:themeColor="text1"/>
          <w:highlight w:val="yellow"/>
          <w14:textFill>
            <w14:solidFill>
              <w14:schemeClr w14:val="tx1"/>
            </w14:solidFill>
          </w14:textFill>
        </w:rPr>
      </w:pPr>
      <w:r>
        <w:rPr>
          <w:rFonts w:cs="Times New Roman"/>
          <w:color w:val="000000" w:themeColor="text1"/>
          <w14:textFill>
            <w14:solidFill>
              <w14:schemeClr w14:val="tx1"/>
            </w14:solidFill>
          </w14:textFill>
        </w:rPr>
        <w:t>Anosim的分析结果是基于两两样本之间的距离值排序获得的秩（组间的为between，组内的为within），任一两两组的比较可以获得三个分类的数据，并进行箱线图的展示。</w:t>
      </w:r>
    </w:p>
    <w:p w14:paraId="4D5342D1">
      <w:pPr>
        <w:ind w:firstLine="420"/>
        <w:rPr>
          <w:rFonts w:cs="Times New Roman"/>
          <w:color w:val="0070C0"/>
        </w:rPr>
      </w:pPr>
      <w:r>
        <w:rPr>
          <w:rFonts w:hint="eastAsia" w:cs="Times New Roman"/>
          <w:color w:val="0070C0"/>
        </w:rPr>
        <w:t>Anosim结果如图：</w:t>
      </w:r>
    </w:p>
    <w:p w14:paraId="0E372D09">
      <w:pPr>
        <w:ind w:firstLine="420"/>
        <w:jc w:val="center"/>
        <w:rPr>
          <w:rFonts w:cs="Times New Roman"/>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1" name="图片 9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图片 96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5C77554">
      <w:pPr>
        <w:pStyle w:val="32"/>
      </w:pPr>
      <w:r>
        <w:t>注：纵坐标为样本间距离的秩，横坐标：</w:t>
      </w:r>
      <w:r>
        <w:rPr>
          <w:rFonts w:hint="eastAsia"/>
        </w:rPr>
        <w:t>“</w:t>
      </w:r>
      <w:r>
        <w:t>Between</w:t>
      </w:r>
      <w:r>
        <w:rPr>
          <w:rFonts w:hint="eastAsia"/>
        </w:rPr>
        <w:t>”</w:t>
      </w:r>
      <w:r>
        <w:t>指分组之间的差异，其他分别代表各自组内差异，Between组相对于其他每个分组的秩较高时，表明组间差异大于组内差异。</w:t>
      </w:r>
    </w:p>
    <w:p w14:paraId="7FED0728">
      <w:pPr>
        <w:ind w:firstLine="420"/>
        <w:rPr>
          <w:rFonts w:cs="Times New Roman"/>
          <w:color w:val="000000" w:themeColor="text1"/>
          <w14:textFill>
            <w14:solidFill>
              <w14:schemeClr w14:val="tx1"/>
            </w14:solidFill>
          </w14:textFill>
        </w:rPr>
      </w:pPr>
      <w:bookmarkStart w:id="139" w:name="_Toc7938"/>
      <w:bookmarkStart w:id="140" w:name="_Toc26979"/>
      <w:bookmarkStart w:id="141" w:name="_Toc7747"/>
      <w:bookmarkStart w:id="142" w:name="_Toc14055"/>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-TaxStatistical_analysis/*/*/6.Anosim</w:t>
      </w:r>
    </w:p>
    <w:p w14:paraId="43387C3F">
      <w:pPr>
        <w:pStyle w:val="41"/>
      </w:pPr>
      <w:bookmarkStart w:id="143" w:name="_Toc28995"/>
      <w:r>
        <w:rPr>
          <w:rFonts w:hint="eastAsia"/>
          <w:lang w:val="en-US" w:eastAsia="zh-CN"/>
        </w:rPr>
        <w:t>7</w:t>
      </w:r>
      <w:r>
        <w:t>.7 ADONIS分析</w:t>
      </w:r>
      <w:bookmarkEnd w:id="139"/>
      <w:bookmarkEnd w:id="140"/>
      <w:bookmarkEnd w:id="141"/>
      <w:bookmarkEnd w:id="142"/>
      <w:bookmarkEnd w:id="143"/>
    </w:p>
    <w:p w14:paraId="69035A52">
      <w:pPr>
        <w:ind w:firstLine="420"/>
        <w:rPr>
          <w:rFonts w:cs="Times New Roman"/>
        </w:rPr>
      </w:pPr>
      <w:r>
        <w:rPr>
          <w:rFonts w:cs="Times New Roman"/>
        </w:rPr>
        <w:t>ADONIS又称置换多元方差分析（permutational multivariate analysis of variance，PERMANOVA）或非参数多因素方差分析（nonparametric MANOVA），是一种基于Bray-Curtis距离的非参数多元方差分析方法。该分析对样本间总体方差进行分解，分析样本分组对样本间差异的解释度，并使用置换检验统计组间差异是否均有显著性，从而评估样本的分组是否合理。默认选择Bray-curits非相似度矩阵，并对样本所属分组进行9999次置换，检验结果中R2表示分组对样本间差异的解释度，Pr &lt; 0.05时表示该分析具有统计学显著性。计算过程由R语言的vegan包实现。具体结果如下表所示：</w:t>
      </w:r>
    </w:p>
    <w:p w14:paraId="40ACE909">
      <w:pPr>
        <w:tabs>
          <w:tab w:val="left" w:pos="3318"/>
        </w:tabs>
        <w:ind w:firstLine="420"/>
        <w:jc w:val="center"/>
        <w:rPr>
          <w:rFonts w:cs="Times New Roman"/>
        </w:rPr>
      </w:pPr>
      <w:r>
        <w:rPr>
          <w:rFonts w:cs="Times New Roman"/>
        </w:rPr>
        <w:t>表3 ADONIS分析结果信息表</w:t>
      </w:r>
    </w:p>
    <w:tbl>
      <w:tblPr>
        <w:tblStyle w:val="2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6316"/>
      </w:tblGrid>
      <w:tr w14:paraId="165B54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980" w:type="dxa"/>
            <w:tcBorders>
              <w:bottom w:val="single" w:color="000000" w:sz="8" w:space="0"/>
            </w:tcBorders>
            <w:shd w:val="clear" w:color="auto" w:fill="FFFFFF"/>
            <w:vAlign w:val="center"/>
          </w:tcPr>
          <w:p w14:paraId="4474D1AA">
            <w:pPr>
              <w:ind w:firstLine="420"/>
              <w:jc w:val="center"/>
              <w:rPr>
                <w:rFonts w:cs="Times New Roman"/>
                <w:color w:val="000000"/>
                <w:kern w:val="0"/>
                <w:szCs w:val="20"/>
              </w:rPr>
            </w:pPr>
            <w:r>
              <w:rPr>
                <w:rFonts w:cs="Times New Roman"/>
                <w:bCs/>
                <w:color w:val="000000"/>
                <w:kern w:val="0"/>
                <w:szCs w:val="21"/>
              </w:rPr>
              <w:t>表头</w:t>
            </w:r>
          </w:p>
        </w:tc>
        <w:tc>
          <w:tcPr>
            <w:tcW w:w="6316" w:type="dxa"/>
            <w:tcBorders>
              <w:bottom w:val="single" w:color="000000" w:sz="8" w:space="0"/>
            </w:tcBorders>
            <w:shd w:val="clear" w:color="auto" w:fill="FFFFFF"/>
            <w:vAlign w:val="center"/>
          </w:tcPr>
          <w:p w14:paraId="509C46F7">
            <w:pPr>
              <w:ind w:firstLine="420"/>
              <w:jc w:val="center"/>
              <w:rPr>
                <w:rFonts w:cs="Times New Roman"/>
                <w:color w:val="000000"/>
                <w:kern w:val="0"/>
                <w:szCs w:val="20"/>
              </w:rPr>
            </w:pPr>
            <w:r>
              <w:rPr>
                <w:rFonts w:cs="Times New Roman"/>
                <w:bCs/>
                <w:color w:val="000000"/>
                <w:kern w:val="0"/>
                <w:szCs w:val="20"/>
              </w:rPr>
              <w:t>描述</w:t>
            </w:r>
          </w:p>
        </w:tc>
      </w:tr>
      <w:tr w14:paraId="38EA1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op w:val="single" w:color="000000" w:sz="8" w:space="0"/>
              <w:tl2br w:val="nil"/>
              <w:tr2bl w:val="nil"/>
            </w:tcBorders>
            <w:shd w:val="clear" w:color="auto" w:fill="FFFFFF"/>
            <w:vAlign w:val="center"/>
          </w:tcPr>
          <w:p w14:paraId="48BC62B5">
            <w:pPr>
              <w:ind w:firstLine="420"/>
              <w:jc w:val="center"/>
              <w:rPr>
                <w:rFonts w:cs="Times New Roman"/>
                <w:color w:val="000000"/>
                <w:kern w:val="0"/>
                <w:szCs w:val="20"/>
              </w:rPr>
            </w:pPr>
            <w:r>
              <w:rPr>
                <w:rFonts w:cs="Times New Roman"/>
                <w:color w:val="000000"/>
                <w:kern w:val="0"/>
                <w:szCs w:val="20"/>
              </w:rPr>
              <w:t>Group行</w:t>
            </w:r>
          </w:p>
        </w:tc>
        <w:tc>
          <w:tcPr>
            <w:tcW w:w="6316" w:type="dxa"/>
            <w:tcBorders>
              <w:top w:val="single" w:color="000000" w:sz="8" w:space="0"/>
              <w:tl2br w:val="nil"/>
              <w:tr2bl w:val="nil"/>
            </w:tcBorders>
            <w:shd w:val="clear" w:color="auto" w:fill="FFFFFF"/>
            <w:vAlign w:val="center"/>
          </w:tcPr>
          <w:p w14:paraId="7E23A7D2">
            <w:pPr>
              <w:ind w:firstLine="420"/>
              <w:jc w:val="center"/>
              <w:rPr>
                <w:rFonts w:cs="Times New Roman"/>
                <w:color w:val="000000"/>
                <w:kern w:val="0"/>
                <w:szCs w:val="20"/>
              </w:rPr>
            </w:pPr>
            <w:r>
              <w:rPr>
                <w:rFonts w:cs="Times New Roman"/>
                <w:color w:val="000000"/>
                <w:kern w:val="0"/>
                <w:szCs w:val="20"/>
              </w:rPr>
              <w:t>组间统计信息</w:t>
            </w:r>
          </w:p>
        </w:tc>
      </w:tr>
      <w:tr w14:paraId="68651B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86655B3">
            <w:pPr>
              <w:ind w:firstLine="420"/>
              <w:jc w:val="center"/>
              <w:rPr>
                <w:rFonts w:cs="Times New Roman"/>
                <w:color w:val="000000"/>
                <w:kern w:val="0"/>
                <w:szCs w:val="20"/>
              </w:rPr>
            </w:pPr>
            <w:r>
              <w:rPr>
                <w:rFonts w:cs="Times New Roman"/>
                <w:color w:val="000000"/>
                <w:kern w:val="0"/>
                <w:szCs w:val="20"/>
              </w:rPr>
              <w:t>Residuals行</w:t>
            </w:r>
          </w:p>
        </w:tc>
        <w:tc>
          <w:tcPr>
            <w:tcW w:w="6316" w:type="dxa"/>
            <w:tcBorders>
              <w:tl2br w:val="nil"/>
              <w:tr2bl w:val="nil"/>
            </w:tcBorders>
            <w:shd w:val="clear" w:color="auto" w:fill="FFFFFF"/>
            <w:vAlign w:val="center"/>
          </w:tcPr>
          <w:p w14:paraId="58F27451">
            <w:pPr>
              <w:ind w:firstLine="420"/>
              <w:jc w:val="center"/>
              <w:rPr>
                <w:rFonts w:cs="Times New Roman"/>
                <w:color w:val="000000"/>
                <w:kern w:val="0"/>
                <w:szCs w:val="20"/>
              </w:rPr>
            </w:pPr>
            <w:r>
              <w:rPr>
                <w:rFonts w:cs="Times New Roman"/>
                <w:color w:val="000000"/>
                <w:kern w:val="0"/>
                <w:szCs w:val="20"/>
              </w:rPr>
              <w:t>组内统计信息</w:t>
            </w:r>
          </w:p>
        </w:tc>
      </w:tr>
      <w:tr w14:paraId="7BEF92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9D9C977">
            <w:pPr>
              <w:ind w:firstLine="420"/>
              <w:jc w:val="center"/>
              <w:rPr>
                <w:rFonts w:cs="Times New Roman"/>
                <w:color w:val="000000"/>
                <w:kern w:val="0"/>
                <w:szCs w:val="20"/>
              </w:rPr>
            </w:pPr>
            <w:r>
              <w:rPr>
                <w:rFonts w:cs="Times New Roman"/>
                <w:color w:val="000000"/>
                <w:kern w:val="0"/>
                <w:szCs w:val="20"/>
              </w:rPr>
              <w:t>Total行</w:t>
            </w:r>
          </w:p>
        </w:tc>
        <w:tc>
          <w:tcPr>
            <w:tcW w:w="6316" w:type="dxa"/>
            <w:tcBorders>
              <w:tl2br w:val="nil"/>
              <w:tr2bl w:val="nil"/>
            </w:tcBorders>
            <w:shd w:val="clear" w:color="auto" w:fill="FFFFFF"/>
            <w:vAlign w:val="center"/>
          </w:tcPr>
          <w:p w14:paraId="03129BCC">
            <w:pPr>
              <w:ind w:firstLine="420"/>
              <w:jc w:val="center"/>
              <w:rPr>
                <w:rFonts w:cs="Times New Roman"/>
                <w:color w:val="000000"/>
                <w:kern w:val="0"/>
                <w:szCs w:val="20"/>
              </w:rPr>
            </w:pPr>
            <w:r>
              <w:rPr>
                <w:rFonts w:cs="Times New Roman"/>
                <w:color w:val="000000"/>
                <w:kern w:val="0"/>
                <w:szCs w:val="20"/>
              </w:rPr>
              <w:t>组间+组内统计</w:t>
            </w:r>
          </w:p>
        </w:tc>
      </w:tr>
      <w:tr w14:paraId="042E74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30C5346F">
            <w:pPr>
              <w:ind w:firstLine="420"/>
              <w:jc w:val="center"/>
              <w:rPr>
                <w:rFonts w:cs="Times New Roman"/>
                <w:color w:val="000000"/>
                <w:kern w:val="0"/>
                <w:szCs w:val="20"/>
              </w:rPr>
            </w:pPr>
            <w:r>
              <w:rPr>
                <w:rFonts w:cs="Times New Roman"/>
                <w:color w:val="000000"/>
                <w:kern w:val="0"/>
                <w:szCs w:val="20"/>
              </w:rPr>
              <w:t>Df</w:t>
            </w:r>
          </w:p>
        </w:tc>
        <w:tc>
          <w:tcPr>
            <w:tcW w:w="6316" w:type="dxa"/>
            <w:tcBorders>
              <w:tl2br w:val="nil"/>
              <w:tr2bl w:val="nil"/>
            </w:tcBorders>
            <w:shd w:val="clear" w:color="auto" w:fill="FFFFFF"/>
            <w:vAlign w:val="center"/>
          </w:tcPr>
          <w:p w14:paraId="18796543">
            <w:pPr>
              <w:ind w:firstLine="420"/>
              <w:jc w:val="center"/>
              <w:rPr>
                <w:rFonts w:cs="Times New Roman"/>
                <w:color w:val="000000"/>
                <w:kern w:val="0"/>
                <w:szCs w:val="20"/>
              </w:rPr>
            </w:pPr>
            <w:r>
              <w:rPr>
                <w:rFonts w:cs="Times New Roman"/>
                <w:color w:val="000000"/>
                <w:kern w:val="0"/>
                <w:szCs w:val="20"/>
              </w:rPr>
              <w:t>自由度，组间自由度为组数-1，组内自由度为总样本数-组数</w:t>
            </w:r>
          </w:p>
        </w:tc>
      </w:tr>
      <w:tr w14:paraId="3E15EC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52A306B">
            <w:pPr>
              <w:ind w:firstLine="420"/>
              <w:jc w:val="center"/>
              <w:rPr>
                <w:rFonts w:cs="Times New Roman"/>
                <w:color w:val="000000"/>
                <w:kern w:val="0"/>
                <w:szCs w:val="20"/>
              </w:rPr>
            </w:pPr>
            <w:r>
              <w:rPr>
                <w:rFonts w:cs="Times New Roman"/>
                <w:color w:val="000000"/>
                <w:kern w:val="0"/>
                <w:szCs w:val="20"/>
              </w:rPr>
              <w:t>SumsOfSqs</w:t>
            </w:r>
          </w:p>
        </w:tc>
        <w:tc>
          <w:tcPr>
            <w:tcW w:w="6316" w:type="dxa"/>
            <w:tcBorders>
              <w:tl2br w:val="nil"/>
              <w:tr2bl w:val="nil"/>
            </w:tcBorders>
            <w:shd w:val="clear" w:color="auto" w:fill="FFFFFF"/>
            <w:vAlign w:val="center"/>
          </w:tcPr>
          <w:p w14:paraId="3E903A35">
            <w:pPr>
              <w:ind w:firstLine="420"/>
              <w:jc w:val="center"/>
              <w:rPr>
                <w:rFonts w:cs="Times New Roman"/>
                <w:color w:val="000000"/>
                <w:kern w:val="0"/>
                <w:szCs w:val="20"/>
              </w:rPr>
            </w:pPr>
            <w:r>
              <w:rPr>
                <w:rFonts w:hint="eastAsia" w:cs="Times New Roman"/>
                <w:color w:val="000000"/>
                <w:kern w:val="0"/>
                <w:szCs w:val="20"/>
              </w:rPr>
              <w:t>总方差，又称</w:t>
            </w:r>
            <w:r>
              <w:rPr>
                <w:rFonts w:cs="Times New Roman"/>
                <w:color w:val="000000"/>
                <w:kern w:val="0"/>
                <w:szCs w:val="20"/>
              </w:rPr>
              <w:t>离差平方和</w:t>
            </w:r>
          </w:p>
        </w:tc>
      </w:tr>
      <w:tr w14:paraId="0FBBF5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6A0E9986">
            <w:pPr>
              <w:ind w:firstLine="420"/>
              <w:jc w:val="center"/>
              <w:rPr>
                <w:rFonts w:cs="Times New Roman"/>
                <w:color w:val="000000"/>
                <w:kern w:val="0"/>
                <w:szCs w:val="20"/>
              </w:rPr>
            </w:pPr>
            <w:r>
              <w:rPr>
                <w:rFonts w:cs="Times New Roman"/>
                <w:color w:val="000000"/>
                <w:kern w:val="0"/>
                <w:szCs w:val="20"/>
              </w:rPr>
              <w:t>MeanSqs</w:t>
            </w:r>
          </w:p>
        </w:tc>
        <w:tc>
          <w:tcPr>
            <w:tcW w:w="6316" w:type="dxa"/>
            <w:tcBorders>
              <w:tl2br w:val="nil"/>
              <w:tr2bl w:val="nil"/>
            </w:tcBorders>
            <w:shd w:val="clear" w:color="auto" w:fill="FFFFFF"/>
            <w:vAlign w:val="center"/>
          </w:tcPr>
          <w:p w14:paraId="4D2496DA">
            <w:pPr>
              <w:ind w:firstLine="420"/>
              <w:jc w:val="center"/>
              <w:rPr>
                <w:rFonts w:cs="Times New Roman"/>
                <w:color w:val="000000"/>
                <w:kern w:val="0"/>
                <w:szCs w:val="20"/>
              </w:rPr>
            </w:pPr>
            <w:r>
              <w:rPr>
                <w:rFonts w:cs="Times New Roman"/>
                <w:color w:val="000000"/>
                <w:kern w:val="0"/>
                <w:szCs w:val="20"/>
              </w:rPr>
              <w:t>均方，离差平方和与自由度之比，即SumsOfSqs/Df</w:t>
            </w:r>
          </w:p>
        </w:tc>
      </w:tr>
      <w:tr w14:paraId="25473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980" w:type="dxa"/>
            <w:tcBorders>
              <w:tl2br w:val="nil"/>
              <w:tr2bl w:val="nil"/>
            </w:tcBorders>
            <w:shd w:val="clear" w:color="auto" w:fill="FFFFFF"/>
            <w:vAlign w:val="center"/>
          </w:tcPr>
          <w:p w14:paraId="38CAB917">
            <w:pPr>
              <w:ind w:firstLine="420"/>
              <w:jc w:val="center"/>
              <w:rPr>
                <w:rFonts w:cs="Times New Roman"/>
                <w:color w:val="000000"/>
                <w:kern w:val="0"/>
                <w:szCs w:val="20"/>
              </w:rPr>
            </w:pPr>
            <w:r>
              <w:rPr>
                <w:rFonts w:cs="Times New Roman"/>
                <w:color w:val="000000"/>
                <w:kern w:val="0"/>
                <w:szCs w:val="20"/>
              </w:rPr>
              <w:t>F.Model</w:t>
            </w:r>
          </w:p>
        </w:tc>
        <w:tc>
          <w:tcPr>
            <w:tcW w:w="6316" w:type="dxa"/>
            <w:tcBorders>
              <w:tl2br w:val="nil"/>
              <w:tr2bl w:val="nil"/>
            </w:tcBorders>
            <w:shd w:val="clear" w:color="auto" w:fill="FFFFFF"/>
            <w:vAlign w:val="center"/>
          </w:tcPr>
          <w:p w14:paraId="542B8983">
            <w:pPr>
              <w:ind w:firstLine="420"/>
              <w:jc w:val="center"/>
              <w:rPr>
                <w:rFonts w:cs="Times New Roman"/>
                <w:color w:val="000000"/>
                <w:kern w:val="0"/>
                <w:szCs w:val="20"/>
              </w:rPr>
            </w:pPr>
            <w:r>
              <w:rPr>
                <w:rFonts w:cs="Times New Roman"/>
                <w:color w:val="000000"/>
                <w:kern w:val="0"/>
                <w:szCs w:val="20"/>
              </w:rPr>
              <w:t>F检验值，即组间均方/组内均方</w:t>
            </w:r>
          </w:p>
        </w:tc>
      </w:tr>
      <w:tr w14:paraId="27D148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3934D0FF">
            <w:pPr>
              <w:ind w:firstLine="420"/>
              <w:jc w:val="center"/>
              <w:rPr>
                <w:rFonts w:cs="Times New Roman"/>
                <w:color w:val="000000"/>
                <w:kern w:val="0"/>
                <w:szCs w:val="20"/>
              </w:rPr>
            </w:pPr>
            <w:r>
              <w:rPr>
                <w:rFonts w:cs="Times New Roman"/>
                <w:color w:val="000000"/>
                <w:kern w:val="0"/>
                <w:szCs w:val="20"/>
              </w:rPr>
              <w:t>R2</w:t>
            </w:r>
          </w:p>
        </w:tc>
        <w:tc>
          <w:tcPr>
            <w:tcW w:w="6316" w:type="dxa"/>
            <w:tcBorders>
              <w:tl2br w:val="nil"/>
              <w:tr2bl w:val="nil"/>
            </w:tcBorders>
            <w:shd w:val="clear" w:color="auto" w:fill="FFFFFF"/>
            <w:vAlign w:val="center"/>
          </w:tcPr>
          <w:p w14:paraId="3A429816">
            <w:pPr>
              <w:ind w:firstLine="420"/>
              <w:jc w:val="center"/>
              <w:rPr>
                <w:rFonts w:cs="Times New Roman"/>
                <w:color w:val="000000"/>
                <w:kern w:val="0"/>
                <w:szCs w:val="20"/>
              </w:rPr>
            </w:pPr>
            <w:r>
              <w:rPr>
                <w:rFonts w:cs="Times New Roman"/>
                <w:color w:val="000000"/>
                <w:kern w:val="0"/>
                <w:szCs w:val="20"/>
              </w:rPr>
              <w:t>组间和组内离差平方和占总离差平方和的比例，表示对样本间差异的解释度；R2越大表示对样本间差异的解释度越高</w:t>
            </w:r>
          </w:p>
        </w:tc>
      </w:tr>
      <w:tr w14:paraId="552C2E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22D64AE9">
            <w:pPr>
              <w:ind w:firstLine="420"/>
              <w:jc w:val="center"/>
              <w:rPr>
                <w:rFonts w:cs="Times New Roman"/>
                <w:color w:val="000000"/>
                <w:kern w:val="0"/>
                <w:szCs w:val="20"/>
              </w:rPr>
            </w:pPr>
            <w:r>
              <w:rPr>
                <w:rFonts w:cs="Times New Roman"/>
                <w:color w:val="000000"/>
                <w:kern w:val="0"/>
                <w:szCs w:val="20"/>
              </w:rPr>
              <w:t>Pr（&gt;F）</w:t>
            </w:r>
          </w:p>
        </w:tc>
        <w:tc>
          <w:tcPr>
            <w:tcW w:w="6316" w:type="dxa"/>
            <w:tcBorders>
              <w:tl2br w:val="nil"/>
              <w:tr2bl w:val="nil"/>
            </w:tcBorders>
            <w:shd w:val="clear" w:color="auto" w:fill="FFFFFF"/>
            <w:vAlign w:val="center"/>
          </w:tcPr>
          <w:p w14:paraId="12049747">
            <w:pPr>
              <w:ind w:firstLine="420"/>
              <w:jc w:val="center"/>
              <w:rPr>
                <w:rFonts w:cs="Times New Roman"/>
                <w:color w:val="000000"/>
                <w:kern w:val="0"/>
                <w:szCs w:val="20"/>
              </w:rPr>
            </w:pPr>
            <w:r>
              <w:rPr>
                <w:rFonts w:cs="Times New Roman"/>
                <w:color w:val="000000"/>
                <w:kern w:val="0"/>
                <w:szCs w:val="20"/>
              </w:rPr>
              <w:t>置换检验得到的统计学显著性P值</w:t>
            </w:r>
          </w:p>
        </w:tc>
      </w:tr>
    </w:tbl>
    <w:p w14:paraId="1B12D86E">
      <w:pPr>
        <w:ind w:firstLine="420"/>
        <w:rPr>
          <w:rFonts w:cs="Times New Roman"/>
          <w:color w:val="000000" w:themeColor="text1"/>
          <w14:textFill>
            <w14:solidFill>
              <w14:schemeClr w14:val="tx1"/>
            </w14:solidFill>
          </w14:textFill>
        </w:rPr>
      </w:pPr>
      <w:bookmarkStart w:id="144" w:name="_Toc30645"/>
      <w:bookmarkStart w:id="145" w:name="_Toc28881"/>
      <w:bookmarkStart w:id="146" w:name="_Toc192"/>
      <w:bookmarkStart w:id="147" w:name="_Toc2856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-TaxStatistical_analysis/*/*/7.Adonis</w:t>
      </w:r>
    </w:p>
    <w:p w14:paraId="3D05C2DC">
      <w:pPr>
        <w:pStyle w:val="41"/>
      </w:pPr>
      <w:bookmarkStart w:id="148" w:name="_Toc8965"/>
      <w:r>
        <w:rPr>
          <w:rFonts w:hint="eastAsia"/>
          <w:lang w:val="en-US" w:eastAsia="zh-CN"/>
        </w:rPr>
        <w:t>7</w:t>
      </w:r>
      <w:r>
        <w:t>.8 MRPP分析</w:t>
      </w:r>
      <w:bookmarkEnd w:id="144"/>
      <w:bookmarkEnd w:id="145"/>
      <w:bookmarkEnd w:id="146"/>
      <w:bookmarkEnd w:id="147"/>
      <w:bookmarkEnd w:id="148"/>
    </w:p>
    <w:p w14:paraId="21115607">
      <w:pPr>
        <w:ind w:firstLine="420"/>
        <w:rPr>
          <w:rFonts w:cs="Times New Roman"/>
        </w:rPr>
      </w:pPr>
      <w:r>
        <w:rPr>
          <w:rFonts w:cs="Times New Roman"/>
        </w:rPr>
        <w:t>MRPP（Multi Response Permutation Procedure）分析与Anosim类似，但MRPP是基于Bray-Curtis的参数检验，用来检验组间（两组/多组）的差异是否显著大于组内差异，通常配合PCA、PCoA、NMDS等降维图使用，利用R vegan包mrpp函数进行MRPP分析，Observe Delta值越小说明组内差异小，Expect delta值越大说明组间差异大。A值大于0说明组间差异大于组内差异，A值小于0说明组内差异大于组间差异。P值小于0.05说明差异显著，具体结果如下表所示：</w:t>
      </w:r>
    </w:p>
    <w:bookmarkEnd w:id="123"/>
    <w:p w14:paraId="311E17CC">
      <w:pPr>
        <w:ind w:firstLine="420"/>
        <w:rPr>
          <w:rFonts w:cs="Times New Roman"/>
          <w:color w:val="000000" w:themeColor="text1"/>
          <w14:textFill>
            <w14:solidFill>
              <w14:schemeClr w14:val="tx1"/>
            </w14:solidFill>
          </w14:textFill>
        </w:rPr>
      </w:pPr>
      <w:bookmarkStart w:id="149" w:name="_Toc13804"/>
      <w:bookmarkStart w:id="150" w:name="_Toc18761"/>
      <w:bookmarkStart w:id="151" w:name="_Toc8462"/>
      <w:bookmarkStart w:id="152" w:name="_Toc3041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-TaxStatistical_analysis/*/*/8.MRPP</w:t>
      </w:r>
    </w:p>
    <w:p w14:paraId="6A83AAFF">
      <w:pPr>
        <w:pStyle w:val="41"/>
      </w:pPr>
      <w:bookmarkStart w:id="153" w:name="_Toc17041"/>
      <w:r>
        <w:rPr>
          <w:rFonts w:hint="eastAsia"/>
          <w:lang w:val="en-US" w:eastAsia="zh-CN"/>
        </w:rPr>
        <w:t>7</w:t>
      </w:r>
      <w:r>
        <w:t>.9 Lefse分析</w:t>
      </w:r>
      <w:bookmarkEnd w:id="153"/>
    </w:p>
    <w:p w14:paraId="5843FA30">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LEfSe分析即Linear discriminant analysis（LDA）Effect Size，是一种用于发现和解释高维度数据生物标识（基因、通路和分类单元）的分析工具，可用于两个或多个分组的比较，它强调统计意义和生物相关性，能够在组与组之间寻找具有统计学差异的生物标识（Biomarker）</w:t>
      </w:r>
      <w:r>
        <w:rPr>
          <w:rFonts w:hint="eastAsia" w:cs="Times New Roman"/>
          <w:color w:val="000000" w:themeColor="text1"/>
          <w14:textFill>
            <w14:solidFill>
              <w14:schemeClr w14:val="tx1"/>
            </w14:solidFill>
          </w14:textFill>
        </w:rPr>
        <w:t>，从而使</w:t>
      </w:r>
      <w:r>
        <w:rPr>
          <w:rFonts w:cs="Times New Roman"/>
          <w:color w:val="000000" w:themeColor="text1"/>
          <w14:textFill>
            <w14:solidFill>
              <w14:schemeClr w14:val="tx1"/>
            </w14:solidFill>
          </w14:textFill>
        </w:rPr>
        <w:t>研究人员能够识别不同丰度的特征以及相关联的类别。</w:t>
      </w:r>
      <w:r>
        <w:rPr>
          <w:rFonts w:hint="eastAsia" w:cs="Times New Roman"/>
          <w:color w:val="000000" w:themeColor="text1"/>
          <w14:textFill>
            <w14:solidFill>
              <w14:schemeClr w14:val="tx1"/>
            </w14:solidFill>
          </w14:textFill>
        </w:rPr>
        <w:t>其分析原理包括以下三部分：</w:t>
      </w:r>
    </w:p>
    <w:p w14:paraId="42E1DF7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1）首先在多组样本中采用非参数检验Kruskal-Wallis秩和检验检测不同分组间丰度差异显著的物种，阈值设定0.05；</w:t>
      </w:r>
    </w:p>
    <w:p w14:paraId="6E461AB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2）然后在上一步中获得的显著差异物种，用成组的Wilcoxon秩和检验来进行组间差异分析，阈值设定0.05；</w:t>
      </w:r>
    </w:p>
    <w:p w14:paraId="127BB37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2EA01C0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Lefse分析结果表说明如下：</w:t>
      </w:r>
    </w:p>
    <w:p w14:paraId="4F5FAC1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表</w:t>
      </w:r>
      <w:r>
        <w:rPr>
          <w:rFonts w:cs="Times New Roman"/>
          <w:color w:val="000000" w:themeColor="text1"/>
          <w14:textFill>
            <w14:solidFill>
              <w14:schemeClr w14:val="tx1"/>
            </w14:solidFill>
          </w14:textFill>
        </w:rPr>
        <w:t>2</w:t>
      </w:r>
      <w:r>
        <w:rPr>
          <w:rFonts w:hint="eastAsia" w:cs="Times New Roman"/>
          <w:color w:val="000000" w:themeColor="text1"/>
          <w14:textFill>
            <w14:solidFill>
              <w14:schemeClr w14:val="tx1"/>
            </w14:solidFill>
          </w14:textFill>
        </w:rPr>
        <w:t xml:space="preserve"> </w:t>
      </w:r>
      <w:r>
        <w:rPr>
          <w:rFonts w:cs="Times New Roman"/>
          <w:color w:val="000000" w:themeColor="text1"/>
          <w14:textFill>
            <w14:solidFill>
              <w14:schemeClr w14:val="tx1"/>
            </w14:solidFill>
          </w14:textFill>
        </w:rPr>
        <w:t>L</w:t>
      </w:r>
      <w:r>
        <w:rPr>
          <w:rFonts w:hint="eastAsia" w:cs="Times New Roman"/>
          <w:color w:val="000000" w:themeColor="text1"/>
          <w14:textFill>
            <w14:solidFill>
              <w14:schemeClr w14:val="tx1"/>
            </w14:solidFill>
          </w14:textFill>
        </w:rPr>
        <w:t>efse分析结果信息表</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7088"/>
      </w:tblGrid>
      <w:tr w14:paraId="1A4882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bottom w:val="single" w:color="000000" w:sz="8" w:space="0"/>
            </w:tcBorders>
            <w:shd w:val="clear" w:color="auto" w:fill="FFFFFF"/>
            <w:vAlign w:val="center"/>
          </w:tcPr>
          <w:p w14:paraId="245A5BCE">
            <w:pPr>
              <w:ind w:firstLine="420"/>
              <w:jc w:val="center"/>
              <w:rPr>
                <w:rFonts w:cs="Times New Roman"/>
                <w:bCs/>
                <w:color w:val="000000"/>
                <w:kern w:val="0"/>
                <w:szCs w:val="20"/>
              </w:rPr>
            </w:pPr>
            <w:r>
              <w:rPr>
                <w:rFonts w:hint="eastAsia" w:cs="Times New Roman"/>
                <w:bCs/>
                <w:color w:val="000000"/>
                <w:kern w:val="0"/>
                <w:szCs w:val="20"/>
              </w:rPr>
              <w:t>表头</w:t>
            </w:r>
          </w:p>
        </w:tc>
        <w:tc>
          <w:tcPr>
            <w:tcW w:w="7088" w:type="dxa"/>
            <w:tcBorders>
              <w:bottom w:val="single" w:color="000000" w:sz="8" w:space="0"/>
            </w:tcBorders>
            <w:shd w:val="clear" w:color="auto" w:fill="FFFFFF"/>
            <w:vAlign w:val="center"/>
          </w:tcPr>
          <w:p w14:paraId="3980B911">
            <w:pPr>
              <w:ind w:firstLine="420"/>
              <w:jc w:val="center"/>
              <w:rPr>
                <w:rFonts w:cs="Times New Roman"/>
                <w:bCs/>
                <w:color w:val="000000"/>
                <w:kern w:val="0"/>
                <w:szCs w:val="20"/>
              </w:rPr>
            </w:pPr>
            <w:r>
              <w:rPr>
                <w:rFonts w:hint="eastAsia" w:cs="Times New Roman"/>
                <w:bCs/>
                <w:color w:val="000000"/>
                <w:kern w:val="0"/>
                <w:szCs w:val="20"/>
              </w:rPr>
              <w:t>描述</w:t>
            </w:r>
          </w:p>
        </w:tc>
      </w:tr>
      <w:tr w14:paraId="5A69E1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op w:val="single" w:color="000000" w:sz="8" w:space="0"/>
              <w:tl2br w:val="nil"/>
              <w:tr2bl w:val="nil"/>
            </w:tcBorders>
            <w:shd w:val="clear" w:color="auto" w:fill="FFFFFF"/>
            <w:vAlign w:val="center"/>
          </w:tcPr>
          <w:p w14:paraId="6ACC6406">
            <w:pPr>
              <w:ind w:firstLine="420"/>
              <w:jc w:val="center"/>
              <w:rPr>
                <w:rFonts w:cs="Times New Roman"/>
                <w:color w:val="000000"/>
                <w:kern w:val="0"/>
                <w:szCs w:val="20"/>
                <w:shd w:val="clear" w:color="auto" w:fill="FFFFFF"/>
              </w:rPr>
            </w:pPr>
            <w:r>
              <w:rPr>
                <w:rFonts w:cs="Times New Roman"/>
                <w:color w:val="000000"/>
                <w:kern w:val="0"/>
                <w:szCs w:val="20"/>
              </w:rPr>
              <w:t>Taxonomy</w:t>
            </w:r>
          </w:p>
        </w:tc>
        <w:tc>
          <w:tcPr>
            <w:tcW w:w="7088" w:type="dxa"/>
            <w:tcBorders>
              <w:top w:val="single" w:color="000000" w:sz="8" w:space="0"/>
              <w:tl2br w:val="nil"/>
              <w:tr2bl w:val="nil"/>
            </w:tcBorders>
            <w:shd w:val="clear" w:color="auto" w:fill="FFFFFF"/>
            <w:vAlign w:val="center"/>
          </w:tcPr>
          <w:p w14:paraId="3E263271">
            <w:pPr>
              <w:ind w:firstLine="420"/>
              <w:jc w:val="center"/>
              <w:rPr>
                <w:rFonts w:cs="Times New Roman"/>
                <w:color w:val="000000"/>
                <w:kern w:val="0"/>
                <w:szCs w:val="20"/>
                <w:shd w:val="clear" w:color="auto" w:fill="FFFFFF"/>
              </w:rPr>
            </w:pPr>
            <w:r>
              <w:rPr>
                <w:rFonts w:hint="eastAsia" w:cs="Times New Roman"/>
                <w:color w:val="000000"/>
                <w:kern w:val="0"/>
                <w:szCs w:val="20"/>
              </w:rPr>
              <w:t>Biomaker名称</w:t>
            </w:r>
          </w:p>
        </w:tc>
      </w:tr>
      <w:tr w14:paraId="30FA89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2AEBC548">
            <w:pPr>
              <w:ind w:firstLine="420"/>
              <w:jc w:val="center"/>
              <w:rPr>
                <w:rFonts w:cs="Times New Roman"/>
                <w:color w:val="000000"/>
                <w:kern w:val="0"/>
                <w:szCs w:val="20"/>
                <w:shd w:val="clear" w:color="auto" w:fill="FFFFFF"/>
              </w:rPr>
            </w:pPr>
            <w:r>
              <w:rPr>
                <w:rFonts w:cs="Times New Roman"/>
                <w:color w:val="000000"/>
                <w:kern w:val="0"/>
                <w:szCs w:val="20"/>
              </w:rPr>
              <w:t>Mean</w:t>
            </w:r>
          </w:p>
        </w:tc>
        <w:tc>
          <w:tcPr>
            <w:tcW w:w="7088" w:type="dxa"/>
            <w:tcBorders>
              <w:tl2br w:val="nil"/>
              <w:tr2bl w:val="nil"/>
            </w:tcBorders>
            <w:shd w:val="clear" w:color="auto" w:fill="FFFFFF"/>
            <w:vAlign w:val="center"/>
          </w:tcPr>
          <w:p w14:paraId="31FC23EA">
            <w:pPr>
              <w:ind w:firstLine="420"/>
              <w:jc w:val="center"/>
              <w:rPr>
                <w:rFonts w:cs="Times New Roman"/>
                <w:color w:val="000000"/>
                <w:kern w:val="0"/>
                <w:szCs w:val="20"/>
                <w:shd w:val="clear" w:color="auto" w:fill="FFFFFF"/>
              </w:rPr>
            </w:pPr>
            <w:r>
              <w:rPr>
                <w:rFonts w:hint="eastAsia" w:cs="Times New Roman"/>
                <w:color w:val="000000"/>
                <w:kern w:val="0"/>
                <w:szCs w:val="20"/>
              </w:rPr>
              <w:t>各组分丰度平均值中最大值的log10，如果平均丰度小于10的按照10来计算</w:t>
            </w:r>
          </w:p>
        </w:tc>
      </w:tr>
      <w:tr w14:paraId="08AE5B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16851D05">
            <w:pPr>
              <w:ind w:firstLine="420"/>
              <w:jc w:val="center"/>
              <w:rPr>
                <w:rFonts w:cs="Times New Roman"/>
                <w:color w:val="000000"/>
                <w:kern w:val="0"/>
                <w:szCs w:val="20"/>
                <w:shd w:val="clear" w:color="auto" w:fill="FFFFFF"/>
              </w:rPr>
            </w:pPr>
            <w:r>
              <w:rPr>
                <w:rFonts w:cs="Times New Roman"/>
                <w:color w:val="000000"/>
                <w:kern w:val="0"/>
                <w:szCs w:val="20"/>
              </w:rPr>
              <w:t>Group</w:t>
            </w:r>
          </w:p>
        </w:tc>
        <w:tc>
          <w:tcPr>
            <w:tcW w:w="7088" w:type="dxa"/>
            <w:tcBorders>
              <w:tl2br w:val="nil"/>
              <w:tr2bl w:val="nil"/>
            </w:tcBorders>
            <w:shd w:val="clear" w:color="auto" w:fill="FFFFFF"/>
            <w:vAlign w:val="center"/>
          </w:tcPr>
          <w:p w14:paraId="0BB70E5A">
            <w:pPr>
              <w:ind w:firstLine="420"/>
              <w:jc w:val="center"/>
              <w:rPr>
                <w:rFonts w:cs="Times New Roman"/>
                <w:color w:val="000000"/>
                <w:kern w:val="0"/>
                <w:szCs w:val="20"/>
                <w:shd w:val="clear" w:color="auto" w:fill="FFFFFF"/>
              </w:rPr>
            </w:pPr>
            <w:r>
              <w:rPr>
                <w:rFonts w:hint="eastAsia" w:cs="Times New Roman"/>
                <w:color w:val="000000"/>
                <w:kern w:val="0"/>
                <w:szCs w:val="20"/>
              </w:rPr>
              <w:t>差异物种富集的组名</w:t>
            </w:r>
          </w:p>
        </w:tc>
      </w:tr>
      <w:tr w14:paraId="448534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2402B26A">
            <w:pPr>
              <w:ind w:firstLine="420"/>
              <w:jc w:val="center"/>
              <w:rPr>
                <w:rFonts w:cs="Times New Roman"/>
                <w:color w:val="000000"/>
                <w:kern w:val="0"/>
                <w:szCs w:val="20"/>
                <w:shd w:val="clear" w:color="auto" w:fill="FFFFFF"/>
              </w:rPr>
            </w:pPr>
            <w:r>
              <w:rPr>
                <w:rFonts w:cs="Times New Roman"/>
                <w:color w:val="000000"/>
                <w:kern w:val="0"/>
                <w:szCs w:val="20"/>
              </w:rPr>
              <w:t>LDA</w:t>
            </w:r>
          </w:p>
        </w:tc>
        <w:tc>
          <w:tcPr>
            <w:tcW w:w="7088" w:type="dxa"/>
            <w:tcBorders>
              <w:tl2br w:val="nil"/>
              <w:tr2bl w:val="nil"/>
            </w:tcBorders>
            <w:shd w:val="clear" w:color="auto" w:fill="FFFFFF"/>
            <w:vAlign w:val="center"/>
          </w:tcPr>
          <w:p w14:paraId="168341EF">
            <w:pPr>
              <w:ind w:firstLine="420"/>
              <w:jc w:val="center"/>
              <w:rPr>
                <w:rFonts w:cs="Times New Roman"/>
                <w:color w:val="000000"/>
                <w:kern w:val="0"/>
                <w:szCs w:val="20"/>
                <w:shd w:val="clear" w:color="auto" w:fill="FFFFFF"/>
              </w:rPr>
            </w:pPr>
            <w:r>
              <w:rPr>
                <w:rFonts w:hint="eastAsia" w:cs="Times New Roman"/>
                <w:color w:val="000000"/>
                <w:kern w:val="0"/>
                <w:szCs w:val="20"/>
              </w:rPr>
              <w:t>LDA值</w:t>
            </w:r>
          </w:p>
        </w:tc>
      </w:tr>
      <w:tr w14:paraId="1A0FC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454996E4">
            <w:pPr>
              <w:ind w:firstLine="420"/>
              <w:jc w:val="center"/>
              <w:rPr>
                <w:rFonts w:cs="Times New Roman"/>
                <w:color w:val="000000"/>
                <w:kern w:val="0"/>
                <w:szCs w:val="20"/>
                <w:shd w:val="clear" w:color="auto" w:fill="FFFFFF"/>
              </w:rPr>
            </w:pPr>
            <w:r>
              <w:rPr>
                <w:rFonts w:cs="Times New Roman"/>
                <w:color w:val="000000"/>
                <w:kern w:val="0"/>
                <w:szCs w:val="20"/>
              </w:rPr>
              <w:t>Pvalue</w:t>
            </w:r>
          </w:p>
        </w:tc>
        <w:tc>
          <w:tcPr>
            <w:tcW w:w="7088" w:type="dxa"/>
            <w:tcBorders>
              <w:tl2br w:val="nil"/>
              <w:tr2bl w:val="nil"/>
            </w:tcBorders>
            <w:shd w:val="clear" w:color="auto" w:fill="FFFFFF"/>
            <w:vAlign w:val="center"/>
          </w:tcPr>
          <w:p w14:paraId="332E80CC">
            <w:pPr>
              <w:ind w:firstLine="420"/>
              <w:jc w:val="center"/>
              <w:rPr>
                <w:rFonts w:cs="Times New Roman"/>
                <w:color w:val="000000"/>
                <w:kern w:val="0"/>
                <w:szCs w:val="20"/>
                <w:shd w:val="clear" w:color="auto" w:fill="FFFFFF"/>
              </w:rPr>
            </w:pPr>
            <w:r>
              <w:rPr>
                <w:rFonts w:hint="eastAsia" w:cs="Times New Roman"/>
                <w:color w:val="000000"/>
                <w:kern w:val="0"/>
                <w:szCs w:val="20"/>
              </w:rPr>
              <w:t>Kruskal-Wallis秩和检验的值</w:t>
            </w:r>
          </w:p>
        </w:tc>
      </w:tr>
    </w:tbl>
    <w:p w14:paraId="6B860CDE">
      <w:pPr>
        <w:ind w:firstLine="420"/>
        <w:rPr>
          <w:rFonts w:cs="Times New Roman"/>
          <w:color w:val="0070C0"/>
        </w:rPr>
      </w:pPr>
      <w:r>
        <w:rPr>
          <w:rFonts w:cs="Times New Roman"/>
          <w:color w:val="0070C0"/>
        </w:rPr>
        <w:t>LDA值分布柱状图</w:t>
      </w:r>
      <w:r>
        <w:rPr>
          <w:rFonts w:hint="eastAsia" w:cs="Times New Roman"/>
          <w:color w:val="0070C0"/>
        </w:rPr>
        <w:t>如下图所示：</w:t>
      </w:r>
    </w:p>
    <w:p w14:paraId="10A88BE0">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2" name="图片 9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图片 96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D0AC128">
      <w:pPr>
        <w:pStyle w:val="32"/>
      </w:pPr>
      <w:r>
        <w:t>注：不同颜色的条形表示不同组别中LDA score大于2且在该组中丰度显著高的差异物种，柱状图的长度代表差异物种的影响大小（即LDA Score）。</w:t>
      </w:r>
      <w:r>
        <w:rPr>
          <w:rFonts w:hint="eastAsia"/>
        </w:rPr>
        <w:t>图中仅绘制L</w:t>
      </w:r>
      <w:r>
        <w:t>DA</w:t>
      </w:r>
      <w:r>
        <w:rPr>
          <w:rFonts w:hint="eastAsia"/>
        </w:rPr>
        <w:t>值&gt;</w:t>
      </w:r>
      <w:r>
        <w:t>2</w:t>
      </w:r>
      <w:r>
        <w:rPr>
          <w:rFonts w:hint="eastAsia"/>
        </w:rPr>
        <w:t>且排名前1</w:t>
      </w:r>
      <w:r>
        <w:t>00</w:t>
      </w:r>
      <w:r>
        <w:rPr>
          <w:rFonts w:hint="eastAsia"/>
        </w:rPr>
        <w:t>的物种，不足1</w:t>
      </w:r>
      <w:r>
        <w:t>00</w:t>
      </w:r>
      <w:r>
        <w:rPr>
          <w:rFonts w:hint="eastAsia"/>
        </w:rPr>
        <w:t>个绘制全部。</w:t>
      </w:r>
    </w:p>
    <w:p w14:paraId="10A0D88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-TaxStatistical_analysis/*/*/9.Lefse</w:t>
      </w:r>
    </w:p>
    <w:p w14:paraId="059F60FA">
      <w:pPr>
        <w:pStyle w:val="40"/>
      </w:pPr>
      <w:bookmarkStart w:id="154" w:name="_Toc27554"/>
      <w:r>
        <w:rPr>
          <w:rFonts w:hint="eastAsia"/>
          <w:lang w:val="en-US" w:eastAsia="zh-CN"/>
        </w:rPr>
        <w:t>8</w:t>
      </w:r>
      <w:r>
        <w:t xml:space="preserve">. </w:t>
      </w:r>
      <w:r>
        <w:rPr>
          <w:rFonts w:hint="eastAsia"/>
        </w:rPr>
        <w:t>功能预测</w:t>
      </w:r>
      <w:bookmarkEnd w:id="149"/>
      <w:bookmarkEnd w:id="150"/>
      <w:bookmarkEnd w:id="151"/>
      <w:bookmarkEnd w:id="152"/>
      <w:bookmarkEnd w:id="154"/>
    </w:p>
    <w:p w14:paraId="4E58178F">
      <w:pPr>
        <w:ind w:firstLine="420"/>
      </w:pPr>
      <w:r>
        <w:rPr>
          <w:rFonts w:hint="eastAsia"/>
        </w:rPr>
        <w:t>目前常用的功能数据库主要有：</w:t>
      </w:r>
    </w:p>
    <w:p w14:paraId="248CA064">
      <w:pPr>
        <w:ind w:firstLine="420"/>
      </w:pPr>
      <w:r>
        <w:rPr>
          <w:rFonts w:hint="eastAsia"/>
        </w:rPr>
        <w:t>Kyoto Encyclopedia of Genes and Genomes（KEGG）；</w:t>
      </w:r>
    </w:p>
    <w:p w14:paraId="41F1F531">
      <w:pPr>
        <w:ind w:firstLine="420"/>
      </w:pPr>
      <w:r>
        <w:rPr>
          <w:rFonts w:hint="eastAsia"/>
        </w:rPr>
        <w:t>Evolutionary genealogy of genes: Non-supervised Orthologous Groups（eggNOG）；</w:t>
      </w:r>
    </w:p>
    <w:p w14:paraId="7A5842F9">
      <w:pPr>
        <w:ind w:firstLine="420"/>
      </w:pPr>
      <w:r>
        <w:t>Carbohydrate-Active enzymes Database (CAZy)</w:t>
      </w:r>
    </w:p>
    <w:p w14:paraId="66C98FCD">
      <w:pPr>
        <w:ind w:firstLine="420"/>
      </w:pPr>
      <w:r>
        <w:rPr>
          <w:rFonts w:hint="eastAsia"/>
        </w:rPr>
        <w:t>Gene Ontology (GO)</w:t>
      </w:r>
    </w:p>
    <w:p w14:paraId="5D9EA501">
      <w:pPr>
        <w:ind w:firstLine="420"/>
      </w:pPr>
      <w:r>
        <w:rPr>
          <w:rFonts w:hint="eastAsia"/>
        </w:rPr>
        <w:t>KEGG数据库于1995年由Kanehisa Laboratories推出0.1版，目前发展为一个综合性数据库，其中最核心的为KEGG PATHWAY和KEGG ORTHOLOGY数据库。在KEGG ORTHOLOGY数据库中，将行使相同功能的基因聚在一起，称为Ortholog Groups（KO entries），每个KO包含多个基因信息，并在一至多个pathway中发挥作用。而在KEGG PATHWAY数据库中，将生物代谢通路划分为7类，分别为：细胞过程（Cellular Processes）、环境信息处理（Environmental Information Processing）、遗传信息处理（Genetic Information Processing）、人类疾病（Human Diseases）、新陈代谢（Metabolism）、生物体系统（Organismal Systems）、药物发展（Drug Development），其中每类又被系统分类为二、三、四层。第二层目前包括有43种子pathway；第三层即为其代谢通路图；第四层为每个代谢通路图的具体注释信息。</w:t>
      </w:r>
    </w:p>
    <w:p w14:paraId="2A2D0908">
      <w:pPr>
        <w:ind w:firstLine="420"/>
      </w:pPr>
      <w:r>
        <w:rPr>
          <w:rFonts w:hint="eastAsia"/>
        </w:rPr>
        <w:t>eggNOG数据库是利用Smith-Waterman比对算法对构建的基因直系同源簇（Orthologous Groups）进行功能注释，eggNOG V4.1涵盖了2031个物种的基因，构建了约19万个Orthologous Groups。</w:t>
      </w:r>
    </w:p>
    <w:p w14:paraId="1CC04070">
      <w:pPr>
        <w:ind w:firstLine="420"/>
      </w:pPr>
      <w:r>
        <w:rPr>
          <w:rFonts w:hint="eastAsia"/>
        </w:rPr>
        <w:t>CAZy数据库是研究碳水化合物酶的专业级数据库，主要涵盖6大功能类：糖苷水解酶（Glycoside Hydrolases，GHs），糖基转移酶（Glycosyl Transferases，GTs），多糖裂合酶（Polysaccharide Lyases，PLs），碳水化合物酯酶（Carbohydrate Esterases，CEs），辅助氧化还原酶(Auxiliary Activities，AAs)和碳水化合物结合模块（Carbohydrate-Binding Modules，CBMs）。</w:t>
      </w:r>
    </w:p>
    <w:p w14:paraId="1C263219">
      <w:pPr>
        <w:ind w:firstLine="420"/>
      </w:pPr>
      <w:r>
        <w:rPr>
          <w:rFonts w:hint="eastAsia"/>
        </w:rPr>
        <w:t>GO是基因本体联合会（Gene Ontology Consortium）所建立的数据库，旨在建立一个适用于各种物种的，对基因和蛋白功能进行限定和描述的，并能随着研究不断深入而更新的语义词汇标准，适用于各物种。GO按照生物过程（Biology Process），分子功能（Molecular Function）和细胞组成（Celular component）对基因进行注释和分类。通过GO富集分析可以粗略了解差异基因富集在哪些生物学功能、途径或者细胞定位。</w:t>
      </w:r>
    </w:p>
    <w:p w14:paraId="005CAD7F">
      <w:pPr>
        <w:ind w:firstLine="420"/>
      </w:pPr>
      <w:r>
        <w:rPr>
          <w:rFonts w:hint="eastAsia"/>
        </w:rPr>
        <w:t>功能注释基本步骤：</w:t>
      </w:r>
    </w:p>
    <w:p w14:paraId="7E788E64">
      <w:pPr>
        <w:ind w:firstLine="420"/>
      </w:pPr>
      <w:r>
        <w:rPr>
          <w:rFonts w:hint="eastAsia"/>
        </w:rPr>
        <w:t>[1].</w:t>
      </w:r>
      <w:r>
        <w:t xml:space="preserve"> </w:t>
      </w:r>
      <w:r>
        <w:rPr>
          <w:rFonts w:hint="eastAsia"/>
        </w:rPr>
        <w:t>使用</w:t>
      </w:r>
      <w:r>
        <w:t>eggNOG-mapper</w:t>
      </w:r>
      <w:r>
        <w:rPr>
          <w:rFonts w:hint="eastAsia"/>
        </w:rPr>
        <w:t>软件将非冗余基因与各功能数据库进行比对，取e&lt;1e-5的注释，筛选具有最高序列相似性的蛋白，从而得到功能注释信息；</w:t>
      </w:r>
    </w:p>
    <w:p w14:paraId="71FB8771">
      <w:pPr>
        <w:ind w:firstLine="420"/>
      </w:pPr>
      <w:r>
        <w:rPr>
          <w:rFonts w:hint="eastAsia"/>
        </w:rPr>
        <w:t>[</w:t>
      </w:r>
      <w:r>
        <w:t>2</w:t>
      </w:r>
      <w:r>
        <w:rPr>
          <w:rFonts w:hint="eastAsia"/>
        </w:rPr>
        <w:t>].</w:t>
      </w:r>
      <w:r>
        <w:t xml:space="preserve"> </w:t>
      </w:r>
      <w:r>
        <w:rPr>
          <w:rFonts w:hint="eastAsia"/>
        </w:rPr>
        <w:t>从比对结果出发，统计不同功能层级的相对丰度（各功能层级的相对丰度等于注释为该功能层级的基因的相对丰度之和）。</w:t>
      </w:r>
    </w:p>
    <w:p w14:paraId="5987DEAE">
      <w:pPr>
        <w:pStyle w:val="41"/>
      </w:pPr>
      <w:bookmarkStart w:id="155" w:name="_Toc17265"/>
      <w:bookmarkStart w:id="156" w:name="_Toc3514"/>
      <w:bookmarkStart w:id="157" w:name="_Toc3422"/>
      <w:bookmarkStart w:id="158" w:name="_Toc28038"/>
      <w:bookmarkStart w:id="159" w:name="_Toc9921"/>
      <w:r>
        <w:rPr>
          <w:rFonts w:hint="eastAsia"/>
          <w:lang w:val="en-US" w:eastAsia="zh-CN"/>
        </w:rPr>
        <w:t>8</w:t>
      </w:r>
      <w:r>
        <w:t xml:space="preserve">.1 </w:t>
      </w:r>
      <w:bookmarkEnd w:id="155"/>
      <w:bookmarkEnd w:id="156"/>
      <w:bookmarkEnd w:id="157"/>
      <w:bookmarkEnd w:id="158"/>
      <w:r>
        <w:rPr>
          <w:rFonts w:hint="eastAsia"/>
        </w:rPr>
        <w:t>功能相对丰度概况</w:t>
      </w:r>
      <w:bookmarkEnd w:id="159"/>
    </w:p>
    <w:p w14:paraId="4C7690F4">
      <w:pPr>
        <w:ind w:firstLine="420"/>
        <w:rPr>
          <w:bCs/>
        </w:rPr>
      </w:pPr>
      <w:r>
        <w:rPr>
          <w:rFonts w:hint="eastAsia"/>
          <w:bCs/>
        </w:rPr>
        <w:t>根据基因在各个数据库中的分类信息，结合基因在各个样品中的丰度表，可以得到各数据库在不同层级上的相对丰度信息。其中，KEGG分为三个层次（第一层为生物代谢通路，第二层为子功能，第三层为代谢通路图），eggNOG分为三个层次（第一层为二级功能分类，第二层为功能描述，第三层为eggNOG编号），CAZy共分为两个层次（第一层为六大功能类，第二层为子功能）。</w:t>
      </w:r>
    </w:p>
    <w:p w14:paraId="7BA3AF03">
      <w:pPr>
        <w:ind w:firstLine="420"/>
        <w:rPr>
          <w:bCs/>
        </w:rPr>
      </w:pPr>
      <w:r>
        <w:rPr>
          <w:rFonts w:hint="eastAsia"/>
          <w:bCs/>
        </w:rPr>
        <w:t>利用各数据库的相对丰度表，绘制出各个数据库中，各样品对应的在不同层级上的统计图。使用R软件，对各样本中功能组成绘制柱状图。</w:t>
      </w:r>
    </w:p>
    <w:p w14:paraId="517E0624">
      <w:pPr>
        <w:ind w:firstLine="420"/>
        <w:rPr>
          <w:bCs/>
        </w:rPr>
      </w:pPr>
      <w:r>
        <w:rPr>
          <w:rFonts w:hint="eastAsia"/>
          <w:bCs/>
        </w:rPr>
        <w:t>功能丰度柱形图如下所示：</w:t>
      </w:r>
    </w:p>
    <w:p w14:paraId="6ABE7D40">
      <w:pPr>
        <w:ind w:firstLine="420"/>
        <w:jc w:val="center"/>
        <w:rPr>
          <w:bCs/>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3" name="图片 96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图片 96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8D7E8DA">
      <w:pPr>
        <w:pStyle w:val="32"/>
      </w:pPr>
      <w:r>
        <w:rPr>
          <w:rFonts w:hint="eastAsia"/>
        </w:rPr>
        <w:t>注：以上图片为KEGG</w:t>
      </w:r>
      <w:r>
        <w:t>/eggnog</w:t>
      </w:r>
      <w:r>
        <w:rPr>
          <w:rFonts w:hint="eastAsia"/>
        </w:rPr>
        <w:t>/CAZy</w:t>
      </w:r>
      <w:r>
        <w:t>/GO</w:t>
      </w:r>
      <w:r>
        <w:rPr>
          <w:rFonts w:hint="eastAsia"/>
        </w:rPr>
        <w:t>的结果展示。横坐标为不同的样本，不同颜色代表不同的功能类别，纵坐标为功能丰度值。</w:t>
      </w:r>
    </w:p>
    <w:p w14:paraId="7E0CBC8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-FunctionAnnotation/*/1.Barplot</w:t>
      </w:r>
    </w:p>
    <w:p w14:paraId="49AA4065">
      <w:pPr>
        <w:ind w:firstLine="420"/>
      </w:pPr>
      <w:r>
        <w:rPr>
          <w:rFonts w:hint="eastAsia"/>
        </w:rPr>
        <w:t>功能丰度热图如下所示：</w:t>
      </w:r>
    </w:p>
    <w:p w14:paraId="23752E25">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4" name="图片 96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图片 96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17817E8">
      <w:pPr>
        <w:pStyle w:val="32"/>
        <w:rPr>
          <w:shd w:val="clear" w:color="auto" w:fill="FFFFFF"/>
        </w:rPr>
      </w:pPr>
      <w:r>
        <w:rPr>
          <w:rFonts w:hint="eastAsia"/>
        </w:rPr>
        <w:t>注：以上图片为KEGG</w:t>
      </w:r>
      <w:r>
        <w:t>/eggnog</w:t>
      </w:r>
      <w:r>
        <w:rPr>
          <w:rFonts w:hint="eastAsia"/>
        </w:rPr>
        <w:t>/CAZy</w:t>
      </w:r>
      <w:r>
        <w:t>/GO</w:t>
      </w:r>
      <w:r>
        <w:rPr>
          <w:rFonts w:hint="eastAsia"/>
        </w:rPr>
        <w:t>的结果展示。图中列代表不同的样本，行代表不同层级的功能（选取相对丰度排名前5</w:t>
      </w:r>
      <w:r>
        <w:t>0</w:t>
      </w:r>
      <w:r>
        <w:rPr>
          <w:rFonts w:hint="eastAsia"/>
        </w:rPr>
        <w:t>的功能，不足5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573A10A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-FunctionAnnotation/*/2.Heatmap</w:t>
      </w:r>
    </w:p>
    <w:p w14:paraId="699D8353">
      <w:pPr>
        <w:pStyle w:val="41"/>
      </w:pPr>
      <w:bookmarkStart w:id="160" w:name="_Toc10783"/>
      <w:r>
        <w:rPr>
          <w:rFonts w:hint="eastAsia"/>
          <w:lang w:val="en-US" w:eastAsia="zh-CN"/>
        </w:rPr>
        <w:t>8</w:t>
      </w:r>
      <w:r>
        <w:t xml:space="preserve">.2 </w:t>
      </w:r>
      <w:r>
        <w:rPr>
          <w:rFonts w:hint="eastAsia"/>
        </w:rPr>
        <w:t>基于功能丰度的降维分析</w:t>
      </w:r>
      <w:bookmarkEnd w:id="160"/>
    </w:p>
    <w:p w14:paraId="5AC3EAE1">
      <w:pPr>
        <w:pStyle w:val="43"/>
      </w:pPr>
      <w:bookmarkStart w:id="161" w:name="_Toc18771"/>
      <w:r>
        <w:rPr>
          <w:rFonts w:hint="eastAsia"/>
          <w:lang w:val="en-US" w:eastAsia="zh-CN"/>
        </w:rPr>
        <w:t>8</w:t>
      </w:r>
      <w:r>
        <w:t>.2.1 PCA</w:t>
      </w:r>
      <w:r>
        <w:rPr>
          <w:rFonts w:hint="eastAsia"/>
        </w:rPr>
        <w:t>分析</w:t>
      </w:r>
      <w:bookmarkEnd w:id="161"/>
    </w:p>
    <w:p w14:paraId="2916B0E0">
      <w:pPr>
        <w:ind w:firstLine="420"/>
        <w:rPr>
          <w:rFonts w:cs="Times New Roman"/>
        </w:rPr>
      </w:pPr>
      <w:r>
        <w:rPr>
          <w:rFonts w:hint="eastAsia" w:cs="Times New Roman"/>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668C53DE">
      <w:pPr>
        <w:ind w:firstLine="420"/>
        <w:rPr>
          <w:rFonts w:cs="Times New Roman"/>
          <w:color w:val="0070C0"/>
        </w:rPr>
      </w:pPr>
      <w:r>
        <w:rPr>
          <w:rFonts w:hint="eastAsia" w:cs="Times New Roman"/>
          <w:color w:val="0070C0"/>
        </w:rPr>
        <w:t>基于功能丰度的P</w:t>
      </w:r>
      <w:r>
        <w:rPr>
          <w:rFonts w:cs="Times New Roman"/>
          <w:color w:val="0070C0"/>
        </w:rPr>
        <w:t>CA</w:t>
      </w:r>
      <w:r>
        <w:rPr>
          <w:rFonts w:hint="eastAsia" w:cs="Times New Roman"/>
          <w:color w:val="0070C0"/>
        </w:rPr>
        <w:t>分析如下图所示：</w:t>
      </w:r>
    </w:p>
    <w:p w14:paraId="307A6B54">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5" name="图片 9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图片 96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3743CC5">
      <w:pPr>
        <w:pStyle w:val="32"/>
      </w:pPr>
      <w:r>
        <w:rPr>
          <w:rFonts w:hint="eastAsia"/>
        </w:rPr>
        <w:t>注：点表示各样品的功能基因组成；横坐标表示第一主成分及其对样品差异的贡献率；纵坐标表示第二主成分及其对样品差异的贡献率</w:t>
      </w:r>
    </w:p>
    <w:p w14:paraId="7D4C47CD">
      <w:pPr>
        <w:ind w:firstLine="420"/>
        <w:rPr>
          <w:rFonts w:cs="Times New Roman"/>
          <w:color w:val="000000" w:themeColor="text1"/>
          <w14:textFill>
            <w14:solidFill>
              <w14:schemeClr w14:val="tx1"/>
            </w14:solidFill>
          </w14:textFill>
        </w:rPr>
      </w:pPr>
      <w:bookmarkStart w:id="162" w:name="_Toc1452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-FunctionAnnotation/*/3.PCA</w:t>
      </w:r>
    </w:p>
    <w:p w14:paraId="726B7570">
      <w:pPr>
        <w:pStyle w:val="43"/>
      </w:pPr>
      <w:r>
        <w:rPr>
          <w:rFonts w:hint="eastAsia"/>
          <w:lang w:val="en-US" w:eastAsia="zh-CN"/>
        </w:rPr>
        <w:t>8</w:t>
      </w:r>
      <w:r>
        <w:t>.2.2 PC</w:t>
      </w:r>
      <w:r>
        <w:rPr>
          <w:rFonts w:hint="eastAsia"/>
        </w:rPr>
        <w:t>o</w:t>
      </w:r>
      <w:r>
        <w:t>A</w:t>
      </w:r>
      <w:r>
        <w:rPr>
          <w:rFonts w:hint="eastAsia"/>
        </w:rPr>
        <w:t>分析</w:t>
      </w:r>
      <w:bookmarkEnd w:id="162"/>
    </w:p>
    <w:p w14:paraId="1F852E2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analysis，PCoA）是一种最经典的非约束排序（Classical Multidimensional Scaling，cMDScale）分析方法。它通过将样本距离矩阵经过投影后，在低维度空间进行展开，并最大限度地保留原始样本的距离关系。PCoA以样本距离为整体考虑，相比于主成分分析（Principal components analysis，PCA），更符合生态学数据特征，作为排序分析手段，更为推荐使用</w:t>
      </w:r>
    </w:p>
    <w:p w14:paraId="5348F16D">
      <w:pPr>
        <w:ind w:firstLine="420"/>
        <w:rPr>
          <w:rFonts w:cs="Times New Roman"/>
          <w:color w:val="0070C0"/>
        </w:rPr>
      </w:pPr>
      <w:r>
        <w:rPr>
          <w:rFonts w:hint="eastAsia" w:cs="Times New Roman"/>
          <w:color w:val="0070C0"/>
        </w:rPr>
        <w:t>基于功能丰度的P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分析如下图所示：</w:t>
      </w:r>
    </w:p>
    <w:p w14:paraId="3062B937">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6" name="图片 9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图片 96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6684BEB">
      <w:pPr>
        <w:pStyle w:val="32"/>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7A356782">
      <w:pPr>
        <w:ind w:firstLine="420"/>
        <w:rPr>
          <w:rFonts w:cs="Times New Roman"/>
          <w:color w:val="000000" w:themeColor="text1"/>
          <w14:textFill>
            <w14:solidFill>
              <w14:schemeClr w14:val="tx1"/>
            </w14:solidFill>
          </w14:textFill>
        </w:rPr>
      </w:pPr>
      <w:bookmarkStart w:id="163" w:name="_Toc1765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-FunctionAnnotation/*/4.PCoA</w:t>
      </w:r>
    </w:p>
    <w:p w14:paraId="6DD0F111">
      <w:pPr>
        <w:pStyle w:val="43"/>
      </w:pPr>
      <w:r>
        <w:rPr>
          <w:rFonts w:hint="eastAsia"/>
          <w:lang w:val="en-US" w:eastAsia="zh-CN"/>
        </w:rPr>
        <w:t>8</w:t>
      </w:r>
      <w:r>
        <w:t>.2.3 NMDS</w:t>
      </w:r>
      <w:r>
        <w:rPr>
          <w:rFonts w:hint="eastAsia"/>
        </w:rPr>
        <w:t>分析</w:t>
      </w:r>
      <w:bookmarkEnd w:id="163"/>
    </w:p>
    <w:p w14:paraId="03BD095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61C4BAA">
      <w:pPr>
        <w:ind w:firstLine="420"/>
        <w:rPr>
          <w:rFonts w:cs="Times New Roman"/>
          <w:color w:val="0070C0"/>
        </w:rPr>
      </w:pPr>
      <w:r>
        <w:rPr>
          <w:rFonts w:hint="eastAsia" w:cs="Times New Roman"/>
          <w:color w:val="0070C0"/>
        </w:rPr>
        <w:t>基于功能丰度的</w:t>
      </w:r>
      <w:r>
        <w:rPr>
          <w:rFonts w:cs="Times New Roman"/>
          <w:color w:val="0070C0"/>
        </w:rPr>
        <w:t>NMDS</w:t>
      </w:r>
      <w:r>
        <w:rPr>
          <w:rFonts w:hint="eastAsia" w:cs="Times New Roman"/>
          <w:color w:val="0070C0"/>
        </w:rPr>
        <w:t>分析如下图所示：</w:t>
      </w:r>
    </w:p>
    <w:p w14:paraId="068F724E">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7" name="图片 9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图片 96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820E0FE">
      <w:pPr>
        <w:pStyle w:val="32"/>
      </w:pPr>
      <w:r>
        <w:rPr>
          <w:rFonts w:hint="eastAsia"/>
        </w:rPr>
        <w:t>注：点表示各样品的功能基因组成；横坐标表示第一主成分及其对样品差异的贡献率；纵坐标表示第二主成分及其对样品差异的贡献率</w:t>
      </w:r>
    </w:p>
    <w:p w14:paraId="3064552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-FunctionAnnotation/*/5.NMDS</w:t>
      </w:r>
    </w:p>
    <w:p w14:paraId="14229933">
      <w:pPr>
        <w:pStyle w:val="41"/>
      </w:pPr>
      <w:bookmarkStart w:id="164" w:name="_Toc15049"/>
      <w:r>
        <w:rPr>
          <w:rFonts w:hint="eastAsia"/>
          <w:lang w:val="en-US" w:eastAsia="zh-CN"/>
        </w:rPr>
        <w:t>8</w:t>
      </w:r>
      <w:r>
        <w:t xml:space="preserve">.3 </w:t>
      </w:r>
      <w:r>
        <w:rPr>
          <w:rFonts w:hint="eastAsia"/>
        </w:rPr>
        <w:t>基于功能丰度的组间差异分析</w:t>
      </w:r>
      <w:bookmarkEnd w:id="164"/>
    </w:p>
    <w:p w14:paraId="0E5BF493">
      <w:pPr>
        <w:pStyle w:val="43"/>
      </w:pPr>
      <w:bookmarkStart w:id="165" w:name="_Toc625"/>
      <w:r>
        <w:rPr>
          <w:rFonts w:hint="eastAsia"/>
          <w:lang w:val="en-US" w:eastAsia="zh-CN"/>
        </w:rPr>
        <w:t>8</w:t>
      </w:r>
      <w:r>
        <w:t>.3.1 ANOVA</w:t>
      </w:r>
      <w:r>
        <w:rPr>
          <w:rFonts w:hint="eastAsia"/>
        </w:rPr>
        <w:t>分析</w:t>
      </w:r>
      <w:bookmarkEnd w:id="165"/>
    </w:p>
    <w:p w14:paraId="78C263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5482269D">
      <w:pPr>
        <w:ind w:firstLine="420"/>
        <w:rPr>
          <w:rFonts w:cs="Times New Roman"/>
          <w:color w:val="0070C0"/>
        </w:rPr>
      </w:pPr>
      <w:r>
        <w:rPr>
          <w:rFonts w:hint="eastAsia" w:cs="Times New Roman"/>
          <w:color w:val="0070C0"/>
        </w:rPr>
        <w:t>基于功能丰度的</w:t>
      </w:r>
      <w:r>
        <w:rPr>
          <w:rFonts w:cs="Times New Roman"/>
          <w:color w:val="0070C0"/>
        </w:rPr>
        <w:t>ANOVA</w:t>
      </w:r>
      <w:r>
        <w:rPr>
          <w:rFonts w:hint="eastAsia" w:cs="Times New Roman"/>
          <w:color w:val="0070C0"/>
        </w:rPr>
        <w:t>分析差异柱状图：</w:t>
      </w:r>
    </w:p>
    <w:p w14:paraId="20104940">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8" name="图片 9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图片 96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BD6EB87">
      <w:pPr>
        <w:pStyle w:val="32"/>
      </w:pPr>
      <w:r>
        <w:rPr>
          <w:rFonts w:hint="eastAsia"/>
        </w:rPr>
        <w:t>注：横坐标分组，不同颜色代表不同的分组，纵坐标为不同的功能丰度</w:t>
      </w:r>
    </w:p>
    <w:p w14:paraId="6F165442">
      <w:pPr>
        <w:ind w:firstLine="420"/>
        <w:rPr>
          <w:rFonts w:cs="Times New Roman"/>
          <w:color w:val="000000" w:themeColor="text1"/>
          <w14:textFill>
            <w14:solidFill>
              <w14:schemeClr w14:val="tx1"/>
            </w14:solidFill>
          </w14:textFill>
        </w:rPr>
      </w:pPr>
      <w:bookmarkStart w:id="166" w:name="_Toc388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-FunctionStatistical_analysis/*/1.ANOVA</w:t>
      </w:r>
    </w:p>
    <w:p w14:paraId="46AB6D59">
      <w:pPr>
        <w:pStyle w:val="43"/>
      </w:pPr>
      <w:r>
        <w:rPr>
          <w:rFonts w:hint="eastAsia"/>
          <w:lang w:val="en-US" w:eastAsia="zh-CN"/>
        </w:rPr>
        <w:t>8</w:t>
      </w:r>
      <w:r>
        <w:t xml:space="preserve">.3.2 </w:t>
      </w:r>
      <w:r>
        <w:rPr>
          <w:rFonts w:hint="eastAsia"/>
        </w:rPr>
        <w:t>秩和检验</w:t>
      </w:r>
      <w:bookmarkEnd w:id="166"/>
    </w:p>
    <w:p w14:paraId="398ED57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ilcoxon秩和检验，多组独立样本采用Kruskal-Wallis秩和检验。</w:t>
      </w:r>
    </w:p>
    <w:p w14:paraId="379FD973">
      <w:pPr>
        <w:ind w:firstLine="420"/>
        <w:rPr>
          <w:rFonts w:cs="Times New Roman"/>
          <w:color w:val="0070C0"/>
        </w:rPr>
      </w:pPr>
      <w:r>
        <w:rPr>
          <w:rFonts w:hint="eastAsia" w:cs="Times New Roman"/>
          <w:color w:val="0070C0"/>
        </w:rPr>
        <w:t>基于功能丰度的</w:t>
      </w:r>
      <w:r>
        <w:rPr>
          <w:rFonts w:hint="eastAsia" w:cs="Times New Roman"/>
          <w:color w:val="0070C0"/>
          <w:shd w:val="clear" w:color="auto" w:fill="FFFFFF"/>
        </w:rPr>
        <w:t>秩和检验差异柱状图：</w:t>
      </w:r>
    </w:p>
    <w:p w14:paraId="0A65D27E">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0" name="图片 9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图片 97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F48EAB6">
      <w:pPr>
        <w:pStyle w:val="32"/>
      </w:pPr>
      <w:r>
        <w:rPr>
          <w:rFonts w:hint="eastAsia"/>
        </w:rPr>
        <w:t>注：横坐标分组，不同颜色代表不同的分组，纵坐标为不同的功能丰度</w:t>
      </w:r>
    </w:p>
    <w:p w14:paraId="2B613823">
      <w:pPr>
        <w:ind w:firstLine="420"/>
        <w:rPr>
          <w:rFonts w:cs="Times New Roman"/>
          <w:color w:val="000000" w:themeColor="text1"/>
          <w14:textFill>
            <w14:solidFill>
              <w14:schemeClr w14:val="tx1"/>
            </w14:solidFill>
          </w14:textFill>
        </w:rPr>
      </w:pPr>
      <w:bookmarkStart w:id="167" w:name="_Toc23965"/>
      <w:bookmarkStart w:id="168" w:name="_Toc5685"/>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-FunctionStatistical_analysis/*/2.wilcoxon</w:t>
      </w:r>
    </w:p>
    <w:bookmarkEnd w:id="167"/>
    <w:p w14:paraId="4BB35F78">
      <w:pPr>
        <w:pStyle w:val="43"/>
      </w:pPr>
      <w:r>
        <w:rPr>
          <w:rFonts w:hint="eastAsia"/>
          <w:lang w:val="en-US" w:eastAsia="zh-CN"/>
        </w:rPr>
        <w:t>8</w:t>
      </w:r>
      <w:r>
        <w:t>.3.3 Stamp</w:t>
      </w:r>
      <w:r>
        <w:rPr>
          <w:rFonts w:hint="eastAsia"/>
        </w:rPr>
        <w:t>分析</w:t>
      </w:r>
      <w:bookmarkEnd w:id="168"/>
    </w:p>
    <w:p w14:paraId="3B6266BF">
      <w:pPr>
        <w:ind w:firstLine="420"/>
        <w:rPr>
          <w:rFonts w:cs="Times New Roman"/>
          <w:color w:val="0070C0"/>
        </w:rPr>
      </w:pPr>
      <w:r>
        <w:rPr>
          <w:rFonts w:hint="eastAsia" w:cs="Times New Roman"/>
          <w:color w:val="0070C0"/>
        </w:rPr>
        <w:t>基于功能丰度的stamp差异图：</w:t>
      </w:r>
    </w:p>
    <w:p w14:paraId="490C734B">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1" name="图片 9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图片 97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DAFF024">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619C847F">
      <w:pPr>
        <w:ind w:firstLine="420"/>
        <w:rPr>
          <w:rFonts w:cs="Times New Roman"/>
          <w:color w:val="000000" w:themeColor="text1"/>
          <w14:textFill>
            <w14:solidFill>
              <w14:schemeClr w14:val="tx1"/>
            </w14:solidFill>
          </w14:textFill>
        </w:rPr>
      </w:pPr>
      <w:bookmarkStart w:id="169" w:name="_Toc17043"/>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-FunctionStatistical_analysis/*/3.Stamp</w:t>
      </w:r>
    </w:p>
    <w:p w14:paraId="4C93D9DF">
      <w:pPr>
        <w:pStyle w:val="43"/>
      </w:pPr>
      <w:r>
        <w:rPr>
          <w:rFonts w:hint="eastAsia"/>
          <w:lang w:val="en-US" w:eastAsia="zh-CN"/>
        </w:rPr>
        <w:t>8</w:t>
      </w:r>
      <w:r>
        <w:t>.3.4 Random_Forest</w:t>
      </w:r>
      <w:r>
        <w:rPr>
          <w:rFonts w:hint="eastAsia"/>
        </w:rPr>
        <w:t>分析</w:t>
      </w:r>
      <w:bookmarkEnd w:id="169"/>
    </w:p>
    <w:p w14:paraId="5F1A22C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随机森林是一个高度灵活的机器学习方法，通过集成学习的思想将多棵树集成的一种算法，基本单元是决策树，而本质属于机器学习的一大分支-集成学习（Ensemble Learning）方法。每棵决策树均为一个分类器（假设针对的是分类问题），对于一个输入样本，N棵树会有N个分类结果。而随机森林集成了所有的分类投票结果，将投票次数最多的类别指定为最终的输出，是一种最简单的Bagging思想。</w:t>
      </w:r>
    </w:p>
    <w:p w14:paraId="08B4A27B">
      <w:pPr>
        <w:ind w:firstLine="420"/>
        <w:rPr>
          <w:rFonts w:cs="Times New Roman"/>
          <w:color w:val="0070C0"/>
        </w:rPr>
      </w:pPr>
      <w:r>
        <w:rPr>
          <w:rFonts w:hint="eastAsia" w:cs="Times New Roman"/>
          <w:color w:val="0070C0"/>
        </w:rPr>
        <w:t>功能通路的随机森林分析图（top</w:t>
      </w:r>
      <w:r>
        <w:rPr>
          <w:rFonts w:cs="Times New Roman"/>
          <w:color w:val="0070C0"/>
        </w:rPr>
        <w:t>10</w:t>
      </w:r>
      <w:r>
        <w:rPr>
          <w:rFonts w:hint="eastAsia" w:cs="Times New Roman"/>
          <w:color w:val="0070C0"/>
        </w:rPr>
        <w:t>）：</w:t>
      </w:r>
    </w:p>
    <w:p w14:paraId="14CA0408">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2" name="图片 9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图片 97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50954FD">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720E3C95">
      <w:pPr>
        <w:ind w:firstLine="420"/>
        <w:rPr>
          <w:rFonts w:cs="Times New Roman"/>
          <w:color w:val="000000" w:themeColor="text1"/>
          <w14:textFill>
            <w14:solidFill>
              <w14:schemeClr w14:val="tx1"/>
            </w14:solidFill>
          </w14:textFill>
        </w:rPr>
      </w:pPr>
      <w:bookmarkStart w:id="170" w:name="_Toc320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-FunctionStatistical_analysis/*/4.Random_Forest</w:t>
      </w:r>
    </w:p>
    <w:p w14:paraId="273715B1">
      <w:pPr>
        <w:pStyle w:val="43"/>
      </w:pPr>
      <w:r>
        <w:rPr>
          <w:rFonts w:hint="eastAsia"/>
          <w:lang w:val="en-US" w:eastAsia="zh-CN"/>
        </w:rPr>
        <w:t>8</w:t>
      </w:r>
      <w:r>
        <w:t>.3.5 metagenomeSeq</w:t>
      </w:r>
      <w:r>
        <w:rPr>
          <w:rFonts w:hint="eastAsia"/>
        </w:rPr>
        <w:t>分析</w:t>
      </w:r>
      <w:bookmarkEnd w:id="170"/>
    </w:p>
    <w:p w14:paraId="074800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w:t>
      </w:r>
    </w:p>
    <w:p w14:paraId="705AD402">
      <w:pPr>
        <w:ind w:firstLine="420"/>
        <w:rPr>
          <w:rFonts w:cs="Times New Roman"/>
          <w:color w:val="0070C0"/>
        </w:rPr>
      </w:pPr>
      <w:r>
        <w:rPr>
          <w:rFonts w:hint="eastAsia" w:cs="Times New Roman"/>
          <w:color w:val="0070C0"/>
        </w:rPr>
        <w:t>显著差异功能热图如下：</w:t>
      </w:r>
    </w:p>
    <w:p w14:paraId="6784325B">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3" name="图片 9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图片 97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58CC0F9">
      <w:pPr>
        <w:pStyle w:val="32"/>
      </w:pPr>
      <w:r>
        <w:rPr>
          <w:rFonts w:hint="eastAsia"/>
        </w:rPr>
        <w:t>注：每一列表示不同的样本，每一行表示有差异的不同层级的功能，图中的颜色代表了功能丰度的大小，颜色由蓝色到红色渐变表示功能丰度由小到大。</w:t>
      </w:r>
    </w:p>
    <w:p w14:paraId="13D3EA39">
      <w:pPr>
        <w:ind w:firstLine="420"/>
        <w:rPr>
          <w:rFonts w:cs="Times New Roman"/>
          <w:color w:val="000000" w:themeColor="text1"/>
          <w14:textFill>
            <w14:solidFill>
              <w14:schemeClr w14:val="tx1"/>
            </w14:solidFill>
          </w14:textFill>
        </w:rPr>
      </w:pPr>
      <w:bookmarkStart w:id="171" w:name="_Toc3067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-FunctionStatistical_analysis/*/5.metagenomeSeq</w:t>
      </w:r>
    </w:p>
    <w:p w14:paraId="43CD5769">
      <w:pPr>
        <w:pStyle w:val="43"/>
      </w:pPr>
      <w:r>
        <w:rPr>
          <w:rFonts w:hint="eastAsia"/>
          <w:lang w:val="en-US" w:eastAsia="zh-CN"/>
        </w:rPr>
        <w:t>8</w:t>
      </w:r>
      <w:r>
        <w:t>.3.6 Anosim</w:t>
      </w:r>
      <w:r>
        <w:rPr>
          <w:rFonts w:hint="eastAsia"/>
        </w:rPr>
        <w:t>分析</w:t>
      </w:r>
      <w:bookmarkEnd w:id="171"/>
    </w:p>
    <w:p w14:paraId="379F34A8">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Anosim相似性分析是一种非参数检验，用来检验组间（两组或多组）的差异是否显著大于组内差异，从而判断分组是否有意义，通过计算不同功能通路间的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71B3DEE1">
      <w:pPr>
        <w:ind w:firstLine="420"/>
        <w:rPr>
          <w:rFonts w:cs="Times New Roman"/>
          <w:color w:val="000000" w:themeColor="text1"/>
          <w14:textFill>
            <w14:solidFill>
              <w14:schemeClr w14:val="tx1"/>
            </w14:solidFill>
          </w14:textFill>
        </w:rPr>
      </w:pPr>
      <w:bookmarkStart w:id="172" w:name="_Toc3260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-FunctionStatistical_analysis/*/6.Anosim</w:t>
      </w:r>
    </w:p>
    <w:p w14:paraId="1C7A5361">
      <w:pPr>
        <w:pStyle w:val="43"/>
      </w:pPr>
      <w:r>
        <w:rPr>
          <w:rFonts w:hint="eastAsia"/>
          <w:lang w:val="en-US" w:eastAsia="zh-CN"/>
        </w:rPr>
        <w:t>8</w:t>
      </w:r>
      <w:r>
        <w:t>.3.7 ADONIS分析</w:t>
      </w:r>
      <w:bookmarkEnd w:id="172"/>
    </w:p>
    <w:p w14:paraId="1BDD6A9C">
      <w:pPr>
        <w:ind w:firstLine="420"/>
        <w:rPr>
          <w:rFonts w:cs="Times New Roman"/>
        </w:rPr>
      </w:pPr>
      <w:r>
        <w:rPr>
          <w:rFonts w:cs="Times New Roman"/>
        </w:rPr>
        <w:t>ADONIS又称置换多元方差分析（permutational multivariate analysis of variance ,PERMANOVA ）或非参数多因素方差分析（nonparametric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184FA942">
      <w:pPr>
        <w:ind w:firstLine="420"/>
        <w:rPr>
          <w:rFonts w:cs="Times New Roman"/>
          <w:color w:val="000000" w:themeColor="text1"/>
          <w14:textFill>
            <w14:solidFill>
              <w14:schemeClr w14:val="tx1"/>
            </w14:solidFill>
          </w14:textFill>
        </w:rPr>
      </w:pPr>
      <w:bookmarkStart w:id="173" w:name="_Toc3025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-FunctionStatistical_analysis/*/7.Adonis</w:t>
      </w:r>
    </w:p>
    <w:p w14:paraId="431D0080">
      <w:pPr>
        <w:pStyle w:val="43"/>
      </w:pPr>
      <w:r>
        <w:t>8.3.8 MRPP分析</w:t>
      </w:r>
      <w:bookmarkEnd w:id="173"/>
    </w:p>
    <w:p w14:paraId="4AA8F8D4">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4F5EBE0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-FunctionStatistical_analysis/*/8.MRPP</w:t>
      </w:r>
    </w:p>
    <w:p w14:paraId="00ADB4D2">
      <w:pPr>
        <w:pStyle w:val="43"/>
      </w:pPr>
      <w:r>
        <w:rPr>
          <w:rFonts w:hint="eastAsia"/>
          <w:lang w:val="en-US" w:eastAsia="zh-CN"/>
        </w:rPr>
        <w:t>8</w:t>
      </w:r>
      <w:r>
        <w:t>.3.9 Lefse</w:t>
      </w:r>
      <w:r>
        <w:rPr>
          <w:rFonts w:hint="eastAsia"/>
        </w:rPr>
        <w:t>分析</w:t>
      </w:r>
    </w:p>
    <w:p w14:paraId="22FE835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LDA Effect Size分析可以实现多个分组之间的比较，还对分组比较的内部进行亚组比较分析，从而找到组间在丰度上有显著差异的功能，其分析原理包括以下三部分：</w:t>
      </w:r>
    </w:p>
    <w:p w14:paraId="1900F95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1）首先在多组样本中采用的非参数检验Kruskal-Wallis秩和检验检测不同分组间丰度差异显著的功能，阈值设定0.05；</w:t>
      </w:r>
    </w:p>
    <w:p w14:paraId="556A83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2）然后在上一步中获得的显著差异功能，用成组的Wilcoxon秩和检验来进行组间差异分析，阈值设定0.05；</w:t>
      </w:r>
    </w:p>
    <w:p w14:paraId="724064E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2B6C60A4">
      <w:pPr>
        <w:ind w:firstLine="420"/>
        <w:rPr>
          <w:rFonts w:cs="Times New Roman"/>
          <w:color w:val="0070C0"/>
        </w:rPr>
      </w:pPr>
      <w:r>
        <w:rPr>
          <w:rFonts w:hint="eastAsia" w:cs="Times New Roman"/>
          <w:color w:val="0070C0"/>
        </w:rPr>
        <w:t>基于功能丰度的L</w:t>
      </w:r>
      <w:r>
        <w:rPr>
          <w:rFonts w:cs="Times New Roman"/>
          <w:color w:val="0070C0"/>
        </w:rPr>
        <w:t>DA柱状图：</w:t>
      </w:r>
    </w:p>
    <w:p w14:paraId="77C44253">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4" name="图片 9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图片 97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F3166AF">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的影响大小（即LDA Score）</w:t>
      </w:r>
      <w:r>
        <w:rPr>
          <w:rFonts w:hint="eastAsia"/>
        </w:rPr>
        <w:t>。图中仅绘制L</w:t>
      </w:r>
      <w:r>
        <w:t>DA</w:t>
      </w:r>
      <w:r>
        <w:rPr>
          <w:rFonts w:hint="eastAsia"/>
        </w:rPr>
        <w:t>值＞2且排名前1</w:t>
      </w:r>
      <w:r>
        <w:t>00</w:t>
      </w:r>
      <w:r>
        <w:rPr>
          <w:rFonts w:hint="eastAsia"/>
        </w:rPr>
        <w:t>的通路，不足1</w:t>
      </w:r>
      <w:r>
        <w:t>00</w:t>
      </w:r>
      <w:r>
        <w:rPr>
          <w:rFonts w:hint="eastAsia"/>
        </w:rPr>
        <w:t>绘制全部。</w:t>
      </w:r>
    </w:p>
    <w:p w14:paraId="653D1D3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-FunctionStatistical_analysis/*/9.Lefse</w:t>
      </w:r>
    </w:p>
    <w:p w14:paraId="7496B86B">
      <w:pPr>
        <w:pStyle w:val="40"/>
      </w:pPr>
      <w:bookmarkStart w:id="174" w:name="_Toc19888"/>
      <w:r>
        <w:rPr>
          <w:rFonts w:hint="eastAsia"/>
          <w:lang w:val="en-US" w:eastAsia="zh-CN"/>
        </w:rPr>
        <w:t>9</w:t>
      </w:r>
      <w:r>
        <w:t xml:space="preserve">. </w:t>
      </w:r>
      <w:r>
        <w:rPr>
          <w:rFonts w:hint="eastAsia"/>
        </w:rPr>
        <w:t>生物地球化学循环功能分析</w:t>
      </w:r>
      <w:bookmarkEnd w:id="174"/>
    </w:p>
    <w:p w14:paraId="552DE139">
      <w:pPr>
        <w:ind w:firstLine="420"/>
      </w:pPr>
      <w:r>
        <w:rPr>
          <w:rFonts w:hint="eastAsia"/>
        </w:rPr>
        <w:t>生物地球化学循环（biogeochemical cycle），即在地球表层生物圈中，生物有机体经由生命活动，从其生存环境的介质中吸取元素及其化合物（常称矿物质），通过生物化学作用转化为生命物质，同时排泄部分物质返回环境，并在其死亡之后又被分解成为元素或化合物（亦称矿物质）返回环境介质中。这一个循环往复的过程，称为生物地球化学循环。生物地球化学循环还包括从一种生物体（初级生产者）到另一种生物体（消费者）的转移或食物链的传递及效应。生物地球化学循环是地球系统科学的核心研究方向之一，对碳（C）、氮（N）、磷（P）、硫（S）及重金属等元素在地球圈层中的循环过程进行描述、示踪和预测是生物地球化学循环研究的重要内容。</w:t>
      </w:r>
    </w:p>
    <w:p w14:paraId="5C262764">
      <w:pPr>
        <w:ind w:firstLine="420"/>
      </w:pPr>
      <w:r>
        <w:rPr>
          <w:rFonts w:hint="eastAsia"/>
        </w:rPr>
        <w:t>基于KEGG和已发表的文献资料信息，构建了碳固定、氮循环、磷循环、硫循环和甲烷代谢标记基因集。通过从数据库功能注释结果中提取上述信息，基于TPM丰度计算方法，进行功能组成分析，差异分析和相关性分析。</w:t>
      </w:r>
    </w:p>
    <w:p w14:paraId="3EC1FF72">
      <w:pPr>
        <w:pStyle w:val="41"/>
      </w:pPr>
      <w:bookmarkStart w:id="175" w:name="_Toc18105"/>
      <w:r>
        <w:rPr>
          <w:rFonts w:hint="eastAsia"/>
          <w:lang w:val="en-US" w:eastAsia="zh-CN"/>
        </w:rPr>
        <w:t>9</w:t>
      </w:r>
      <w:r>
        <w:t xml:space="preserve">.1 </w:t>
      </w:r>
      <w:r>
        <w:rPr>
          <w:rFonts w:hint="eastAsia"/>
        </w:rPr>
        <w:t>功能相对丰度概况</w:t>
      </w:r>
      <w:bookmarkEnd w:id="175"/>
    </w:p>
    <w:p w14:paraId="33718345">
      <w:pPr>
        <w:ind w:firstLine="420"/>
        <w:rPr>
          <w:bCs/>
        </w:rPr>
      </w:pPr>
      <w:r>
        <w:rPr>
          <w:rFonts w:hint="eastAsia"/>
          <w:bCs/>
        </w:rPr>
        <w:t>统计样本中的各功能基因的丰度比例，通过堆积柱图可视化方法，直观展现各样本的功能基因组成。</w:t>
      </w:r>
    </w:p>
    <w:p w14:paraId="24C5B327">
      <w:pPr>
        <w:ind w:firstLine="420"/>
        <w:rPr>
          <w:bCs/>
        </w:rPr>
      </w:pPr>
      <w:r>
        <w:rPr>
          <w:rFonts w:hint="eastAsia"/>
          <w:bCs/>
        </w:rPr>
        <w:t>不同循环功能丰度柱形图：</w:t>
      </w:r>
    </w:p>
    <w:p w14:paraId="4F76A4C7">
      <w:pPr>
        <w:ind w:firstLine="420"/>
        <w:jc w:val="center"/>
        <w:rPr>
          <w:bCs/>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5" name="图片 9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图片 97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59C3652">
      <w:pPr>
        <w:pStyle w:val="32"/>
      </w:pPr>
      <w:r>
        <w:rPr>
          <w:rFonts w:hint="eastAsia"/>
        </w:rPr>
        <w:t>注：以上图片为碳固定</w:t>
      </w:r>
      <w:r>
        <w:t>/</w:t>
      </w:r>
      <w:r>
        <w:rPr>
          <w:rFonts w:hint="eastAsia"/>
        </w:rPr>
        <w:t>氮循环/磷循环/硫循环/甲烷代谢的结果展示。横坐标为不同的样本，纵坐标为功能基因在该样本中TPM丰度值，不同颜色的柱子代表不同的功能基因，柱子的长短代表该功能基因在样本中的TPM丰度大小。</w:t>
      </w:r>
    </w:p>
    <w:p w14:paraId="24DC9A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-METABOLIC/*/1.Barplot</w:t>
      </w:r>
    </w:p>
    <w:p w14:paraId="3E31D1E5">
      <w:pPr>
        <w:ind w:firstLine="420"/>
      </w:pPr>
      <w:r>
        <w:rPr>
          <w:rFonts w:hint="eastAsia"/>
          <w:bCs/>
        </w:rPr>
        <w:t>不同循环</w:t>
      </w:r>
      <w:r>
        <w:rPr>
          <w:rFonts w:hint="eastAsia"/>
        </w:rPr>
        <w:t>功能丰度热图：</w:t>
      </w:r>
    </w:p>
    <w:p w14:paraId="184E01B4">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7" name="图片 9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图片 97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3A4231F">
      <w:pPr>
        <w:pStyle w:val="32"/>
        <w:rPr>
          <w:shd w:val="clear" w:color="auto" w:fill="FFFFFF"/>
        </w:rPr>
      </w:pPr>
      <w:r>
        <w:rPr>
          <w:rFonts w:hint="eastAsia"/>
        </w:rPr>
        <w:t>注：图中列代表不同的样本，行代表不同层级的功能（选取相对丰度排名前5</w:t>
      </w:r>
      <w:r>
        <w:t>0</w:t>
      </w:r>
      <w:r>
        <w:rPr>
          <w:rFonts w:hint="eastAsia"/>
        </w:rPr>
        <w:t>的功能，不足5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4AE40FB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-METABOLIC/*/2.Heatmap</w:t>
      </w:r>
    </w:p>
    <w:p w14:paraId="2A3C9755">
      <w:pPr>
        <w:pStyle w:val="41"/>
      </w:pPr>
      <w:bookmarkStart w:id="176" w:name="_Toc1295"/>
      <w:r>
        <w:rPr>
          <w:rFonts w:hint="eastAsia"/>
          <w:lang w:val="en-US" w:eastAsia="zh-CN"/>
        </w:rPr>
        <w:t>9</w:t>
      </w:r>
      <w:r>
        <w:t xml:space="preserve">.2 </w:t>
      </w:r>
      <w:r>
        <w:rPr>
          <w:rFonts w:hint="eastAsia"/>
        </w:rPr>
        <w:t>基于功能丰度的降维分析</w:t>
      </w:r>
      <w:bookmarkEnd w:id="176"/>
    </w:p>
    <w:p w14:paraId="71867144">
      <w:pPr>
        <w:pStyle w:val="43"/>
      </w:pPr>
      <w:r>
        <w:rPr>
          <w:rFonts w:hint="eastAsia"/>
          <w:lang w:val="en-US" w:eastAsia="zh-CN"/>
        </w:rPr>
        <w:t>9</w:t>
      </w:r>
      <w:r>
        <w:t>.2.1 PCA</w:t>
      </w:r>
      <w:r>
        <w:rPr>
          <w:rFonts w:hint="eastAsia"/>
        </w:rPr>
        <w:t>分析</w:t>
      </w:r>
    </w:p>
    <w:p w14:paraId="4DB4324B">
      <w:pPr>
        <w:ind w:firstLine="420"/>
        <w:rPr>
          <w:rFonts w:cs="Times New Roman"/>
        </w:rPr>
      </w:pPr>
      <w:r>
        <w:rPr>
          <w:rFonts w:hint="eastAsia" w:cs="Times New Roman"/>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14FA3300">
      <w:pPr>
        <w:ind w:firstLine="420"/>
        <w:rPr>
          <w:rFonts w:cs="Times New Roman"/>
          <w:color w:val="0070C0"/>
        </w:rPr>
      </w:pPr>
      <w:r>
        <w:rPr>
          <w:rFonts w:hint="eastAsia" w:cs="Times New Roman"/>
          <w:color w:val="0070C0"/>
        </w:rPr>
        <w:t>不同循环的P</w:t>
      </w:r>
      <w:r>
        <w:rPr>
          <w:rFonts w:cs="Times New Roman"/>
          <w:color w:val="0070C0"/>
        </w:rPr>
        <w:t>CA</w:t>
      </w:r>
      <w:r>
        <w:rPr>
          <w:rFonts w:hint="eastAsia" w:cs="Times New Roman"/>
          <w:color w:val="0070C0"/>
        </w:rPr>
        <w:t>分析如下图所示：</w:t>
      </w:r>
    </w:p>
    <w:p w14:paraId="5D8352FA">
      <w:pPr>
        <w:ind w:firstLine="420"/>
        <w:jc w:val="center"/>
        <w:rPr>
          <w:rFonts w:cs="Times New Roman"/>
          <w:b/>
          <w:bCs/>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8" name="图片 9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图片 97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21321B5">
      <w:pPr>
        <w:pStyle w:val="32"/>
      </w:pPr>
      <w:r>
        <w:rPr>
          <w:rFonts w:hint="eastAsia"/>
        </w:rPr>
        <w:t>注：点表示各样品的功能基因组成；横坐标表示第一主成分及其对样品差异的贡献率；纵坐标表示第二主成分及其对样品差异的贡献率</w:t>
      </w:r>
    </w:p>
    <w:p w14:paraId="0300CAE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-METABOLIC/*/3.PCA</w:t>
      </w:r>
    </w:p>
    <w:p w14:paraId="50752249">
      <w:pPr>
        <w:pStyle w:val="43"/>
      </w:pPr>
      <w:r>
        <w:rPr>
          <w:rFonts w:hint="eastAsia"/>
          <w:lang w:val="en-US" w:eastAsia="zh-CN"/>
        </w:rPr>
        <w:t>9</w:t>
      </w:r>
      <w:r>
        <w:t>.2.2 PC</w:t>
      </w:r>
      <w:r>
        <w:rPr>
          <w:rFonts w:hint="eastAsia"/>
        </w:rPr>
        <w:t>o</w:t>
      </w:r>
      <w:r>
        <w:t>A</w:t>
      </w:r>
      <w:r>
        <w:rPr>
          <w:rFonts w:hint="eastAsia"/>
        </w:rPr>
        <w:t>分析</w:t>
      </w:r>
    </w:p>
    <w:p w14:paraId="38B13BF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analysis，PCoA）是一种最经典的非约束排序（Classical Multidimensional Scaling，cMDScale）分析方法。它通过将样本距离矩阵经过投影后，在低维度空间进行展开，并最大限度地保留原始样本的距离关系。PCoA以样本距离为整体考虑，相比于主成分分析（Principal components analysis，PCA），更符合生态学数据特征，作为排序分析手段，更为推荐使用</w:t>
      </w:r>
    </w:p>
    <w:p w14:paraId="02563D5D">
      <w:pPr>
        <w:ind w:firstLine="420"/>
        <w:rPr>
          <w:rFonts w:cs="Times New Roman"/>
          <w:color w:val="0070C0"/>
        </w:rPr>
      </w:pPr>
      <w:r>
        <w:rPr>
          <w:rFonts w:hint="eastAsia" w:cs="Times New Roman"/>
          <w:color w:val="0070C0"/>
        </w:rPr>
        <w:t>不同循环的P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分析如下图所示：</w:t>
      </w:r>
    </w:p>
    <w:p w14:paraId="417CC8F7">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9" name="图片 9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图片 97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B367DB4">
      <w:pPr>
        <w:pStyle w:val="32"/>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2481484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-METABOLIC/*/4.PCoA</w:t>
      </w:r>
    </w:p>
    <w:p w14:paraId="0EBF404A">
      <w:pPr>
        <w:pStyle w:val="43"/>
      </w:pPr>
      <w:r>
        <w:rPr>
          <w:rFonts w:hint="eastAsia"/>
          <w:lang w:val="en-US" w:eastAsia="zh-CN"/>
        </w:rPr>
        <w:t>9</w:t>
      </w:r>
      <w:r>
        <w:t>.2.3 NMDS</w:t>
      </w:r>
      <w:r>
        <w:rPr>
          <w:rFonts w:hint="eastAsia"/>
        </w:rPr>
        <w:t>分析</w:t>
      </w:r>
    </w:p>
    <w:p w14:paraId="5A11FE9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F60F165">
      <w:pPr>
        <w:ind w:firstLine="420"/>
        <w:rPr>
          <w:rFonts w:cs="Times New Roman"/>
          <w:color w:val="0070C0"/>
        </w:rPr>
      </w:pPr>
      <w:r>
        <w:rPr>
          <w:rFonts w:hint="eastAsia" w:cs="Times New Roman"/>
          <w:color w:val="0070C0"/>
        </w:rPr>
        <w:t>不同循环的</w:t>
      </w:r>
      <w:r>
        <w:rPr>
          <w:rFonts w:cs="Times New Roman"/>
          <w:color w:val="0070C0"/>
        </w:rPr>
        <w:t>NMDS</w:t>
      </w:r>
      <w:r>
        <w:rPr>
          <w:rFonts w:hint="eastAsia" w:cs="Times New Roman"/>
          <w:color w:val="0070C0"/>
        </w:rPr>
        <w:t>分析如下图所示：</w:t>
      </w:r>
    </w:p>
    <w:p w14:paraId="4519AA46">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0" name="图片 9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图片 98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4A61F91">
      <w:pPr>
        <w:pStyle w:val="32"/>
      </w:pPr>
      <w:r>
        <w:rPr>
          <w:rFonts w:hint="eastAsia"/>
        </w:rPr>
        <w:t>注：点表示各样品的功能基因组成；横坐标表示第一主成分及其对样品差异的贡献率；纵坐标表示第二主成分及其对样品差异的贡献率</w:t>
      </w:r>
    </w:p>
    <w:p w14:paraId="7415B2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-METABOLIC/*/5.NMDS</w:t>
      </w:r>
    </w:p>
    <w:p w14:paraId="7F7C13DD">
      <w:pPr>
        <w:pStyle w:val="41"/>
      </w:pPr>
      <w:bookmarkStart w:id="177" w:name="_Toc20909"/>
      <w:r>
        <w:rPr>
          <w:rFonts w:hint="eastAsia"/>
          <w:lang w:val="en-US" w:eastAsia="zh-CN"/>
        </w:rPr>
        <w:t>9</w:t>
      </w:r>
      <w:r>
        <w:t xml:space="preserve">.3 </w:t>
      </w:r>
      <w:r>
        <w:rPr>
          <w:rFonts w:hint="eastAsia"/>
        </w:rPr>
        <w:t>基于功能丰度的组间差异分析</w:t>
      </w:r>
      <w:bookmarkEnd w:id="177"/>
    </w:p>
    <w:p w14:paraId="5612F30E">
      <w:pPr>
        <w:pStyle w:val="43"/>
      </w:pPr>
      <w:r>
        <w:rPr>
          <w:rFonts w:hint="eastAsia"/>
          <w:lang w:val="en-US" w:eastAsia="zh-CN"/>
        </w:rPr>
        <w:t>9</w:t>
      </w:r>
      <w:r>
        <w:t>.3.1 ANOVA</w:t>
      </w:r>
      <w:r>
        <w:rPr>
          <w:rFonts w:hint="eastAsia"/>
        </w:rPr>
        <w:t>分析</w:t>
      </w:r>
    </w:p>
    <w:p w14:paraId="30033DF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076D43CA">
      <w:pPr>
        <w:ind w:firstLine="420"/>
        <w:rPr>
          <w:rFonts w:cs="Times New Roman"/>
          <w:color w:val="0070C0"/>
        </w:rPr>
      </w:pPr>
      <w:r>
        <w:rPr>
          <w:rFonts w:hint="eastAsia" w:cs="Times New Roman"/>
          <w:color w:val="0070C0"/>
        </w:rPr>
        <w:t>不同循环的</w:t>
      </w:r>
      <w:r>
        <w:rPr>
          <w:rFonts w:cs="Times New Roman"/>
          <w:color w:val="0070C0"/>
        </w:rPr>
        <w:t>ANOVA</w:t>
      </w:r>
      <w:r>
        <w:rPr>
          <w:rFonts w:hint="eastAsia" w:cs="Times New Roman"/>
          <w:color w:val="0070C0"/>
        </w:rPr>
        <w:t>分析差异柱状图：</w:t>
      </w:r>
    </w:p>
    <w:p w14:paraId="05CE570E">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1" name="图片 9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图片 98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7EE702D">
      <w:pPr>
        <w:pStyle w:val="32"/>
      </w:pPr>
      <w:r>
        <w:rPr>
          <w:rFonts w:hint="eastAsia"/>
        </w:rPr>
        <w:t>注：横坐标分组，不同颜色代表不同的分组，纵坐标为不同的功能丰度</w:t>
      </w:r>
    </w:p>
    <w:p w14:paraId="7152621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-METABOLIC/*/6.Statistical_test_analysis/1.ANOVA</w:t>
      </w:r>
    </w:p>
    <w:p w14:paraId="008ABE5E">
      <w:pPr>
        <w:pStyle w:val="43"/>
      </w:pPr>
      <w:r>
        <w:rPr>
          <w:rFonts w:hint="eastAsia"/>
          <w:lang w:val="en-US" w:eastAsia="zh-CN"/>
        </w:rPr>
        <w:t>9</w:t>
      </w:r>
      <w:r>
        <w:t xml:space="preserve">.3.2 </w:t>
      </w:r>
      <w:r>
        <w:rPr>
          <w:rFonts w:hint="eastAsia"/>
        </w:rPr>
        <w:t>秩和检验</w:t>
      </w:r>
    </w:p>
    <w:p w14:paraId="65B5C8B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ilcoxon秩和检验，多组独立样本采用Kruskal-Wallis秩和检验。</w:t>
      </w:r>
    </w:p>
    <w:p w14:paraId="09E28AB3">
      <w:pPr>
        <w:ind w:firstLine="420"/>
        <w:rPr>
          <w:rFonts w:cs="Times New Roman"/>
          <w:color w:val="0070C0"/>
        </w:rPr>
      </w:pPr>
      <w:r>
        <w:rPr>
          <w:rFonts w:hint="eastAsia" w:cs="Times New Roman"/>
          <w:color w:val="0070C0"/>
        </w:rPr>
        <w:t>不同循环的</w:t>
      </w:r>
      <w:r>
        <w:rPr>
          <w:rFonts w:hint="eastAsia" w:cs="Times New Roman"/>
          <w:color w:val="0070C0"/>
          <w:shd w:val="clear" w:color="auto" w:fill="FFFFFF"/>
        </w:rPr>
        <w:t>秩和检验差异柱状图：</w:t>
      </w:r>
    </w:p>
    <w:p w14:paraId="52EFAF05">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2" name="图片 9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图片 98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01A4348">
      <w:pPr>
        <w:pStyle w:val="32"/>
      </w:pPr>
      <w:r>
        <w:rPr>
          <w:rFonts w:hint="eastAsia"/>
        </w:rPr>
        <w:t>注：横坐标分组，不同颜色代表不同的分组，纵坐标为不同的功能丰度</w:t>
      </w:r>
    </w:p>
    <w:p w14:paraId="1A9413A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-METABOLIC/*/6.Statistical_test_analysis/2.wilcoxon</w:t>
      </w:r>
    </w:p>
    <w:p w14:paraId="3DC28FC3">
      <w:pPr>
        <w:pStyle w:val="43"/>
      </w:pPr>
      <w:r>
        <w:rPr>
          <w:rFonts w:hint="eastAsia"/>
          <w:lang w:val="en-US" w:eastAsia="zh-CN"/>
        </w:rPr>
        <w:t>9</w:t>
      </w:r>
      <w:r>
        <w:t>.3.3 Stamp</w:t>
      </w:r>
      <w:r>
        <w:rPr>
          <w:rFonts w:hint="eastAsia"/>
        </w:rPr>
        <w:t>分析</w:t>
      </w:r>
    </w:p>
    <w:p w14:paraId="6C11F81D">
      <w:pPr>
        <w:ind w:firstLine="420"/>
        <w:rPr>
          <w:rFonts w:cs="Times New Roman"/>
          <w:color w:val="0070C0"/>
        </w:rPr>
      </w:pPr>
      <w:r>
        <w:rPr>
          <w:rFonts w:hint="eastAsia" w:cs="Times New Roman"/>
          <w:color w:val="0070C0"/>
        </w:rPr>
        <w:t>不同循环的stamp差异图：</w:t>
      </w:r>
    </w:p>
    <w:p w14:paraId="08686D4B">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3" name="图片 9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图片 98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9359A5C">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86F732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-METABOLIC/*/6.Statistical_test_analysis/3.Stamp</w:t>
      </w:r>
    </w:p>
    <w:p w14:paraId="36A217DB">
      <w:pPr>
        <w:pStyle w:val="43"/>
      </w:pPr>
      <w:r>
        <w:rPr>
          <w:rFonts w:hint="eastAsia"/>
          <w:lang w:val="en-US" w:eastAsia="zh-CN"/>
        </w:rPr>
        <w:t>9</w:t>
      </w:r>
      <w:r>
        <w:t>.3.4 Random_Forest</w:t>
      </w:r>
      <w:r>
        <w:rPr>
          <w:rFonts w:hint="eastAsia"/>
        </w:rPr>
        <w:t>分析</w:t>
      </w:r>
    </w:p>
    <w:p w14:paraId="037A01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随机森林是一个高度灵活的机器学习方法，通过集成学习的思想将多棵树集成的一种算法，基本单元是决策树，而本质属于机器学习的一大分支-集成学习（Ensemble Learning）方法。每棵决策树均为一个分类器（假设针对的是分类问题），对于一个输入样本，N棵树会有N个分类结果。而随机森林集成了所有的分类投票结果，将投票次数最多的类别指定为最终的输出，是一种最简单的Bagging思想。</w:t>
      </w:r>
    </w:p>
    <w:p w14:paraId="7A8DF1A6">
      <w:pPr>
        <w:ind w:firstLine="420"/>
        <w:rPr>
          <w:rFonts w:cs="Times New Roman"/>
          <w:color w:val="0070C0"/>
        </w:rPr>
      </w:pPr>
      <w:r>
        <w:rPr>
          <w:rFonts w:hint="eastAsia" w:cs="Times New Roman"/>
          <w:color w:val="0070C0"/>
        </w:rPr>
        <w:t>不同循环的随机森林分析图（top</w:t>
      </w:r>
      <w:r>
        <w:rPr>
          <w:rFonts w:cs="Times New Roman"/>
          <w:color w:val="0070C0"/>
        </w:rPr>
        <w:t>10</w:t>
      </w:r>
      <w:r>
        <w:rPr>
          <w:rFonts w:hint="eastAsia" w:cs="Times New Roman"/>
          <w:color w:val="0070C0"/>
        </w:rPr>
        <w:t>）：</w:t>
      </w:r>
    </w:p>
    <w:p w14:paraId="327C5681">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4" name="图片 9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图片 98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70F6D99">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55EC85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-METABOLIC/*/6.Statistical_test_analysis/4.Random_Forest</w:t>
      </w:r>
    </w:p>
    <w:p w14:paraId="6DCAC0E3">
      <w:pPr>
        <w:pStyle w:val="43"/>
      </w:pPr>
      <w:r>
        <w:rPr>
          <w:rFonts w:hint="eastAsia"/>
          <w:lang w:val="en-US" w:eastAsia="zh-CN"/>
        </w:rPr>
        <w:t>9</w:t>
      </w:r>
      <w:r>
        <w:t>.3.5 metagenomeSeq</w:t>
      </w:r>
      <w:r>
        <w:rPr>
          <w:rFonts w:hint="eastAsia"/>
        </w:rPr>
        <w:t>分析</w:t>
      </w:r>
    </w:p>
    <w:p w14:paraId="1656BD8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w:t>
      </w:r>
    </w:p>
    <w:p w14:paraId="18B29215">
      <w:pPr>
        <w:ind w:firstLine="420"/>
        <w:rPr>
          <w:rFonts w:cs="Times New Roman"/>
          <w:color w:val="0070C0"/>
        </w:rPr>
      </w:pPr>
      <w:r>
        <w:rPr>
          <w:rFonts w:hint="eastAsia" w:cs="Times New Roman"/>
          <w:color w:val="0070C0"/>
        </w:rPr>
        <w:t>不同循环的差异功能热图：</w:t>
      </w:r>
    </w:p>
    <w:p w14:paraId="159AEA87">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5" name="图片 9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图片 98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323E7AD">
      <w:pPr>
        <w:pStyle w:val="32"/>
      </w:pPr>
      <w:r>
        <w:rPr>
          <w:rFonts w:hint="eastAsia"/>
        </w:rPr>
        <w:t>注：每一列表示不同的样本，每一行表示有差异的不同层级的功能，图中的颜色代表了功能丰度的大小，颜色由蓝色到红色渐变表示功能丰度由小到大。</w:t>
      </w:r>
    </w:p>
    <w:p w14:paraId="437BBF4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-METABOLIC/*/6.Statistical_test_analysis/5.metagenomeSeq</w:t>
      </w:r>
    </w:p>
    <w:p w14:paraId="7D64C733">
      <w:pPr>
        <w:pStyle w:val="43"/>
      </w:pPr>
      <w:r>
        <w:rPr>
          <w:rFonts w:hint="eastAsia"/>
          <w:lang w:val="en-US" w:eastAsia="zh-CN"/>
        </w:rPr>
        <w:t>9</w:t>
      </w:r>
      <w:r>
        <w:t>.3.6 Anosim</w:t>
      </w:r>
      <w:r>
        <w:rPr>
          <w:rFonts w:hint="eastAsia"/>
        </w:rPr>
        <w:t>分析</w:t>
      </w:r>
    </w:p>
    <w:p w14:paraId="1E3ADE46">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Anosim相似性分析是一种非参数检验，用来检验组间（两组或多组）的差异是否显著大于组内差异，从而判断分组是否有意义，通过计算不同功能通路间的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536DE8E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-METABOLIC/*/6.Statistical_test_analysis/6.Anosim</w:t>
      </w:r>
    </w:p>
    <w:p w14:paraId="3A8C34EA">
      <w:pPr>
        <w:pStyle w:val="43"/>
      </w:pPr>
      <w:r>
        <w:rPr>
          <w:rFonts w:hint="eastAsia"/>
          <w:lang w:val="en-US" w:eastAsia="zh-CN"/>
        </w:rPr>
        <w:t>9</w:t>
      </w:r>
      <w:r>
        <w:t>.3.7 ADONIS分析</w:t>
      </w:r>
    </w:p>
    <w:p w14:paraId="2FD6D6CA">
      <w:pPr>
        <w:ind w:firstLine="420"/>
        <w:rPr>
          <w:rFonts w:cs="Times New Roman"/>
        </w:rPr>
      </w:pPr>
      <w:r>
        <w:rPr>
          <w:rFonts w:cs="Times New Roman"/>
        </w:rPr>
        <w:t>ADONIS又称置换多元方差分析（permutational multivariate analysis of variance ,PERMANOVA ）或非参数多因素方差分析（nonparametric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5FFADEC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-METABOLIC/*/6.Statistical_test_analysis/7.Adonis</w:t>
      </w:r>
    </w:p>
    <w:p w14:paraId="364202AA">
      <w:pPr>
        <w:pStyle w:val="43"/>
      </w:pPr>
      <w:r>
        <w:rPr>
          <w:rFonts w:hint="eastAsia"/>
          <w:lang w:val="en-US" w:eastAsia="zh-CN"/>
        </w:rPr>
        <w:t>9</w:t>
      </w:r>
      <w:r>
        <w:t>.3.8 MRPP分析</w:t>
      </w:r>
    </w:p>
    <w:p w14:paraId="1D6D0356">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7A25A9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Result/group*/9-METABOLIC/*/6.Statistical_test_analysis/8.MRPP</w:t>
      </w:r>
    </w:p>
    <w:p w14:paraId="11F683FC">
      <w:pPr>
        <w:pStyle w:val="43"/>
      </w:pPr>
      <w:r>
        <w:rPr>
          <w:rFonts w:hint="eastAsia"/>
          <w:lang w:val="en-US" w:eastAsia="zh-CN"/>
        </w:rPr>
        <w:t>9</w:t>
      </w:r>
      <w:r>
        <w:t>.3.9 Lefse</w:t>
      </w:r>
      <w:r>
        <w:rPr>
          <w:rFonts w:hint="eastAsia"/>
        </w:rPr>
        <w:t>分析</w:t>
      </w:r>
    </w:p>
    <w:p w14:paraId="39321BC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LDA Effect Size分析可以实现多个分组之间的比较，还对分组比较的内部进行亚组比较分析，从而找到组间在丰度上有显著差异的功能，其分析原理包括以下三部分：</w:t>
      </w:r>
    </w:p>
    <w:p w14:paraId="5261B60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1）首先在多组样本中采用的非参数检验Kruskal-Wallis秩和检验检测不同分组间丰度差异显著的功能，阈值设定0.05；</w:t>
      </w:r>
    </w:p>
    <w:p w14:paraId="0992197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2）然后在上一步中获得的显著差异功能，用成组的Wilcoxon秩和检验来进行组间差异分析，阈值设定0.05；</w:t>
      </w:r>
    </w:p>
    <w:p w14:paraId="44E7D70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0D30F77F">
      <w:pPr>
        <w:ind w:firstLine="420"/>
        <w:rPr>
          <w:rFonts w:cs="Times New Roman"/>
          <w:color w:val="0070C0"/>
        </w:rPr>
      </w:pPr>
      <w:r>
        <w:rPr>
          <w:rFonts w:hint="eastAsia" w:cs="Times New Roman"/>
          <w:color w:val="0070C0"/>
        </w:rPr>
        <w:t>不同循环的L</w:t>
      </w:r>
      <w:r>
        <w:rPr>
          <w:rFonts w:cs="Times New Roman"/>
          <w:color w:val="0070C0"/>
        </w:rPr>
        <w:t>DA柱状图：</w:t>
      </w:r>
    </w:p>
    <w:p w14:paraId="2A936F59">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6" name="图片 9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图片 98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5236340">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的影响大小（即LDA Score）</w:t>
      </w:r>
      <w:r>
        <w:rPr>
          <w:rFonts w:hint="eastAsia"/>
        </w:rPr>
        <w:t>。图中仅绘制L</w:t>
      </w:r>
      <w:r>
        <w:t>DA</w:t>
      </w:r>
      <w:r>
        <w:rPr>
          <w:rFonts w:hint="eastAsia"/>
        </w:rPr>
        <w:t>值＞2且排名前1</w:t>
      </w:r>
      <w:r>
        <w:t>00</w:t>
      </w:r>
      <w:r>
        <w:rPr>
          <w:rFonts w:hint="eastAsia"/>
        </w:rPr>
        <w:t>的通路，不足1</w:t>
      </w:r>
      <w:r>
        <w:t>00</w:t>
      </w:r>
      <w:r>
        <w:rPr>
          <w:rFonts w:hint="eastAsia"/>
        </w:rPr>
        <w:t>绘制全部。</w:t>
      </w:r>
    </w:p>
    <w:p w14:paraId="69A377B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-METABOLIC/*/6.Statistical_test_analysis/9.Lefse</w:t>
      </w:r>
    </w:p>
    <w:p w14:paraId="3F35D100">
      <w:pPr>
        <w:pStyle w:val="40"/>
      </w:pPr>
      <w:bookmarkStart w:id="178" w:name="_Toc2342"/>
      <w:r>
        <w:t>1</w:t>
      </w:r>
      <w:r>
        <w:rPr>
          <w:rFonts w:hint="eastAsia"/>
          <w:lang w:val="en-US" w:eastAsia="zh-CN"/>
        </w:rPr>
        <w:t>0</w:t>
      </w:r>
      <w:r>
        <w:t xml:space="preserve">. </w:t>
      </w:r>
      <w:r>
        <w:rPr>
          <w:rFonts w:hint="eastAsia"/>
        </w:rPr>
        <w:t>抗性基因注释</w:t>
      </w:r>
      <w:bookmarkEnd w:id="178"/>
    </w:p>
    <w:p w14:paraId="0E9FB516">
      <w:pPr>
        <w:ind w:firstLine="420"/>
      </w:pPr>
      <w:r>
        <w:rPr>
          <w:rFonts w:hint="eastAsia"/>
        </w:rPr>
        <w:t>不管是人肠道微生物还是其他环境微生物中，抗性基因是普遍存在的。抗生素的滥用导致人体和环境中微生物群落发生不可逆的变化，对人体健康和生态环境造成风险，因此抗性基因的相关研究受到了研究者的广泛关注。</w:t>
      </w:r>
    </w:p>
    <w:p w14:paraId="1FF2B66E">
      <w:pPr>
        <w:ind w:firstLine="420"/>
      </w:pPr>
      <w:r>
        <w:rPr>
          <w:rFonts w:hint="eastAsia"/>
        </w:rPr>
        <w:t>通过</w:t>
      </w:r>
      <w:r>
        <w:t>ARGs-OAP</w:t>
      </w:r>
      <w:r>
        <w:rPr>
          <w:rFonts w:hint="eastAsia"/>
        </w:rPr>
        <w:t>对抗性基因进行注释。常见的抗性基因数据库包括ARDB（Antibiotic Resistance Genes Database）和CARD（Comprehensive Antibiotic Resistance Database）数据库，ARGs-OAP proto整合了两种抗性数据库，并结合NCBI-NR数据库中的ARG序列整合为SARGfam（structured antibiotic resistance genes database）数据库，基于隐马尔可夫模型（HMM）来鉴定组装序列，对ARGs基因进行定性定量，及subtype分类。</w:t>
      </w:r>
    </w:p>
    <w:p w14:paraId="3D4D5E99">
      <w:pPr>
        <w:pStyle w:val="41"/>
      </w:pPr>
      <w:bookmarkStart w:id="179" w:name="_Toc11827"/>
      <w:r>
        <w:t>1</w:t>
      </w:r>
      <w:r>
        <w:rPr>
          <w:rFonts w:hint="eastAsia"/>
          <w:lang w:val="en-US" w:eastAsia="zh-CN"/>
        </w:rPr>
        <w:t>0</w:t>
      </w:r>
      <w:r>
        <w:t>.1</w:t>
      </w:r>
      <w:r>
        <w:rPr>
          <w:rFonts w:hint="eastAsia"/>
        </w:rPr>
        <w:t>抗性基因丰度统计</w:t>
      </w:r>
      <w:bookmarkEnd w:id="179"/>
    </w:p>
    <w:p w14:paraId="5C32D5BE">
      <w:pPr>
        <w:ind w:firstLine="420"/>
        <w:rPr>
          <w:rFonts w:cs="Times New Roman"/>
          <w:color w:val="0070C0"/>
        </w:rPr>
      </w:pPr>
      <w:r>
        <w:rPr>
          <w:rFonts w:cs="Times New Roman"/>
          <w:color w:val="0070C0"/>
        </w:rPr>
        <w:t>ARG</w:t>
      </w:r>
      <w:r>
        <w:rPr>
          <w:rFonts w:hint="eastAsia" w:cs="Times New Roman"/>
          <w:color w:val="0070C0"/>
        </w:rPr>
        <w:t>丰度柱形图如下所示：</w:t>
      </w:r>
    </w:p>
    <w:p w14:paraId="253EC2C6">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7" name="图片 9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图片 98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3C2FD38">
      <w:pPr>
        <w:pStyle w:val="32"/>
      </w:pPr>
      <w:r>
        <w:rPr>
          <w:rFonts w:hint="eastAsia"/>
        </w:rPr>
        <w:t>注：横坐标为不同的样本，纵坐标为不同</w:t>
      </w:r>
      <w:r>
        <w:t>ARG</w:t>
      </w:r>
      <w:r>
        <w:rPr>
          <w:rFonts w:hint="eastAsia"/>
        </w:rPr>
        <w:t>功能丰度占总功能丰度的百分比，图中不同的颜色表示不同的</w:t>
      </w:r>
      <w:r>
        <w:t>ARG</w:t>
      </w:r>
      <w:r>
        <w:rPr>
          <w:rFonts w:hint="eastAsia"/>
        </w:rPr>
        <w:t>功能。</w:t>
      </w:r>
    </w:p>
    <w:p w14:paraId="1A793EA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-ARG/1.Barplot</w:t>
      </w:r>
    </w:p>
    <w:p w14:paraId="3864BF4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0C0A7B8F">
      <w:pPr>
        <w:ind w:firstLine="420"/>
        <w:rPr>
          <w:rFonts w:cs="Times New Roman"/>
          <w:color w:val="0070C0"/>
        </w:rPr>
      </w:pPr>
      <w:r>
        <w:rPr>
          <w:rFonts w:cs="Times New Roman"/>
          <w:color w:val="0070C0"/>
        </w:rPr>
        <w:t>ARG</w:t>
      </w:r>
      <w:r>
        <w:rPr>
          <w:rFonts w:hint="eastAsia" w:cs="Times New Roman"/>
          <w:color w:val="0070C0"/>
        </w:rPr>
        <w:t>功能丰度聚类热图如下所示：</w:t>
      </w:r>
    </w:p>
    <w:p w14:paraId="0932C6FD">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8" name="图片 98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图片 98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C088790">
      <w:pPr>
        <w:pStyle w:val="32"/>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前50的ARG功能</w:t>
      </w:r>
      <w:r>
        <w:rPr>
          <w:rFonts w:hint="eastAsia"/>
          <w:shd w:val="clear" w:color="auto" w:fill="FFFFFF"/>
        </w:rPr>
        <w:t>（不足5</w:t>
      </w:r>
      <w:r>
        <w:rPr>
          <w:shd w:val="clear" w:color="auto" w:fill="FFFFFF"/>
        </w:rPr>
        <w:t>0</w:t>
      </w:r>
      <w:r>
        <w:rPr>
          <w:rFonts w:hint="eastAsia"/>
          <w:shd w:val="clear" w:color="auto" w:fill="FFFFFF"/>
        </w:rPr>
        <w:t>显示全部），</w:t>
      </w:r>
      <w:r>
        <w:t>图中的颜色代表了</w:t>
      </w:r>
      <w:r>
        <w:rPr>
          <w:shd w:val="clear" w:color="auto" w:fill="FFFFFF"/>
        </w:rPr>
        <w:t>ARG</w:t>
      </w:r>
      <w:r>
        <w:rPr>
          <w:rFonts w:hint="eastAsia"/>
        </w:rPr>
        <w:t>功能</w:t>
      </w:r>
      <w:r>
        <w:t>的丰度大小，颜色由蓝色到红色渐变表示</w:t>
      </w:r>
      <w:r>
        <w:rPr>
          <w:rFonts w:hint="eastAsia"/>
        </w:rPr>
        <w:t>功能</w:t>
      </w:r>
      <w:r>
        <w:t>丰度由小到大</w:t>
      </w:r>
      <w:r>
        <w:rPr>
          <w:rFonts w:hint="eastAsia"/>
        </w:rPr>
        <w:t>。</w:t>
      </w:r>
    </w:p>
    <w:p w14:paraId="6E458D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-ARG/2.Heatmap</w:t>
      </w:r>
    </w:p>
    <w:p w14:paraId="7D47FC41">
      <w:pPr>
        <w:pStyle w:val="41"/>
      </w:pPr>
      <w:bookmarkStart w:id="180" w:name="_Toc12878"/>
      <w:r>
        <w:t>1</w:t>
      </w:r>
      <w:r>
        <w:rPr>
          <w:rFonts w:hint="eastAsia"/>
          <w:lang w:val="en-US" w:eastAsia="zh-CN"/>
        </w:rPr>
        <w:t>0</w:t>
      </w:r>
      <w:r>
        <w:t xml:space="preserve">.2 </w:t>
      </w:r>
      <w:r>
        <w:rPr>
          <w:rFonts w:hint="eastAsia"/>
        </w:rPr>
        <w:t>基于抗性基因功能的降维分析</w:t>
      </w:r>
      <w:bookmarkEnd w:id="180"/>
    </w:p>
    <w:p w14:paraId="4DA53223">
      <w:pPr>
        <w:pStyle w:val="43"/>
      </w:pPr>
      <w:r>
        <w:t>1</w:t>
      </w:r>
      <w:r>
        <w:rPr>
          <w:rFonts w:hint="eastAsia"/>
          <w:lang w:val="en-US" w:eastAsia="zh-CN"/>
        </w:rPr>
        <w:t>0</w:t>
      </w:r>
      <w:r>
        <w:t>.2</w:t>
      </w:r>
      <w:r>
        <w:rPr>
          <w:rFonts w:hint="eastAsia"/>
        </w:rPr>
        <w:t>.</w:t>
      </w:r>
      <w:r>
        <w:t>1 PCA</w:t>
      </w:r>
      <w:r>
        <w:rPr>
          <w:rFonts w:hint="eastAsia"/>
        </w:rPr>
        <w:t>分析</w:t>
      </w:r>
    </w:p>
    <w:p w14:paraId="5581518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5D21F964">
      <w:pPr>
        <w:ind w:firstLine="420"/>
        <w:rPr>
          <w:rFonts w:cs="Times New Roman"/>
          <w:color w:val="0070C0"/>
        </w:rPr>
      </w:pPr>
      <w:r>
        <w:rPr>
          <w:rFonts w:cs="Times New Roman"/>
          <w:color w:val="0070C0"/>
        </w:rPr>
        <w:t>ARG</w:t>
      </w:r>
      <w:r>
        <w:rPr>
          <w:rFonts w:hint="eastAsia" w:cs="Times New Roman"/>
          <w:color w:val="0070C0"/>
        </w:rPr>
        <w:t>功能丰度PCA分析图如下所示：</w:t>
      </w:r>
    </w:p>
    <w:p w14:paraId="7B695E7F">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9" name="图片 98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图片 98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45B20EE">
      <w:pPr>
        <w:pStyle w:val="32"/>
      </w:pPr>
      <w:r>
        <w:rPr>
          <w:rFonts w:hint="eastAsia"/>
        </w:rPr>
        <w:t>注：点表示各样品的功能基因组成；横坐标表示第一主成分及其对样品差异的贡献率；纵坐标表示第二主成分及其对样品差异的贡献率。</w:t>
      </w:r>
    </w:p>
    <w:p w14:paraId="070B086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-ARG/3.PCA</w:t>
      </w:r>
    </w:p>
    <w:p w14:paraId="4D4F1FC1">
      <w:pPr>
        <w:pStyle w:val="43"/>
      </w:pPr>
      <w:r>
        <w:t>1</w:t>
      </w:r>
      <w:r>
        <w:rPr>
          <w:rFonts w:hint="eastAsia"/>
          <w:lang w:val="en-US" w:eastAsia="zh-CN"/>
        </w:rPr>
        <w:t>0</w:t>
      </w:r>
      <w:r>
        <w:t>.2.2 PC</w:t>
      </w:r>
      <w:r>
        <w:rPr>
          <w:rFonts w:hint="eastAsia"/>
        </w:rPr>
        <w:t>o</w:t>
      </w:r>
      <w:r>
        <w:t>A</w:t>
      </w:r>
      <w:r>
        <w:rPr>
          <w:rFonts w:hint="eastAsia"/>
        </w:rPr>
        <w:t>分析</w:t>
      </w:r>
    </w:p>
    <w:p w14:paraId="6F820700">
      <w:pPr>
        <w:ind w:firstLine="420"/>
        <w:rPr>
          <w:rFonts w:cs="Times New Roman"/>
        </w:rPr>
      </w:pPr>
      <w:r>
        <w:rPr>
          <w:rFonts w:hint="eastAsia" w:cs="Times New Roman"/>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6A538DAC">
      <w:pPr>
        <w:ind w:firstLine="420"/>
        <w:rPr>
          <w:rFonts w:cs="Times New Roman"/>
          <w:color w:val="0070C0"/>
        </w:rPr>
      </w:pPr>
      <w:r>
        <w:rPr>
          <w:rFonts w:cs="Times New Roman"/>
          <w:color w:val="0070C0"/>
        </w:rPr>
        <w:t>ARG</w:t>
      </w:r>
      <w:r>
        <w:rPr>
          <w:rFonts w:hint="eastAsia" w:cs="Times New Roman"/>
          <w:color w:val="0070C0"/>
        </w:rPr>
        <w:t>功能丰度PCoA分析图如下所示：</w:t>
      </w:r>
    </w:p>
    <w:p w14:paraId="226EF74C">
      <w:pPr>
        <w:pStyle w:val="32"/>
        <w:spacing w:line="360" w:lineRule="auto"/>
        <w:ind w:firstLine="420" w:firstLineChars="200"/>
        <w:jc w:val="center"/>
        <w:rPr>
          <w:szCs w:val="21"/>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990" name="图片 99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图片 99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611E319">
      <w:pPr>
        <w:pStyle w:val="32"/>
      </w:pPr>
      <w:r>
        <w:rPr>
          <w:rFonts w:hint="eastAsia"/>
        </w:rPr>
        <w:t>注：点表示各样品的功能基因组成；横坐标表示第一主成分及其对样品差异的贡献率；纵坐标表示第二主成分及其对样品差异的贡献率。</w:t>
      </w:r>
    </w:p>
    <w:p w14:paraId="4741EA4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-ARG/4.PCoA</w:t>
      </w:r>
    </w:p>
    <w:p w14:paraId="46C6A354">
      <w:pPr>
        <w:pStyle w:val="43"/>
      </w:pPr>
      <w:r>
        <w:t>1</w:t>
      </w:r>
      <w:r>
        <w:rPr>
          <w:rFonts w:hint="eastAsia"/>
          <w:lang w:val="en-US" w:eastAsia="zh-CN"/>
        </w:rPr>
        <w:t>0</w:t>
      </w:r>
      <w:r>
        <w:t>.2.3 NMDS</w:t>
      </w:r>
      <w:r>
        <w:rPr>
          <w:rFonts w:hint="eastAsia"/>
        </w:rPr>
        <w:t>分析</w:t>
      </w:r>
    </w:p>
    <w:p w14:paraId="4D74A40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EC6A56D">
      <w:pPr>
        <w:ind w:firstLine="420"/>
        <w:rPr>
          <w:rFonts w:cs="Times New Roman"/>
          <w:color w:val="0070C0"/>
        </w:rPr>
      </w:pPr>
      <w:r>
        <w:rPr>
          <w:rFonts w:cs="Times New Roman"/>
          <w:color w:val="0070C0"/>
        </w:rPr>
        <w:t>ARG</w:t>
      </w:r>
      <w:r>
        <w:rPr>
          <w:rFonts w:hint="eastAsia" w:cs="Times New Roman"/>
          <w:color w:val="0070C0"/>
        </w:rPr>
        <w:t>功能丰度</w:t>
      </w:r>
      <w:r>
        <w:rPr>
          <w:rFonts w:cs="Times New Roman"/>
          <w:color w:val="0070C0"/>
        </w:rPr>
        <w:t>NMDS</w:t>
      </w:r>
      <w:r>
        <w:rPr>
          <w:rFonts w:hint="eastAsia" w:cs="Times New Roman"/>
          <w:color w:val="0070C0"/>
        </w:rPr>
        <w:t>分析图如下图所示：</w:t>
      </w:r>
    </w:p>
    <w:p w14:paraId="75C4EF22">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1" name="图片 99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图片 99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F16CF75">
      <w:pPr>
        <w:pStyle w:val="32"/>
      </w:pPr>
      <w:r>
        <w:rPr>
          <w:rFonts w:hint="eastAsia"/>
        </w:rPr>
        <w:t>注：点表示各样品的功能基因组成；横坐标表示第一主成分及其对样品差异的贡献率；纵坐标表示第二主成分及其对样品差异的贡献率。</w:t>
      </w:r>
    </w:p>
    <w:p w14:paraId="492188C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-ARG/5.NMDS</w:t>
      </w:r>
    </w:p>
    <w:p w14:paraId="2688385F">
      <w:pPr>
        <w:pStyle w:val="41"/>
      </w:pPr>
      <w:bookmarkStart w:id="181" w:name="_Toc2854"/>
      <w:r>
        <w:t>1</w:t>
      </w:r>
      <w:r>
        <w:rPr>
          <w:rFonts w:hint="eastAsia"/>
          <w:lang w:val="en-US" w:eastAsia="zh-CN"/>
        </w:rPr>
        <w:t>0</w:t>
      </w:r>
      <w:r>
        <w:t xml:space="preserve">.3 </w:t>
      </w:r>
      <w:r>
        <w:rPr>
          <w:rFonts w:hint="eastAsia"/>
        </w:rPr>
        <w:t>基于抗性基因的组间差异分析</w:t>
      </w:r>
      <w:bookmarkEnd w:id="181"/>
    </w:p>
    <w:p w14:paraId="52E74956">
      <w:pPr>
        <w:pStyle w:val="43"/>
      </w:pPr>
      <w:r>
        <w:t>1</w:t>
      </w:r>
      <w:r>
        <w:rPr>
          <w:rFonts w:hint="eastAsia"/>
          <w:lang w:val="en-US" w:eastAsia="zh-CN"/>
        </w:rPr>
        <w:t>0</w:t>
      </w:r>
      <w:r>
        <w:t>.3.1 ANOVA</w:t>
      </w:r>
      <w:r>
        <w:rPr>
          <w:rFonts w:hint="eastAsia"/>
        </w:rPr>
        <w:t>分析</w:t>
      </w:r>
    </w:p>
    <w:p w14:paraId="0DF5444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15484D8E">
      <w:pPr>
        <w:ind w:firstLine="420"/>
        <w:rPr>
          <w:rFonts w:cs="Times New Roman"/>
          <w:color w:val="0070C0"/>
        </w:rPr>
      </w:pPr>
      <w:r>
        <w:rPr>
          <w:rFonts w:cs="Times New Roman"/>
          <w:color w:val="0070C0"/>
        </w:rPr>
        <w:t>ARG</w:t>
      </w:r>
      <w:r>
        <w:rPr>
          <w:rFonts w:hint="eastAsia" w:cs="Times New Roman"/>
          <w:color w:val="0070C0"/>
        </w:rPr>
        <w:t>的ANOVA分析差异功能柱状图如下图所示：</w:t>
      </w:r>
    </w:p>
    <w:p w14:paraId="11D3EF32">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2" name="图片 99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图片 99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A8C03E5">
      <w:pPr>
        <w:pStyle w:val="32"/>
      </w:pPr>
      <w:r>
        <w:rPr>
          <w:rFonts w:hint="eastAsia"/>
        </w:rPr>
        <w:t>注：横坐标分组，不同颜色代表不同的分组，纵坐标为功能丰度</w:t>
      </w:r>
    </w:p>
    <w:p w14:paraId="387E1A8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-ARG/6.Statistical_test_analysis/1.ANOVA</w:t>
      </w:r>
    </w:p>
    <w:p w14:paraId="58CD22BB">
      <w:pPr>
        <w:pStyle w:val="43"/>
      </w:pPr>
      <w:r>
        <w:t>1</w:t>
      </w:r>
      <w:r>
        <w:rPr>
          <w:rFonts w:hint="eastAsia"/>
          <w:lang w:val="en-US" w:eastAsia="zh-CN"/>
        </w:rPr>
        <w:t>0</w:t>
      </w:r>
      <w:r>
        <w:t xml:space="preserve">.3.2 </w:t>
      </w:r>
      <w:r>
        <w:rPr>
          <w:rFonts w:hint="eastAsia"/>
        </w:rPr>
        <w:t>秩和检验</w:t>
      </w:r>
    </w:p>
    <w:p w14:paraId="50BA50C6">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16B9AAE7">
      <w:pPr>
        <w:ind w:firstLine="420"/>
        <w:rPr>
          <w:rFonts w:cs="Times New Roman"/>
          <w:color w:val="0070C0"/>
        </w:rPr>
      </w:pPr>
      <w:r>
        <w:rPr>
          <w:rFonts w:cs="Times New Roman"/>
          <w:color w:val="0070C0"/>
        </w:rPr>
        <w:t>ARG</w:t>
      </w:r>
      <w:r>
        <w:rPr>
          <w:rFonts w:hint="eastAsia" w:cs="Times New Roman"/>
          <w:color w:val="0070C0"/>
        </w:rPr>
        <w:t>的</w:t>
      </w:r>
      <w:r>
        <w:rPr>
          <w:rFonts w:hint="eastAsia" w:cs="Times New Roman"/>
          <w:color w:val="0070C0"/>
          <w:shd w:val="clear" w:color="auto" w:fill="FFFFFF"/>
        </w:rPr>
        <w:t>秩和检验差异功能柱状图如下：</w:t>
      </w:r>
    </w:p>
    <w:p w14:paraId="6BDE13C4">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3" name="图片 99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图片 99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1A93AB8">
      <w:pPr>
        <w:pStyle w:val="32"/>
      </w:pPr>
      <w:r>
        <w:rPr>
          <w:rFonts w:hint="eastAsia"/>
        </w:rPr>
        <w:t>注：横坐标分组，不同颜色代表不同的分组，纵坐标为功能丰度</w:t>
      </w:r>
    </w:p>
    <w:p w14:paraId="143E69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-ARG/6.Statistical_test_analysis/2.wilcoxon</w:t>
      </w:r>
    </w:p>
    <w:p w14:paraId="3969F575">
      <w:pPr>
        <w:pStyle w:val="43"/>
      </w:pPr>
      <w:r>
        <w:t>1</w:t>
      </w:r>
      <w:r>
        <w:rPr>
          <w:rFonts w:hint="eastAsia"/>
          <w:lang w:val="en-US" w:eastAsia="zh-CN"/>
        </w:rPr>
        <w:t>0</w:t>
      </w:r>
      <w:r>
        <w:t>.3.3 Stamp</w:t>
      </w:r>
      <w:r>
        <w:rPr>
          <w:rFonts w:hint="eastAsia"/>
        </w:rPr>
        <w:t>分析</w:t>
      </w:r>
    </w:p>
    <w:p w14:paraId="30FA65E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1123B43F">
      <w:pPr>
        <w:ind w:firstLine="420"/>
        <w:rPr>
          <w:rFonts w:cs="Times New Roman"/>
          <w:color w:val="000000" w:themeColor="text1"/>
          <w14:textFill>
            <w14:solidFill>
              <w14:schemeClr w14:val="tx1"/>
            </w14:solidFill>
          </w14:textFill>
        </w:rPr>
      </w:pPr>
      <w:r>
        <w:rPr>
          <w:rFonts w:cs="Times New Roman"/>
          <w:color w:val="0070C0"/>
        </w:rPr>
        <w:t>ARG</w:t>
      </w:r>
      <w:r>
        <w:rPr>
          <w:rFonts w:hint="eastAsia" w:cs="Times New Roman"/>
          <w:color w:val="0070C0"/>
        </w:rPr>
        <w:t>差异检验柱状图如下所示：</w:t>
      </w:r>
    </w:p>
    <w:p w14:paraId="21C69541">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4" name="图片 99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图片 99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A589336">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3146C1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-ARG/6.Statistical_test_analysis/3.Stamp</w:t>
      </w:r>
    </w:p>
    <w:p w14:paraId="1183704C">
      <w:pPr>
        <w:pStyle w:val="43"/>
      </w:pPr>
      <w:r>
        <w:t>1</w:t>
      </w:r>
      <w:r>
        <w:rPr>
          <w:rFonts w:hint="eastAsia"/>
          <w:lang w:val="en-US" w:eastAsia="zh-CN"/>
        </w:rPr>
        <w:t>0</w:t>
      </w:r>
      <w:r>
        <w:t>.3.4 Random_Forest</w:t>
      </w:r>
      <w:r>
        <w:rPr>
          <w:rFonts w:hint="eastAsia"/>
        </w:rPr>
        <w:t>分析</w:t>
      </w:r>
    </w:p>
    <w:p w14:paraId="7A77C11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5F377302">
      <w:pPr>
        <w:ind w:firstLine="420"/>
        <w:rPr>
          <w:rFonts w:cs="Times New Roman"/>
          <w:color w:val="0070C0"/>
        </w:rPr>
      </w:pPr>
      <w:r>
        <w:rPr>
          <w:rFonts w:cs="Times New Roman"/>
          <w:color w:val="0070C0"/>
        </w:rPr>
        <w:t>ARG</w:t>
      </w:r>
      <w:r>
        <w:rPr>
          <w:rFonts w:hint="eastAsia" w:cs="Times New Roman"/>
          <w:color w:val="0070C0"/>
        </w:rPr>
        <w:t>随机森林分析（排名前</w:t>
      </w:r>
      <w:r>
        <w:rPr>
          <w:rFonts w:cs="Times New Roman"/>
          <w:color w:val="0070C0"/>
        </w:rPr>
        <w:t>10</w:t>
      </w:r>
      <w:r>
        <w:rPr>
          <w:rFonts w:hint="eastAsia" w:cs="Times New Roman"/>
          <w:color w:val="0070C0"/>
        </w:rPr>
        <w:t>）：</w:t>
      </w:r>
    </w:p>
    <w:p w14:paraId="6D44040B">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5" name="图片 99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图片 99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55BFE8C">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154138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-ARG/6.Statistical_test_analysis/4.Random_Forest</w:t>
      </w:r>
    </w:p>
    <w:p w14:paraId="0210E402">
      <w:pPr>
        <w:pStyle w:val="43"/>
      </w:pPr>
      <w:r>
        <w:t>1</w:t>
      </w:r>
      <w:r>
        <w:rPr>
          <w:rFonts w:hint="eastAsia"/>
          <w:lang w:val="en-US" w:eastAsia="zh-CN"/>
        </w:rPr>
        <w:t>0</w:t>
      </w:r>
      <w:r>
        <w:t>.3.5 metagenomeSeq</w:t>
      </w:r>
      <w:r>
        <w:rPr>
          <w:rFonts w:hint="eastAsia"/>
        </w:rPr>
        <w:t>分析</w:t>
      </w:r>
    </w:p>
    <w:p w14:paraId="5D07CF8E">
      <w:pPr>
        <w:ind w:firstLine="420"/>
        <w:rPr>
          <w:b/>
        </w:rPr>
      </w:pPr>
      <w:r>
        <w:rPr>
          <w:rFonts w:hint="eastAsia"/>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0FB26896">
      <w:pPr>
        <w:ind w:firstLine="420"/>
        <w:rPr>
          <w:b/>
          <w:color w:val="000000" w:themeColor="text1"/>
          <w14:textFill>
            <w14:solidFill>
              <w14:schemeClr w14:val="tx1"/>
            </w14:solidFill>
          </w14:textFill>
        </w:rPr>
      </w:pPr>
      <w:r>
        <w:t>ARG</w:t>
      </w:r>
      <w:r>
        <w:rPr>
          <w:rFonts w:hint="eastAsia"/>
        </w:rPr>
        <w:t>差异功能热图如下：</w:t>
      </w:r>
    </w:p>
    <w:p w14:paraId="4A62FF7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6" name="图片 99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图片 99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2F00C57">
      <w:pPr>
        <w:pStyle w:val="32"/>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E164C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-ARG/6.Statistical_test_analysis/5.metagenomeSeq</w:t>
      </w:r>
    </w:p>
    <w:p w14:paraId="18899333">
      <w:pPr>
        <w:pStyle w:val="43"/>
      </w:pPr>
      <w:r>
        <w:t>1</w:t>
      </w:r>
      <w:r>
        <w:rPr>
          <w:rFonts w:hint="eastAsia"/>
          <w:lang w:val="en-US" w:eastAsia="zh-CN"/>
        </w:rPr>
        <w:t>0</w:t>
      </w:r>
      <w:r>
        <w:t>.3.6 Anosim</w:t>
      </w:r>
      <w:r>
        <w:rPr>
          <w:rFonts w:hint="eastAsia"/>
        </w:rPr>
        <w:t>分析</w:t>
      </w:r>
    </w:p>
    <w:p w14:paraId="70E0BE07">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78E6FCB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Result/group*/10-ARG/6.Statistical_test_analysis/6.Anosim</w:t>
      </w:r>
    </w:p>
    <w:p w14:paraId="5079E128">
      <w:pPr>
        <w:pStyle w:val="43"/>
      </w:pPr>
      <w:r>
        <w:t>1</w:t>
      </w:r>
      <w:r>
        <w:rPr>
          <w:rFonts w:hint="eastAsia"/>
          <w:lang w:val="en-US" w:eastAsia="zh-CN"/>
        </w:rPr>
        <w:t>0</w:t>
      </w:r>
      <w:r>
        <w:t>.3.7 ADONIS分析</w:t>
      </w:r>
    </w:p>
    <w:p w14:paraId="6EBF8BED">
      <w:pPr>
        <w:ind w:firstLine="420"/>
        <w:rPr>
          <w:rFonts w:cs="Times New Roman"/>
        </w:rPr>
      </w:pPr>
      <w:r>
        <w:rPr>
          <w:rFonts w:cs="Times New Roman"/>
        </w:rPr>
        <w:t>ADONIS又称置换多元方差分析（permutational multivariate analysis of variance</w:t>
      </w:r>
      <w:r>
        <w:rPr>
          <w:rFonts w:hint="eastAsia" w:cs="Times New Roman"/>
        </w:rPr>
        <w:t>，</w:t>
      </w:r>
      <w:r>
        <w:rPr>
          <w:rFonts w:cs="Times New Roman"/>
        </w:rPr>
        <w:t>PERMANOVA）或非参数多因素方差分析（nonparametric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4567FF7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-ARG/6.Statistical_test_analysis/7.Adonis</w:t>
      </w:r>
    </w:p>
    <w:p w14:paraId="41C0D93E">
      <w:pPr>
        <w:pStyle w:val="43"/>
      </w:pPr>
      <w:r>
        <w:t>1</w:t>
      </w:r>
      <w:r>
        <w:rPr>
          <w:rFonts w:hint="eastAsia"/>
          <w:lang w:val="en-US" w:eastAsia="zh-CN"/>
        </w:rPr>
        <w:t>0</w:t>
      </w:r>
      <w:r>
        <w:t>.3.8 MRPP分析</w:t>
      </w:r>
    </w:p>
    <w:p w14:paraId="1E5AE4E9">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200C79C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-ARG/6.Statistical_test_analysis/8.MRPP</w:t>
      </w:r>
    </w:p>
    <w:p w14:paraId="19A813BF">
      <w:pPr>
        <w:pStyle w:val="43"/>
      </w:pPr>
      <w:r>
        <w:t>1</w:t>
      </w:r>
      <w:r>
        <w:rPr>
          <w:rFonts w:hint="eastAsia"/>
          <w:lang w:val="en-US" w:eastAsia="zh-CN"/>
        </w:rPr>
        <w:t>0</w:t>
      </w:r>
      <w:r>
        <w:t>.3.9 Lefse</w:t>
      </w:r>
      <w:r>
        <w:rPr>
          <w:rFonts w:hint="eastAsia"/>
        </w:rPr>
        <w:t>分析</w:t>
      </w:r>
    </w:p>
    <w:p w14:paraId="600A3B0F">
      <w:pPr>
        <w:ind w:firstLine="420"/>
      </w:pPr>
      <w:r>
        <w:rPr>
          <w:rFonts w:hint="eastAsia"/>
        </w:rPr>
        <w:t>LDA Effect Size分析，可以实现多个分组之间的比较，还进行分组比较的内部进行亚组比较分析，从而找到组间在丰度上有显著差异的功能，其分析原理有如下三步：</w:t>
      </w:r>
    </w:p>
    <w:p w14:paraId="0388A2E4">
      <w:pPr>
        <w:ind w:firstLine="420"/>
      </w:pPr>
      <w:r>
        <w:rPr>
          <w:rFonts w:hint="eastAsia"/>
        </w:rPr>
        <w:t>1）首先在多组样本中采用的非参数检验Kruskal-Wallis秩和检验检测不同分组间丰度差异显著的功能，阈值设定0.05；</w:t>
      </w:r>
    </w:p>
    <w:p w14:paraId="2BDDC2A5">
      <w:pPr>
        <w:ind w:firstLine="420"/>
      </w:pPr>
      <w:r>
        <w:rPr>
          <w:rFonts w:hint="eastAsia"/>
        </w:rPr>
        <w:t>2）然后在上一步中获得的显著差异功能，用成组的Wilcoxon秩和检验来进行组间差异分析，阈值设定0.05；</w:t>
      </w:r>
    </w:p>
    <w:p w14:paraId="75810828">
      <w:pPr>
        <w:ind w:firstLine="420"/>
      </w:pPr>
      <w:r>
        <w:rPr>
          <w:rFonts w:hint="eastAsia"/>
        </w:rPr>
        <w:t>3）最后用线性判别分析（LDA）对数据进行降维和评估差异显著的物种的影响力（即LDA score），阈值设定2</w:t>
      </w:r>
    </w:p>
    <w:p w14:paraId="7222ED06">
      <w:pPr>
        <w:ind w:firstLine="420"/>
        <w:rPr>
          <w:rFonts w:cs="Times New Roman"/>
          <w:color w:val="0070C0"/>
        </w:rPr>
      </w:pPr>
      <w:r>
        <w:rPr>
          <w:rFonts w:cs="Times New Roman"/>
          <w:color w:val="0070C0"/>
        </w:rPr>
        <w:t>ARG</w:t>
      </w:r>
      <w:r>
        <w:rPr>
          <w:rFonts w:hint="eastAsia" w:cs="Times New Roman"/>
          <w:color w:val="0070C0"/>
        </w:rPr>
        <w:t>的L</w:t>
      </w:r>
      <w:r>
        <w:rPr>
          <w:rFonts w:cs="Times New Roman"/>
          <w:color w:val="0070C0"/>
        </w:rPr>
        <w:t>DA值柱状图如下所示：</w:t>
      </w:r>
    </w:p>
    <w:p w14:paraId="40EC012E">
      <w:pPr>
        <w:ind w:firstLine="420"/>
        <w:jc w:val="center"/>
        <w:rPr>
          <w:rFonts w:cs="Times New Roman"/>
          <w:color w:val="0070C0"/>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7" name="图片 99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图片 99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7411263">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的影响大小（即为LDA Score）</w:t>
      </w:r>
      <w:r>
        <w:rPr>
          <w:rFonts w:hint="eastAsia"/>
        </w:rPr>
        <w:t>。图中仅绘制L</w:t>
      </w:r>
      <w:r>
        <w:t>DA</w:t>
      </w:r>
      <w:r>
        <w:rPr>
          <w:rFonts w:hint="eastAsia"/>
        </w:rPr>
        <w:t>值＞2且排名前1</w:t>
      </w:r>
      <w:r>
        <w:t>00</w:t>
      </w:r>
      <w:r>
        <w:rPr>
          <w:rFonts w:hint="eastAsia"/>
        </w:rPr>
        <w:t>的A</w:t>
      </w:r>
      <w:r>
        <w:t>RG</w:t>
      </w:r>
      <w:r>
        <w:rPr>
          <w:rFonts w:hint="eastAsia"/>
        </w:rPr>
        <w:t>抗性基因，不足1</w:t>
      </w:r>
      <w:r>
        <w:t>00</w:t>
      </w:r>
      <w:r>
        <w:rPr>
          <w:rFonts w:hint="eastAsia"/>
        </w:rPr>
        <w:t>绘制全部。</w:t>
      </w:r>
    </w:p>
    <w:p w14:paraId="5566381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-ARG/6.Statistical_test_analysis/9.Lefse</w:t>
      </w:r>
    </w:p>
    <w:p w14:paraId="4D81B745">
      <w:pPr>
        <w:pStyle w:val="40"/>
      </w:pPr>
      <w:bookmarkStart w:id="182" w:name="_Toc21591"/>
      <w:r>
        <w:rPr>
          <w:rFonts w:hint="eastAsia"/>
          <w:bCs w:val="0"/>
        </w:rPr>
        <w:t>1</w:t>
      </w:r>
      <w:r>
        <w:rPr>
          <w:rFonts w:hint="eastAsia"/>
          <w:bCs w:val="0"/>
          <w:lang w:val="en-US" w:eastAsia="zh-CN"/>
        </w:rPr>
        <w:t>1</w:t>
      </w:r>
      <w:r>
        <w:rPr>
          <w:bCs w:val="0"/>
        </w:rPr>
        <w:t xml:space="preserve">. </w:t>
      </w:r>
      <w:r>
        <w:rPr>
          <w:rFonts w:hint="eastAsia"/>
        </w:rPr>
        <w:t>毒力因子分析</w:t>
      </w:r>
      <w:bookmarkEnd w:id="182"/>
    </w:p>
    <w:p w14:paraId="0460BCC5">
      <w:pPr>
        <w:ind w:firstLine="420"/>
      </w:pPr>
      <w:r>
        <w:rPr>
          <w:rFonts w:hint="eastAsia"/>
        </w:rPr>
        <w:t>来源于微生物，并对微生物自身侵染和引起特定宿主疾病具有促进作用的物质称为毒力因子（virulent factor），主要包括细菌毒素、调节细菌粘附作用的细胞表面蛋白、对细菌本身具有保护作用的蛋白、细胞表面碳水化合物以及具有细菌致病性的水解酶等。毒力因子数据库VFDB（http://www.mgc.ac.cn/VFs/），是一个可靠的一体化的病原菌毒力因子信息管理网络数据库。</w:t>
      </w:r>
    </w:p>
    <w:p w14:paraId="0E3677DC">
      <w:pPr>
        <w:pStyle w:val="41"/>
      </w:pPr>
      <w:bookmarkStart w:id="183" w:name="_Toc13316"/>
      <w:r>
        <w:t>1</w:t>
      </w:r>
      <w:r>
        <w:rPr>
          <w:rFonts w:hint="eastAsia"/>
          <w:lang w:val="en-US" w:eastAsia="zh-CN"/>
        </w:rPr>
        <w:t>1</w:t>
      </w:r>
      <w:r>
        <w:t>.1</w:t>
      </w:r>
      <w:r>
        <w:rPr>
          <w:rFonts w:hint="eastAsia"/>
        </w:rPr>
        <w:t>毒力因子基因丰度统计</w:t>
      </w:r>
      <w:bookmarkEnd w:id="183"/>
    </w:p>
    <w:p w14:paraId="5AA0DF6E">
      <w:pPr>
        <w:ind w:firstLine="420"/>
        <w:rPr>
          <w:rFonts w:cs="Times New Roman"/>
          <w:color w:val="0070C0"/>
        </w:rPr>
      </w:pPr>
      <w:r>
        <w:rPr>
          <w:rFonts w:hint="eastAsia" w:cs="Times New Roman"/>
          <w:color w:val="0070C0"/>
        </w:rPr>
        <w:t>毒力因子基因丰度柱形图如下：</w:t>
      </w:r>
    </w:p>
    <w:p w14:paraId="68A854C0">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8" name="图片 99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图片 99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CC84921">
      <w:pPr>
        <w:pStyle w:val="32"/>
      </w:pPr>
      <w:r>
        <w:rPr>
          <w:rFonts w:hint="eastAsia"/>
        </w:rPr>
        <w:t>注：横坐标为不同的样本，纵坐标为不同毒力因子基因丰度占总功能丰度的百分比，图中不同的颜色表示不同的毒力因子基因。</w:t>
      </w:r>
    </w:p>
    <w:p w14:paraId="4AAA48B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-VFDB/1.Barplot</w:t>
      </w:r>
    </w:p>
    <w:p w14:paraId="01B534A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1FB1DB23">
      <w:pPr>
        <w:ind w:firstLine="420"/>
        <w:rPr>
          <w:rFonts w:cs="Times New Roman"/>
          <w:color w:val="0070C0"/>
        </w:rPr>
      </w:pPr>
      <w:r>
        <w:rPr>
          <w:rFonts w:hint="eastAsia" w:cs="Times New Roman"/>
          <w:color w:val="0070C0"/>
        </w:rPr>
        <w:t>毒力因子基因聚类热图：</w:t>
      </w:r>
    </w:p>
    <w:p w14:paraId="053099D9">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9" name="图片 99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图片 99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48AD2EE">
      <w:pPr>
        <w:pStyle w:val="32"/>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前50的</w:t>
      </w:r>
      <w:r>
        <w:rPr>
          <w:rFonts w:hint="eastAsia"/>
          <w:shd w:val="clear" w:color="auto" w:fill="FFFFFF"/>
        </w:rPr>
        <w:t>毒力因子基因（不足5</w:t>
      </w:r>
      <w:r>
        <w:rPr>
          <w:shd w:val="clear" w:color="auto" w:fill="FFFFFF"/>
        </w:rPr>
        <w:t>0</w:t>
      </w:r>
      <w:r>
        <w:rPr>
          <w:rFonts w:hint="eastAsia"/>
          <w:shd w:val="clear" w:color="auto" w:fill="FFFFFF"/>
        </w:rPr>
        <w:t>显示全部），</w:t>
      </w:r>
      <w:r>
        <w:t>图中的颜色代表了</w:t>
      </w:r>
      <w:r>
        <w:rPr>
          <w:rFonts w:hint="eastAsia"/>
          <w:shd w:val="clear" w:color="auto" w:fill="FFFFFF"/>
        </w:rPr>
        <w:t>毒力因子基因</w:t>
      </w:r>
      <w:r>
        <w:t>的丰度大小，颜色由蓝色到红色渐变表示</w:t>
      </w:r>
      <w:r>
        <w:rPr>
          <w:rFonts w:hint="eastAsia"/>
        </w:rPr>
        <w:t>功能</w:t>
      </w:r>
      <w:r>
        <w:t>丰度由小到大</w:t>
      </w:r>
      <w:r>
        <w:rPr>
          <w:rFonts w:hint="eastAsia"/>
        </w:rPr>
        <w:t>。</w:t>
      </w:r>
    </w:p>
    <w:p w14:paraId="4CCAB7A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-VFDB/2.Heatmap</w:t>
      </w:r>
    </w:p>
    <w:p w14:paraId="17F518B4">
      <w:pPr>
        <w:pStyle w:val="41"/>
      </w:pPr>
      <w:bookmarkStart w:id="184" w:name="_Toc32753"/>
      <w:r>
        <w:t>1</w:t>
      </w:r>
      <w:r>
        <w:rPr>
          <w:rFonts w:hint="eastAsia"/>
          <w:lang w:val="en-US" w:eastAsia="zh-CN"/>
        </w:rPr>
        <w:t>1</w:t>
      </w:r>
      <w:r>
        <w:t xml:space="preserve">.2 </w:t>
      </w:r>
      <w:r>
        <w:rPr>
          <w:rFonts w:hint="eastAsia"/>
        </w:rPr>
        <w:t>基于毒力因子的降维分析</w:t>
      </w:r>
      <w:bookmarkEnd w:id="184"/>
    </w:p>
    <w:p w14:paraId="30C1755A">
      <w:pPr>
        <w:pStyle w:val="43"/>
      </w:pPr>
      <w:r>
        <w:t>1</w:t>
      </w:r>
      <w:r>
        <w:rPr>
          <w:rFonts w:hint="eastAsia"/>
          <w:lang w:val="en-US" w:eastAsia="zh-CN"/>
        </w:rPr>
        <w:t>1</w:t>
      </w:r>
      <w:r>
        <w:t>.2.1 PCA</w:t>
      </w:r>
      <w:r>
        <w:rPr>
          <w:rFonts w:hint="eastAsia"/>
        </w:rPr>
        <w:t>分析</w:t>
      </w:r>
    </w:p>
    <w:p w14:paraId="08BFCD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4149A520">
      <w:pPr>
        <w:ind w:firstLine="420"/>
        <w:rPr>
          <w:rFonts w:cs="Times New Roman"/>
          <w:color w:val="0070C0"/>
        </w:rPr>
      </w:pPr>
      <w:r>
        <w:rPr>
          <w:rFonts w:hint="eastAsia" w:cs="Times New Roman"/>
          <w:color w:val="0070C0"/>
        </w:rPr>
        <w:t>毒力因子基因PCA分析图：</w:t>
      </w:r>
    </w:p>
    <w:p w14:paraId="4150908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0" name="图片 100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图片 100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C60F1E">
      <w:pPr>
        <w:pStyle w:val="32"/>
      </w:pPr>
      <w:r>
        <w:rPr>
          <w:rFonts w:hint="eastAsia"/>
        </w:rPr>
        <w:t>注：点表示各样品的功能基因组成；横坐标表示第一主成分及其对样品差异的贡献率；纵坐标表示第二主成分及其对样品差异的贡献率。</w:t>
      </w:r>
    </w:p>
    <w:p w14:paraId="2B3EDDF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-VFDB/3.PCA</w:t>
      </w:r>
    </w:p>
    <w:p w14:paraId="25D563E8">
      <w:pPr>
        <w:pStyle w:val="43"/>
      </w:pPr>
      <w:r>
        <w:t>1</w:t>
      </w:r>
      <w:r>
        <w:rPr>
          <w:rFonts w:hint="eastAsia"/>
          <w:lang w:val="en-US" w:eastAsia="zh-CN"/>
        </w:rPr>
        <w:t>1</w:t>
      </w:r>
      <w:r>
        <w:t>.2.2 PC</w:t>
      </w:r>
      <w:r>
        <w:rPr>
          <w:rFonts w:hint="eastAsia"/>
        </w:rPr>
        <w:t>o</w:t>
      </w:r>
      <w:r>
        <w:t>A</w:t>
      </w:r>
      <w:r>
        <w:rPr>
          <w:rFonts w:hint="eastAsia"/>
        </w:rPr>
        <w:t>分析</w:t>
      </w:r>
    </w:p>
    <w:p w14:paraId="066690B4">
      <w:pPr>
        <w:ind w:firstLine="420"/>
        <w:rPr>
          <w:rFonts w:cs="Times New Roman"/>
        </w:rPr>
      </w:pPr>
      <w:r>
        <w:rPr>
          <w:rFonts w:hint="eastAsia" w:cs="Times New Roman"/>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27C9FF91">
      <w:pPr>
        <w:ind w:firstLine="420"/>
        <w:rPr>
          <w:rFonts w:cs="Times New Roman"/>
          <w:color w:val="0070C0"/>
        </w:rPr>
      </w:pPr>
      <w:r>
        <w:rPr>
          <w:rFonts w:hint="eastAsia" w:cs="Times New Roman"/>
          <w:color w:val="0070C0"/>
        </w:rPr>
        <w:t>毒力因子基因PCoA分析：</w:t>
      </w:r>
    </w:p>
    <w:p w14:paraId="0B5E1DAB">
      <w:pPr>
        <w:pStyle w:val="32"/>
        <w:spacing w:line="360" w:lineRule="auto"/>
        <w:ind w:firstLine="420" w:firstLineChars="200"/>
        <w:jc w:val="center"/>
        <w:rPr>
          <w:szCs w:val="21"/>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01" name="图片 100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00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4A4E13E">
      <w:pPr>
        <w:pStyle w:val="32"/>
      </w:pPr>
      <w:r>
        <w:rPr>
          <w:rFonts w:hint="eastAsia"/>
        </w:rPr>
        <w:t>注：点表示各样品的功能基因组成；横坐标表示第一主成分及其对样品差异的贡献率；纵坐标表示第二主成分及其对样品差异的贡献率。</w:t>
      </w:r>
    </w:p>
    <w:p w14:paraId="3461E33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-VFDB/4.PCoA</w:t>
      </w:r>
    </w:p>
    <w:p w14:paraId="2A575B3A">
      <w:pPr>
        <w:pStyle w:val="43"/>
      </w:pPr>
      <w:r>
        <w:t>1</w:t>
      </w:r>
      <w:r>
        <w:rPr>
          <w:rFonts w:hint="eastAsia"/>
          <w:lang w:val="en-US" w:eastAsia="zh-CN"/>
        </w:rPr>
        <w:t>1</w:t>
      </w:r>
      <w:r>
        <w:t>.2.3 NMDS</w:t>
      </w:r>
      <w:r>
        <w:rPr>
          <w:rFonts w:hint="eastAsia"/>
        </w:rPr>
        <w:t>分析</w:t>
      </w:r>
    </w:p>
    <w:p w14:paraId="74537F2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2421F7C">
      <w:pPr>
        <w:ind w:firstLine="420"/>
        <w:rPr>
          <w:rFonts w:cs="Times New Roman"/>
          <w:color w:val="0070C0"/>
        </w:rPr>
      </w:pPr>
      <w:r>
        <w:rPr>
          <w:rFonts w:hint="eastAsia" w:cs="Times New Roman"/>
          <w:color w:val="0070C0"/>
        </w:rPr>
        <w:t>毒力因子基因</w:t>
      </w:r>
      <w:r>
        <w:rPr>
          <w:rFonts w:cs="Times New Roman"/>
          <w:color w:val="0070C0"/>
        </w:rPr>
        <w:t>NMDS</w:t>
      </w:r>
      <w:r>
        <w:rPr>
          <w:rFonts w:hint="eastAsia" w:cs="Times New Roman"/>
          <w:color w:val="0070C0"/>
        </w:rPr>
        <w:t>分析：</w:t>
      </w:r>
    </w:p>
    <w:p w14:paraId="7DBEBEE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2" name="图片 100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00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9AF4CA3">
      <w:pPr>
        <w:pStyle w:val="32"/>
      </w:pPr>
      <w:r>
        <w:rPr>
          <w:rFonts w:hint="eastAsia"/>
        </w:rPr>
        <w:t>注：点表示各样品的功能基因组成；横坐标表示第一主成分及其对样品差异的贡献率；纵坐标表示第二主成分及其对样品差异的贡献率。</w:t>
      </w:r>
    </w:p>
    <w:p w14:paraId="751BC81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-VFDB/5.NMDS</w:t>
      </w:r>
    </w:p>
    <w:p w14:paraId="45D79051">
      <w:pPr>
        <w:pStyle w:val="41"/>
      </w:pPr>
      <w:bookmarkStart w:id="185" w:name="_Toc17732"/>
      <w:r>
        <w:t>1</w:t>
      </w:r>
      <w:r>
        <w:rPr>
          <w:rFonts w:hint="eastAsia"/>
          <w:lang w:val="en-US" w:eastAsia="zh-CN"/>
        </w:rPr>
        <w:t>1</w:t>
      </w:r>
      <w:r>
        <w:t xml:space="preserve">.3 </w:t>
      </w:r>
      <w:r>
        <w:rPr>
          <w:rFonts w:hint="eastAsia"/>
        </w:rPr>
        <w:t>基于毒力因子的组间差异分析</w:t>
      </w:r>
      <w:bookmarkEnd w:id="185"/>
    </w:p>
    <w:p w14:paraId="79C84060">
      <w:pPr>
        <w:pStyle w:val="43"/>
      </w:pPr>
      <w:r>
        <w:t>1</w:t>
      </w:r>
      <w:r>
        <w:rPr>
          <w:rFonts w:hint="eastAsia"/>
          <w:lang w:val="en-US" w:eastAsia="zh-CN"/>
        </w:rPr>
        <w:t>1</w:t>
      </w:r>
      <w:r>
        <w:t>.3.1 ANOVA</w:t>
      </w:r>
      <w:r>
        <w:rPr>
          <w:rFonts w:hint="eastAsia"/>
        </w:rPr>
        <w:t>分析</w:t>
      </w:r>
    </w:p>
    <w:p w14:paraId="125A919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37914639">
      <w:pPr>
        <w:ind w:firstLine="420"/>
        <w:rPr>
          <w:rFonts w:cs="Times New Roman"/>
          <w:color w:val="0070C0"/>
        </w:rPr>
      </w:pPr>
      <w:r>
        <w:rPr>
          <w:rFonts w:hint="eastAsia" w:cs="Times New Roman"/>
          <w:color w:val="0070C0"/>
        </w:rPr>
        <w:t>毒力因子基因ANOVA分析：</w:t>
      </w:r>
    </w:p>
    <w:p w14:paraId="5B3FBACB">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3" name="图片 100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片 100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6EDDF87">
      <w:pPr>
        <w:pStyle w:val="32"/>
      </w:pPr>
      <w:r>
        <w:rPr>
          <w:rFonts w:hint="eastAsia"/>
        </w:rPr>
        <w:t>注：横坐标分组，不同颜色代表不同的分组，纵坐标为功能丰度</w:t>
      </w:r>
    </w:p>
    <w:p w14:paraId="5EA5197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-VFDB/6.Statistical_test_analysis/1.ANOVA</w:t>
      </w:r>
    </w:p>
    <w:p w14:paraId="7ECE680E">
      <w:pPr>
        <w:pStyle w:val="43"/>
      </w:pPr>
      <w:r>
        <w:t>1</w:t>
      </w:r>
      <w:r>
        <w:rPr>
          <w:rFonts w:hint="eastAsia"/>
          <w:lang w:val="en-US" w:eastAsia="zh-CN"/>
        </w:rPr>
        <w:t>1</w:t>
      </w:r>
      <w:r>
        <w:t xml:space="preserve">.3.2 </w:t>
      </w:r>
      <w:r>
        <w:rPr>
          <w:rFonts w:hint="eastAsia"/>
        </w:rPr>
        <w:t>秩和检验</w:t>
      </w:r>
    </w:p>
    <w:p w14:paraId="4F7AD706">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3697D76C">
      <w:pPr>
        <w:ind w:firstLine="420"/>
        <w:rPr>
          <w:rFonts w:cs="Times New Roman"/>
          <w:color w:val="0070C0"/>
        </w:rPr>
      </w:pPr>
      <w:r>
        <w:rPr>
          <w:rFonts w:hint="eastAsia" w:cs="Times New Roman"/>
          <w:color w:val="0070C0"/>
        </w:rPr>
        <w:t>毒力因子基因</w:t>
      </w:r>
      <w:r>
        <w:rPr>
          <w:rFonts w:hint="eastAsia" w:cs="Times New Roman"/>
          <w:color w:val="0070C0"/>
          <w:shd w:val="clear" w:color="auto" w:fill="FFFFFF"/>
        </w:rPr>
        <w:t>秩和检验：</w:t>
      </w:r>
    </w:p>
    <w:p w14:paraId="7A3026B1">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5" name="图片 10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图片 106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4495A0D">
      <w:pPr>
        <w:pStyle w:val="32"/>
      </w:pPr>
      <w:r>
        <w:rPr>
          <w:rFonts w:hint="eastAsia"/>
        </w:rPr>
        <w:t>注：横坐标分组，不同颜色代表不同的分组，纵坐标为功能丰度</w:t>
      </w:r>
    </w:p>
    <w:p w14:paraId="2D10610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-VFDB/6.Statistical_test_analysis/2.wilcoxon</w:t>
      </w:r>
    </w:p>
    <w:p w14:paraId="68679EF0">
      <w:pPr>
        <w:pStyle w:val="43"/>
      </w:pPr>
      <w:r>
        <w:t>1</w:t>
      </w:r>
      <w:r>
        <w:rPr>
          <w:rFonts w:hint="eastAsia"/>
          <w:lang w:val="en-US" w:eastAsia="zh-CN"/>
        </w:rPr>
        <w:t>1</w:t>
      </w:r>
      <w:r>
        <w:t>.3.3 Stamp</w:t>
      </w:r>
      <w:r>
        <w:rPr>
          <w:rFonts w:hint="eastAsia"/>
        </w:rPr>
        <w:t>分析</w:t>
      </w:r>
    </w:p>
    <w:p w14:paraId="6A49430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179CC487">
      <w:pPr>
        <w:ind w:firstLine="420"/>
        <w:rPr>
          <w:rFonts w:cs="Times New Roman"/>
          <w:color w:val="000000" w:themeColor="text1"/>
          <w14:textFill>
            <w14:solidFill>
              <w14:schemeClr w14:val="tx1"/>
            </w14:solidFill>
          </w14:textFill>
        </w:rPr>
      </w:pPr>
      <w:r>
        <w:rPr>
          <w:rFonts w:hint="eastAsia" w:cs="Times New Roman"/>
          <w:color w:val="0070C0"/>
        </w:rPr>
        <w:t>毒力因子基因差异检验柱状图如下所示：</w:t>
      </w:r>
    </w:p>
    <w:p w14:paraId="742C1AE0">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6" name="图片 10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图片 106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B0FE72E">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C24A77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-VFDB/6.Statistical_test_analysis/3.Stamp</w:t>
      </w:r>
    </w:p>
    <w:p w14:paraId="7538DB83">
      <w:pPr>
        <w:pStyle w:val="43"/>
      </w:pPr>
      <w:r>
        <w:t>1</w:t>
      </w:r>
      <w:r>
        <w:rPr>
          <w:rFonts w:hint="eastAsia"/>
          <w:lang w:val="en-US" w:eastAsia="zh-CN"/>
        </w:rPr>
        <w:t>1</w:t>
      </w:r>
      <w:r>
        <w:t>.3.4 Random_Forest</w:t>
      </w:r>
      <w:r>
        <w:rPr>
          <w:rFonts w:hint="eastAsia"/>
        </w:rPr>
        <w:t>分析</w:t>
      </w:r>
    </w:p>
    <w:p w14:paraId="214A30A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3638EDC1">
      <w:pPr>
        <w:ind w:firstLine="420"/>
        <w:rPr>
          <w:rFonts w:cs="Times New Roman"/>
          <w:color w:val="0070C0"/>
        </w:rPr>
      </w:pPr>
      <w:r>
        <w:rPr>
          <w:rFonts w:hint="eastAsia" w:cs="Times New Roman"/>
          <w:color w:val="0070C0"/>
        </w:rPr>
        <w:t>毒力因子基因随机森林分析（排名前</w:t>
      </w:r>
      <w:r>
        <w:rPr>
          <w:rFonts w:cs="Times New Roman"/>
          <w:color w:val="0070C0"/>
        </w:rPr>
        <w:t>10</w:t>
      </w:r>
      <w:r>
        <w:rPr>
          <w:rFonts w:hint="eastAsia" w:cs="Times New Roman"/>
          <w:color w:val="0070C0"/>
        </w:rPr>
        <w:t>）：</w:t>
      </w:r>
    </w:p>
    <w:p w14:paraId="4105C75A">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7" name="图片 10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图片 106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5BD910E">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247272E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-VFDB/6.Statistical_test_analysis/4.Random_Forest</w:t>
      </w:r>
    </w:p>
    <w:p w14:paraId="55AE867E">
      <w:pPr>
        <w:pStyle w:val="43"/>
      </w:pPr>
      <w:r>
        <w:t>1</w:t>
      </w:r>
      <w:r>
        <w:rPr>
          <w:rFonts w:hint="eastAsia"/>
          <w:lang w:val="en-US" w:eastAsia="zh-CN"/>
        </w:rPr>
        <w:t>1</w:t>
      </w:r>
      <w:r>
        <w:t>.3.5 metagenomeSeq</w:t>
      </w:r>
      <w:r>
        <w:rPr>
          <w:rFonts w:hint="eastAsia"/>
        </w:rPr>
        <w:t>分析</w:t>
      </w:r>
    </w:p>
    <w:p w14:paraId="236A7EAB">
      <w:pPr>
        <w:ind w:firstLine="420"/>
        <w:rPr>
          <w:b/>
        </w:rPr>
      </w:pPr>
      <w:r>
        <w:rPr>
          <w:rFonts w:hint="eastAsia"/>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478A395E">
      <w:pPr>
        <w:ind w:firstLine="420"/>
        <w:rPr>
          <w:b/>
          <w:color w:val="000000" w:themeColor="text1"/>
          <w14:textFill>
            <w14:solidFill>
              <w14:schemeClr w14:val="tx1"/>
            </w14:solidFill>
          </w14:textFill>
        </w:rPr>
      </w:pPr>
      <w:r>
        <w:rPr>
          <w:rFonts w:hint="eastAsia"/>
        </w:rPr>
        <w:t>毒力因子基因差异功能热图如下：</w:t>
      </w:r>
    </w:p>
    <w:p w14:paraId="1CC79D6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8" name="图片 10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图片 106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0EEFCA5">
      <w:pPr>
        <w:pStyle w:val="32"/>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B5F198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-VFDB/6.Statistical_test_analysis/5.metagenomeSeq</w:t>
      </w:r>
    </w:p>
    <w:p w14:paraId="6A64780F">
      <w:pPr>
        <w:pStyle w:val="43"/>
      </w:pPr>
      <w:r>
        <w:t>1</w:t>
      </w:r>
      <w:r>
        <w:rPr>
          <w:rFonts w:hint="eastAsia"/>
          <w:lang w:val="en-US" w:eastAsia="zh-CN"/>
        </w:rPr>
        <w:t>1</w:t>
      </w:r>
      <w:r>
        <w:t>.3.6 Anosim</w:t>
      </w:r>
      <w:r>
        <w:rPr>
          <w:rFonts w:hint="eastAsia"/>
        </w:rPr>
        <w:t>分析</w:t>
      </w:r>
    </w:p>
    <w:p w14:paraId="2B5ED3FB">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6FF719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-VFDB/6.Statistical_test_analysis/6.Anosim</w:t>
      </w:r>
    </w:p>
    <w:p w14:paraId="75A0E559">
      <w:pPr>
        <w:pStyle w:val="43"/>
      </w:pPr>
      <w:r>
        <w:t>1</w:t>
      </w:r>
      <w:r>
        <w:rPr>
          <w:rFonts w:hint="eastAsia"/>
          <w:lang w:val="en-US" w:eastAsia="zh-CN"/>
        </w:rPr>
        <w:t>1</w:t>
      </w:r>
      <w:r>
        <w:t>.3.7 ADONIS分析</w:t>
      </w:r>
    </w:p>
    <w:p w14:paraId="388B8FED">
      <w:pPr>
        <w:ind w:firstLine="420"/>
        <w:rPr>
          <w:rFonts w:cs="Times New Roman"/>
        </w:rPr>
      </w:pPr>
      <w:r>
        <w:rPr>
          <w:rFonts w:cs="Times New Roman"/>
        </w:rPr>
        <w:t>ADONIS又称置换多元方差分析（permutational multivariate analysis of variance</w:t>
      </w:r>
      <w:r>
        <w:rPr>
          <w:rFonts w:hint="eastAsia" w:cs="Times New Roman"/>
        </w:rPr>
        <w:t>，</w:t>
      </w:r>
      <w:r>
        <w:rPr>
          <w:rFonts w:cs="Times New Roman"/>
        </w:rPr>
        <w:t>PERMANOVA）或非参数多因素方差分析（nonparametric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5D1D56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Result/group*/11-VFDB/6.Statistical_test_analysis/7.Adonis</w:t>
      </w:r>
    </w:p>
    <w:p w14:paraId="497A5011">
      <w:pPr>
        <w:pStyle w:val="43"/>
      </w:pPr>
      <w:r>
        <w:t>1</w:t>
      </w:r>
      <w:r>
        <w:rPr>
          <w:rFonts w:hint="eastAsia"/>
          <w:lang w:val="en-US" w:eastAsia="zh-CN"/>
        </w:rPr>
        <w:t>1</w:t>
      </w:r>
      <w:r>
        <w:t>.3.8 MRPP分析</w:t>
      </w:r>
    </w:p>
    <w:p w14:paraId="745E69E0">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65109E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-VFDB/6.Statistical_test_analysis/8.MRPP</w:t>
      </w:r>
    </w:p>
    <w:p w14:paraId="498D27BA">
      <w:pPr>
        <w:pStyle w:val="43"/>
      </w:pPr>
      <w:bookmarkStart w:id="186" w:name="_Toc5464"/>
      <w:bookmarkStart w:id="187" w:name="_Toc4159"/>
      <w:bookmarkStart w:id="188" w:name="_Toc7328"/>
      <w:bookmarkStart w:id="189" w:name="_Toc16111"/>
      <w:r>
        <w:t>1</w:t>
      </w:r>
      <w:r>
        <w:rPr>
          <w:rFonts w:hint="eastAsia"/>
          <w:lang w:val="en-US" w:eastAsia="zh-CN"/>
        </w:rPr>
        <w:t>1</w:t>
      </w:r>
      <w:r>
        <w:t>.3.9 Lefse</w:t>
      </w:r>
      <w:r>
        <w:rPr>
          <w:rFonts w:hint="eastAsia"/>
        </w:rPr>
        <w:t>分析</w:t>
      </w:r>
    </w:p>
    <w:p w14:paraId="4739E8D4">
      <w:pPr>
        <w:ind w:firstLine="420"/>
      </w:pPr>
      <w:r>
        <w:rPr>
          <w:rFonts w:hint="eastAsia"/>
        </w:rPr>
        <w:t>LDA Effect Size分析，可以实现多个分组之间的比较，还进行分组比较的内部进行亚组比较分析，从而找到组间在丰度上有显著差异的功能，其分析原理有如下三步：</w:t>
      </w:r>
    </w:p>
    <w:p w14:paraId="13A5FA30">
      <w:pPr>
        <w:ind w:firstLine="420"/>
      </w:pPr>
      <w:r>
        <w:rPr>
          <w:rFonts w:hint="eastAsia"/>
        </w:rPr>
        <w:t>1）首先在多组样本中采用的非参数检验Kruskal-Wallis秩和检验检测不同分组间丰度差异显著的功能，阈值设定0.05；</w:t>
      </w:r>
    </w:p>
    <w:p w14:paraId="617BCFDD">
      <w:pPr>
        <w:ind w:firstLine="420"/>
      </w:pPr>
      <w:r>
        <w:rPr>
          <w:rFonts w:hint="eastAsia"/>
        </w:rPr>
        <w:t>2）然后在上一步中获得的显著差异功能，用成组的Wilcoxon秩和检验来进行组间差异分析，阈值设定0.05；</w:t>
      </w:r>
    </w:p>
    <w:p w14:paraId="65E2359D">
      <w:pPr>
        <w:ind w:firstLine="420"/>
      </w:pPr>
      <w:r>
        <w:rPr>
          <w:rFonts w:hint="eastAsia"/>
        </w:rPr>
        <w:t>3）最后用线性判别分析（LDA）对数据进行降维和评估差异显著的物种的影响力（即LDA score），阈值设定2</w:t>
      </w:r>
    </w:p>
    <w:p w14:paraId="322FAA31">
      <w:pPr>
        <w:ind w:firstLine="420"/>
        <w:rPr>
          <w:rFonts w:cs="Times New Roman"/>
          <w:color w:val="0070C0"/>
        </w:rPr>
      </w:pPr>
      <w:r>
        <w:rPr>
          <w:rFonts w:hint="eastAsia" w:cs="Times New Roman"/>
          <w:color w:val="0070C0"/>
        </w:rPr>
        <w:t>毒力因子基因L</w:t>
      </w:r>
      <w:r>
        <w:rPr>
          <w:rFonts w:cs="Times New Roman"/>
          <w:color w:val="0070C0"/>
        </w:rPr>
        <w:t>DA值柱状图如下所示：</w:t>
      </w:r>
    </w:p>
    <w:p w14:paraId="69A0F1B0">
      <w:pPr>
        <w:ind w:firstLine="420"/>
        <w:jc w:val="center"/>
        <w:rPr>
          <w:rFonts w:cs="Times New Roman"/>
          <w:color w:val="0070C0"/>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9" name="图片 106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图片 106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E64EF9C">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的影响大小（即为LDA Score）</w:t>
      </w:r>
      <w:r>
        <w:rPr>
          <w:rFonts w:hint="eastAsia"/>
        </w:rPr>
        <w:t>。图中仅绘制L</w:t>
      </w:r>
      <w:r>
        <w:t>DA</w:t>
      </w:r>
      <w:r>
        <w:rPr>
          <w:rFonts w:hint="eastAsia"/>
        </w:rPr>
        <w:t>值＞2且排名前1</w:t>
      </w:r>
      <w:r>
        <w:t>00</w:t>
      </w:r>
      <w:r>
        <w:rPr>
          <w:rFonts w:hint="eastAsia"/>
        </w:rPr>
        <w:t>的毒力因子，不足1</w:t>
      </w:r>
      <w:r>
        <w:t>00</w:t>
      </w:r>
      <w:r>
        <w:rPr>
          <w:rFonts w:hint="eastAsia"/>
        </w:rPr>
        <w:t>绘制全部。</w:t>
      </w:r>
    </w:p>
    <w:p w14:paraId="61492B7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-VFDB/6.Statistical_test_analysis/9.Lefse</w:t>
      </w:r>
    </w:p>
    <w:p w14:paraId="4F15F888">
      <w:pPr>
        <w:pStyle w:val="40"/>
        <w:numPr>
          <w:ilvl w:val="0"/>
          <w:numId w:val="0"/>
        </w:numPr>
        <w:ind w:firstLine="0" w:firstLineChars="0"/>
        <w:rPr>
          <w:bCs w:val="0"/>
          <w:color w:val="000000" w:themeColor="text1"/>
          <w14:textFill>
            <w14:solidFill>
              <w14:schemeClr w14:val="tx1"/>
            </w14:solidFill>
          </w14:textFill>
        </w:rPr>
      </w:pPr>
      <w:bookmarkStart w:id="190" w:name="_Toc31785"/>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2</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可移动遗传元件分析</w:t>
      </w:r>
      <w:bookmarkEnd w:id="190"/>
    </w:p>
    <w:p w14:paraId="18EC53F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w:t>
      </w:r>
      <w:r>
        <w:rPr>
          <w:color w:val="000000" w:themeColor="text1"/>
          <w14:textFill>
            <w14:solidFill>
              <w14:schemeClr w14:val="tx1"/>
            </w14:solidFill>
          </w14:textFill>
        </w:rPr>
        <w:t>移动</w:t>
      </w:r>
      <w:r>
        <w:rPr>
          <w:rFonts w:hint="eastAsia"/>
          <w:color w:val="000000" w:themeColor="text1"/>
          <w14:textFill>
            <w14:solidFill>
              <w14:schemeClr w14:val="tx1"/>
            </w14:solidFill>
          </w14:textFill>
        </w:rPr>
        <w:t>遗传</w:t>
      </w:r>
      <w:r>
        <w:rPr>
          <w:color w:val="000000" w:themeColor="text1"/>
          <w14:textFill>
            <w14:solidFill>
              <w14:schemeClr w14:val="tx1"/>
            </w14:solidFill>
          </w14:textFill>
        </w:rPr>
        <w:t>元件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Mobile genetic elements, MGEs</w:t>
      </w:r>
      <w:r>
        <w:rPr>
          <w:rFonts w:hint="eastAsia"/>
          <w:color w:val="000000" w:themeColor="text1"/>
          <w14:textFill>
            <w14:solidFill>
              <w14:schemeClr w14:val="tx1"/>
            </w14:solidFill>
          </w14:textFill>
        </w:rPr>
        <w:t>）包含了超过</w:t>
      </w:r>
      <w:r>
        <w:rPr>
          <w:color w:val="000000" w:themeColor="text1"/>
          <w14:textFill>
            <w14:solidFill>
              <w14:schemeClr w14:val="tx1"/>
            </w14:solidFill>
          </w14:textFill>
        </w:rPr>
        <w:t>70w</w:t>
      </w:r>
      <w:r>
        <w:rPr>
          <w:rFonts w:hint="eastAsia"/>
          <w:color w:val="000000" w:themeColor="text1"/>
          <w14:textFill>
            <w14:solidFill>
              <w14:schemeClr w14:val="tx1"/>
            </w14:solidFill>
          </w14:textFill>
        </w:rPr>
        <w:t>条参考序列，涵盖了各种可移动基因元件，如质粒、噬菌体、基因组岛、转座子和插入序列等。MGE能够在细胞内外移动、携带编码特定功能基因的基因组片段，在生物体基因转移和基因重组方面以及物种进化方面起着重要作用。MGE也是横向基因转移事件的指示物，代表着生物体对不同环境的主要适应性机制。在</w:t>
      </w:r>
      <w:r>
        <w:rPr>
          <w:color w:val="000000" w:themeColor="text1"/>
          <w14:textFill>
            <w14:solidFill>
              <w14:schemeClr w14:val="tx1"/>
            </w14:solidFill>
          </w14:textFill>
        </w:rPr>
        <w:t>mobileOG-db</w:t>
      </w:r>
      <w:r>
        <w:rPr>
          <w:rFonts w:hint="eastAsia"/>
          <w:color w:val="000000" w:themeColor="text1"/>
          <w14:textFill>
            <w14:solidFill>
              <w14:schemeClr w14:val="tx1"/>
            </w14:solidFill>
          </w14:textFill>
        </w:rPr>
        <w:t>数据库中，主要分以下几个类别：</w:t>
      </w:r>
      <w:r>
        <w:rPr>
          <w:color w:val="000000" w:themeColor="text1"/>
          <w14:textFill>
            <w14:solidFill>
              <w14:schemeClr w14:val="tx1"/>
            </w14:solidFill>
          </w14:textFill>
        </w:rPr>
        <w:t>Replication/Recombination/Repair (RRR), Integration/Excision (IE), Stability/transfer/defense (STD), inter-organism Transfer (T) and Phage related biological processes (P)</w:t>
      </w:r>
    </w:p>
    <w:p w14:paraId="47D5B80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可移动元件</w:t>
      </w:r>
      <w:r>
        <w:rPr>
          <w:color w:val="000000" w:themeColor="text1"/>
          <w14:textFill>
            <w14:solidFill>
              <w14:schemeClr w14:val="tx1"/>
            </w14:solidFill>
          </w14:textFill>
        </w:rPr>
        <w:t>mobileOG.xlsx</w:t>
      </w:r>
      <w:r>
        <w:rPr>
          <w:rFonts w:hint="eastAsia"/>
          <w:color w:val="000000" w:themeColor="text1"/>
          <w14:textFill>
            <w14:solidFill>
              <w14:schemeClr w14:val="tx1"/>
            </w14:solidFill>
          </w14:textFill>
        </w:rPr>
        <w:t>结果表头说明信息如下：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7527CF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0D6EACA">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FFA01E7">
            <w:pPr>
              <w:ind w:firstLine="420"/>
              <w:jc w:val="center"/>
              <w:rPr>
                <w:rFonts w:cs="Times New Roman"/>
                <w:bCs/>
                <w:color w:val="000000"/>
                <w:kern w:val="0"/>
                <w:szCs w:val="20"/>
              </w:rPr>
            </w:pPr>
            <w:r>
              <w:rPr>
                <w:rFonts w:hint="eastAsia" w:cs="Times New Roman"/>
                <w:bCs/>
                <w:color w:val="000000"/>
                <w:kern w:val="0"/>
                <w:szCs w:val="20"/>
              </w:rPr>
              <w:t>描述</w:t>
            </w:r>
          </w:p>
        </w:tc>
      </w:tr>
      <w:tr w14:paraId="47EA9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134DD15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Entry Name</w:t>
            </w:r>
          </w:p>
        </w:tc>
        <w:tc>
          <w:tcPr>
            <w:tcW w:w="5529" w:type="dxa"/>
            <w:tcBorders>
              <w:top w:val="single" w:color="000000" w:sz="8" w:space="0"/>
              <w:tl2br w:val="nil"/>
              <w:tr2bl w:val="nil"/>
            </w:tcBorders>
            <w:shd w:val="clear" w:color="auto" w:fill="FFFFFF"/>
            <w:vAlign w:val="center"/>
          </w:tcPr>
          <w:p w14:paraId="2B64750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w:t>
            </w:r>
            <w:r>
              <w:rPr>
                <w:rFonts w:hint="eastAsia" w:cs="Times New Roman"/>
                <w:color w:val="000000"/>
                <w:kern w:val="0"/>
                <w:szCs w:val="20"/>
                <w:shd w:val="clear" w:color="auto" w:fill="FFFFFF"/>
              </w:rPr>
              <w:t>数据库的I</w:t>
            </w:r>
            <w:r>
              <w:rPr>
                <w:rFonts w:cs="Times New Roman"/>
                <w:color w:val="000000"/>
                <w:kern w:val="0"/>
                <w:szCs w:val="20"/>
                <w:shd w:val="clear" w:color="auto" w:fill="FFFFFF"/>
              </w:rPr>
              <w:t>D</w:t>
            </w:r>
          </w:p>
        </w:tc>
      </w:tr>
      <w:tr w14:paraId="7E3DF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D5DBDC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Best Hit ID</w:t>
            </w:r>
          </w:p>
        </w:tc>
        <w:tc>
          <w:tcPr>
            <w:tcW w:w="5529" w:type="dxa"/>
            <w:tcBorders>
              <w:tl2br w:val="nil"/>
              <w:tr2bl w:val="nil"/>
            </w:tcBorders>
            <w:shd w:val="clear" w:color="auto" w:fill="FFFFFF"/>
            <w:vAlign w:val="center"/>
          </w:tcPr>
          <w:p w14:paraId="6046267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最佳匹配的蛋白质ID</w:t>
            </w:r>
          </w:p>
        </w:tc>
      </w:tr>
      <w:tr w14:paraId="49DA1E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AE9CCB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Cluster</w:t>
            </w:r>
          </w:p>
        </w:tc>
        <w:tc>
          <w:tcPr>
            <w:tcW w:w="5529" w:type="dxa"/>
            <w:tcBorders>
              <w:tl2br w:val="nil"/>
              <w:tr2bl w:val="nil"/>
            </w:tcBorders>
            <w:shd w:val="clear" w:color="auto" w:fill="FFFFFF"/>
            <w:vAlign w:val="center"/>
          </w:tcPr>
          <w:p w14:paraId="665E4717">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mobileOG数据库中的聚类ID</w:t>
            </w:r>
          </w:p>
        </w:tc>
      </w:tr>
      <w:tr w14:paraId="591682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FC9BE8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Name</w:t>
            </w:r>
          </w:p>
        </w:tc>
        <w:tc>
          <w:tcPr>
            <w:tcW w:w="5529" w:type="dxa"/>
            <w:tcBorders>
              <w:tl2br w:val="nil"/>
              <w:tr2bl w:val="nil"/>
            </w:tcBorders>
            <w:shd w:val="clear" w:color="auto" w:fill="FFFFFF"/>
            <w:vAlign w:val="center"/>
          </w:tcPr>
          <w:p w14:paraId="099FF8C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基因/蛋白质名称</w:t>
            </w:r>
          </w:p>
        </w:tc>
      </w:tr>
      <w:tr w14:paraId="26A53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FA6489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Manual Annotation</w:t>
            </w:r>
          </w:p>
        </w:tc>
        <w:tc>
          <w:tcPr>
            <w:tcW w:w="5529" w:type="dxa"/>
            <w:tcBorders>
              <w:tl2br w:val="nil"/>
              <w:tr2bl w:val="nil"/>
            </w:tcBorders>
            <w:shd w:val="clear" w:color="auto" w:fill="FFFFFF"/>
            <w:vAlign w:val="center"/>
          </w:tcPr>
          <w:p w14:paraId="393AFA68">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人工注释，描述了该基因或蛋白质的功能和特征</w:t>
            </w:r>
          </w:p>
        </w:tc>
      </w:tr>
      <w:tr w14:paraId="373D3A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3F281D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Major mobileOG Category</w:t>
            </w:r>
          </w:p>
        </w:tc>
        <w:tc>
          <w:tcPr>
            <w:tcW w:w="5529" w:type="dxa"/>
            <w:tcBorders>
              <w:tl2br w:val="nil"/>
              <w:tr2bl w:val="nil"/>
            </w:tcBorders>
            <w:shd w:val="clear" w:color="auto" w:fill="FFFFFF"/>
            <w:vAlign w:val="center"/>
          </w:tcPr>
          <w:p w14:paraId="596C9FD9">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主要的mobileOG分类</w:t>
            </w:r>
          </w:p>
        </w:tc>
      </w:tr>
      <w:tr w14:paraId="0DE6D3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C6BF75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Minor mobileOG Categories</w:t>
            </w:r>
          </w:p>
        </w:tc>
        <w:tc>
          <w:tcPr>
            <w:tcW w:w="5529" w:type="dxa"/>
            <w:tcBorders>
              <w:tl2br w:val="nil"/>
              <w:tr2bl w:val="nil"/>
            </w:tcBorders>
            <w:shd w:val="clear" w:color="auto" w:fill="FFFFFF"/>
            <w:vAlign w:val="center"/>
          </w:tcPr>
          <w:p w14:paraId="04FD8BB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次要的mobileOG分类</w:t>
            </w:r>
          </w:p>
        </w:tc>
      </w:tr>
      <w:tr w14:paraId="4EBF0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A6846C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Reference(s)</w:t>
            </w:r>
          </w:p>
        </w:tc>
        <w:tc>
          <w:tcPr>
            <w:tcW w:w="5529" w:type="dxa"/>
            <w:tcBorders>
              <w:tl2br w:val="nil"/>
              <w:tr2bl w:val="nil"/>
            </w:tcBorders>
            <w:shd w:val="clear" w:color="auto" w:fill="FFFFFF"/>
            <w:vAlign w:val="center"/>
          </w:tcPr>
          <w:p w14:paraId="5D70E2F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相关的参考文献</w:t>
            </w:r>
          </w:p>
        </w:tc>
      </w:tr>
      <w:tr w14:paraId="7DEAFC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6E8560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Evidence</w:t>
            </w:r>
          </w:p>
        </w:tc>
        <w:tc>
          <w:tcPr>
            <w:tcW w:w="5529" w:type="dxa"/>
            <w:tcBorders>
              <w:tl2br w:val="nil"/>
              <w:tr2bl w:val="nil"/>
            </w:tcBorders>
            <w:shd w:val="clear" w:color="auto" w:fill="FFFFFF"/>
            <w:vAlign w:val="center"/>
          </w:tcPr>
          <w:p w14:paraId="5A39FEA6">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依据类型</w:t>
            </w:r>
          </w:p>
        </w:tc>
      </w:tr>
    </w:tbl>
    <w:p w14:paraId="3D5F2844">
      <w:pPr>
        <w:pStyle w:val="41"/>
        <w:rPr>
          <w:color w:val="000000" w:themeColor="text1"/>
          <w14:textFill>
            <w14:solidFill>
              <w14:schemeClr w14:val="tx1"/>
            </w14:solidFill>
          </w14:textFill>
        </w:rPr>
      </w:pPr>
      <w:bookmarkStart w:id="191" w:name="_Toc31820"/>
      <w:bookmarkStart w:id="192" w:name="OLE_LINK3"/>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可移动基因元件丰度统计</w:t>
      </w:r>
      <w:bookmarkEnd w:id="191"/>
    </w:p>
    <w:p w14:paraId="06988F40">
      <w:pPr>
        <w:ind w:firstLine="420"/>
        <w:rPr>
          <w:rFonts w:cs="Times New Roman"/>
          <w:color w:val="0070C0"/>
        </w:rPr>
      </w:pPr>
      <w:r>
        <w:rPr>
          <w:rFonts w:hint="eastAsia" w:cs="Times New Roman"/>
          <w:color w:val="0070C0"/>
        </w:rPr>
        <w:t>可移动基因元件丰度柱形图如下：</w:t>
      </w:r>
    </w:p>
    <w:p w14:paraId="25BC35DC">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0" name="图片 10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图片 107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06B07D2">
      <w:pPr>
        <w:ind w:firstLine="420"/>
        <w:rPr>
          <w:rFonts w:cs="Times New Roman"/>
          <w:color w:val="0070C0"/>
        </w:rPr>
      </w:pPr>
      <w:r>
        <w:rPr>
          <w:rFonts w:hint="eastAsia" w:cs="Times New Roman"/>
          <w:color w:val="0070C0"/>
        </w:rPr>
        <w:t>注：横坐标为不同的样本，纵坐标为不同可移动基因元件度占总功能丰度的百分比，图中不同的颜色表示不同的可移动基因元件。</w:t>
      </w:r>
    </w:p>
    <w:p w14:paraId="6517E76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-mobileOG/1.Barplot</w:t>
      </w:r>
    </w:p>
    <w:p w14:paraId="6114DAF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782033CD">
      <w:pPr>
        <w:ind w:firstLine="420"/>
        <w:rPr>
          <w:rFonts w:cs="Times New Roman"/>
          <w:color w:val="0070C0"/>
        </w:rPr>
      </w:pPr>
      <w:r>
        <w:rPr>
          <w:rFonts w:hint="eastAsia" w:cs="Times New Roman"/>
          <w:color w:val="0070C0"/>
        </w:rPr>
        <w:t>可移动基因元件聚类热图：</w:t>
      </w:r>
    </w:p>
    <w:p w14:paraId="06704107">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1" name="图片 10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图片 107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B7B5F45">
      <w:pPr>
        <w:ind w:firstLine="420"/>
        <w:rPr>
          <w:rFonts w:cs="Times New Roman"/>
          <w:color w:val="0070C0"/>
        </w:rPr>
      </w:pPr>
      <w:r>
        <w:rPr>
          <w:rFonts w:hint="eastAsia" w:cs="Times New Roman"/>
          <w:color w:val="0070C0"/>
        </w:rPr>
        <w:t>注：图中列代表不同的样本，行为相对丰度排名前50的可移动基因元件（不足50显示全部），图中的颜色代表了可移动基因元件的丰度大小，颜色由蓝色到红色渐变表示功能丰度由小到大。</w:t>
      </w:r>
    </w:p>
    <w:p w14:paraId="6702969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-mobileOG/2.Heatmap</w:t>
      </w:r>
    </w:p>
    <w:p w14:paraId="6958AF84">
      <w:pPr>
        <w:pStyle w:val="41"/>
        <w:rPr>
          <w:color w:val="000000" w:themeColor="text1"/>
          <w14:textFill>
            <w14:solidFill>
              <w14:schemeClr w14:val="tx1"/>
            </w14:solidFill>
          </w14:textFill>
        </w:rPr>
      </w:pPr>
      <w:bookmarkStart w:id="193" w:name="_Toc8480"/>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可移动基因元件的降维分析</w:t>
      </w:r>
      <w:bookmarkEnd w:id="193"/>
    </w:p>
    <w:p w14:paraId="0A525AC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14717FD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614295D3">
      <w:pPr>
        <w:ind w:firstLine="420"/>
        <w:rPr>
          <w:rFonts w:cs="Times New Roman"/>
          <w:color w:val="0070C0"/>
        </w:rPr>
      </w:pPr>
      <w:r>
        <w:rPr>
          <w:rFonts w:hint="eastAsia" w:cs="Times New Roman"/>
          <w:color w:val="0070C0"/>
        </w:rPr>
        <w:t>可移动基因元件PCA分析图：</w:t>
      </w:r>
    </w:p>
    <w:p w14:paraId="527AB25E">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2" name="图片 10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图片 107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8199D82">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19BC6A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-mobileOG/3.PCA</w:t>
      </w:r>
    </w:p>
    <w:p w14:paraId="6C4EAE6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21849F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77D75BAA">
      <w:pPr>
        <w:ind w:firstLine="420"/>
        <w:rPr>
          <w:rFonts w:cs="Times New Roman"/>
          <w:color w:val="0070C0"/>
        </w:rPr>
      </w:pPr>
      <w:r>
        <w:rPr>
          <w:rFonts w:hint="eastAsia" w:cs="Times New Roman"/>
          <w:color w:val="0070C0"/>
        </w:rPr>
        <w:t>可移动基因元件PCoA分析：</w:t>
      </w:r>
    </w:p>
    <w:p w14:paraId="1BE478B4">
      <w:pPr>
        <w:pStyle w:val="32"/>
        <w:spacing w:line="360" w:lineRule="auto"/>
        <w:ind w:firstLine="420" w:firstLineChars="20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73" name="图片 10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图片 107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6F75341">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7941B17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-mobileOG/4.PCoA</w:t>
      </w:r>
    </w:p>
    <w:p w14:paraId="6842F02F">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6B052AF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04D40A8">
      <w:pPr>
        <w:ind w:firstLine="420"/>
        <w:rPr>
          <w:rFonts w:cs="Times New Roman"/>
          <w:color w:val="0070C0"/>
        </w:rPr>
      </w:pPr>
      <w:r>
        <w:rPr>
          <w:rFonts w:hint="eastAsia" w:cs="Times New Roman"/>
          <w:color w:val="0070C0"/>
        </w:rPr>
        <w:t>可移动基因元件NMDS分析：</w:t>
      </w:r>
    </w:p>
    <w:p w14:paraId="6EB65674">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4" name="图片 10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图片 107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41F8FC8">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9DBDE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-mobileOG/5.NMDS</w:t>
      </w:r>
    </w:p>
    <w:p w14:paraId="72EEBFDF">
      <w:pPr>
        <w:pStyle w:val="41"/>
        <w:rPr>
          <w:color w:val="000000" w:themeColor="text1"/>
          <w14:textFill>
            <w14:solidFill>
              <w14:schemeClr w14:val="tx1"/>
            </w14:solidFill>
          </w14:textFill>
        </w:rPr>
      </w:pPr>
      <w:bookmarkStart w:id="194" w:name="_Toc18398"/>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可移动基因元件的组间差异分析</w:t>
      </w:r>
      <w:bookmarkEnd w:id="194"/>
    </w:p>
    <w:p w14:paraId="4C43B44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5C68527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2930D2C3">
      <w:pPr>
        <w:ind w:firstLine="420"/>
        <w:rPr>
          <w:rFonts w:cs="Times New Roman"/>
          <w:color w:val="0070C0"/>
        </w:rPr>
      </w:pPr>
      <w:r>
        <w:rPr>
          <w:rFonts w:hint="eastAsia" w:cs="Times New Roman"/>
          <w:color w:val="0070C0"/>
        </w:rPr>
        <w:t>可移动基因元件ANOVA分析：</w:t>
      </w:r>
    </w:p>
    <w:p w14:paraId="51123E68">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5" name="图片 10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图片 107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3F10521">
      <w:pPr>
        <w:ind w:firstLine="420"/>
        <w:rPr>
          <w:rFonts w:cs="Times New Roman"/>
          <w:color w:val="0070C0"/>
        </w:rPr>
      </w:pPr>
      <w:r>
        <w:rPr>
          <w:rFonts w:hint="eastAsia" w:cs="Times New Roman"/>
          <w:color w:val="0070C0"/>
        </w:rPr>
        <w:t>注：横坐标分组，不同颜色代表不同的分组，纵坐标为功能丰度</w:t>
      </w:r>
    </w:p>
    <w:p w14:paraId="105EABA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-mobileOG/6.Statistical_test_analysis/1.ANOVA</w:t>
      </w:r>
    </w:p>
    <w:p w14:paraId="1AEC6915">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7A8819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524DF3E3">
      <w:pPr>
        <w:ind w:firstLine="420"/>
        <w:rPr>
          <w:rFonts w:cs="Times New Roman"/>
          <w:color w:val="0070C0"/>
        </w:rPr>
      </w:pPr>
      <w:r>
        <w:rPr>
          <w:rFonts w:hint="eastAsia" w:cs="Times New Roman"/>
          <w:color w:val="0070C0"/>
        </w:rPr>
        <w:t>可移动基因元件秩和检验：</w:t>
      </w:r>
    </w:p>
    <w:p w14:paraId="139236FD">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6" name="图片 107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图片 107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B54547C">
      <w:pPr>
        <w:ind w:firstLine="420"/>
        <w:rPr>
          <w:rFonts w:cs="Times New Roman"/>
          <w:color w:val="0070C0"/>
        </w:rPr>
      </w:pPr>
      <w:r>
        <w:rPr>
          <w:rFonts w:hint="eastAsia" w:cs="Times New Roman"/>
          <w:color w:val="0070C0"/>
        </w:rPr>
        <w:t>注：横坐标分组，不同颜色代表不同的分组，纵坐标为功能丰度</w:t>
      </w:r>
    </w:p>
    <w:p w14:paraId="1D3A0B5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-mobileOG/6.Statistical_test_analysis/2.wilcoxon</w:t>
      </w:r>
    </w:p>
    <w:p w14:paraId="56D0D60D">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24B0905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249DDE07">
      <w:pPr>
        <w:ind w:firstLine="420"/>
        <w:rPr>
          <w:rFonts w:cs="Times New Roman"/>
          <w:color w:val="0070C0"/>
        </w:rPr>
      </w:pPr>
      <w:r>
        <w:rPr>
          <w:rFonts w:hint="eastAsia" w:cs="Times New Roman"/>
          <w:color w:val="0070C0"/>
        </w:rPr>
        <w:t>可移动基因元件差异检验柱状图如下所示：</w:t>
      </w:r>
    </w:p>
    <w:p w14:paraId="575B8184">
      <w:pPr>
        <w:widowControl/>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7" name="图片 10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图片 107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C849006">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49625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-mobileOG/6.Statistical_test_analysis/3.Stamp</w:t>
      </w:r>
    </w:p>
    <w:p w14:paraId="7F301C1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73B35C3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2E4FE73">
      <w:pPr>
        <w:ind w:firstLine="420"/>
        <w:rPr>
          <w:rFonts w:cs="Times New Roman"/>
          <w:color w:val="0070C0"/>
        </w:rPr>
      </w:pPr>
      <w:r>
        <w:rPr>
          <w:rFonts w:hint="eastAsia" w:cs="Times New Roman"/>
          <w:color w:val="0070C0"/>
        </w:rPr>
        <w:t>可移动基因元件随机森林分析（排名前10）：</w:t>
      </w:r>
    </w:p>
    <w:p w14:paraId="6602473C">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8" name="图片 10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图片 107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073B140">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71639FA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-mobileOG/6.Statistical_test_analysis/4.Random_Forest</w:t>
      </w:r>
    </w:p>
    <w:p w14:paraId="15F13E8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62F8E3DC">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014A63D0">
      <w:pPr>
        <w:ind w:firstLine="420"/>
        <w:rPr>
          <w:rFonts w:cs="Times New Roman"/>
          <w:color w:val="0070C0"/>
        </w:rPr>
      </w:pPr>
      <w:r>
        <w:rPr>
          <w:rFonts w:hint="eastAsia" w:cs="Times New Roman"/>
          <w:color w:val="0070C0"/>
        </w:rPr>
        <w:t>可移动基因元件差异功能热图如下：</w:t>
      </w:r>
    </w:p>
    <w:p w14:paraId="1DE3E3D4">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9" name="图片 10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图片 107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A7F782">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28CF241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-mobileOG/6.Statistical_test_analysis/5.metagenomeSeq</w:t>
      </w:r>
    </w:p>
    <w:p w14:paraId="2DA91B4B">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4B88CCE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5A29D71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-mobileOG/6.Statistical_test_analysis/6.Anosim</w:t>
      </w:r>
    </w:p>
    <w:p w14:paraId="122E76E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.3.7 ADONIS分析</w:t>
      </w:r>
    </w:p>
    <w:p w14:paraId="1B93A5E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0A5054A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-mobileOG/6.Statistical_test_analysis/7.Adonis</w:t>
      </w:r>
    </w:p>
    <w:p w14:paraId="46CD4ECF">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.3.8 MRPP分析</w:t>
      </w:r>
    </w:p>
    <w:p w14:paraId="4D552C7F">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5798E10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-mobileOG/6.Statistical_test_analysis/8.MRPP</w:t>
      </w:r>
    </w:p>
    <w:p w14:paraId="1EFE6C3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21895DA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2DDBB9CC">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61739BED">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2B31C49E">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2F509BFE">
      <w:pPr>
        <w:ind w:firstLine="420"/>
        <w:rPr>
          <w:rFonts w:cs="Times New Roman"/>
          <w:color w:val="0070C0"/>
        </w:rPr>
      </w:pPr>
      <w:r>
        <w:rPr>
          <w:rFonts w:hint="eastAsia" w:cs="Times New Roman"/>
          <w:color w:val="0070C0"/>
        </w:rPr>
        <w:t>可移动基因元件LDA值柱状图如下所示：</w:t>
      </w:r>
    </w:p>
    <w:p w14:paraId="427D3AC3">
      <w:pPr>
        <w:ind w:firstLine="42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0" name="图片 10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图片 108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9441C5C">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Score）。图中仅绘制LDA值＞2且排名前100的可移动基因元件，不足100绘制全部。</w:t>
      </w:r>
    </w:p>
    <w:p w14:paraId="2500E73D">
      <w:pPr>
        <w:ind w:firstLine="420"/>
        <w:rPr>
          <w:rFonts w:cs="Times New Roman"/>
        </w:rPr>
      </w:pPr>
      <w:r>
        <w:rPr>
          <w:rFonts w:hint="eastAsia" w:cs="Times New Roman"/>
        </w:rPr>
        <w:t>结果目录：Result/group*/1</w:t>
      </w:r>
      <w:r>
        <w:rPr>
          <w:rFonts w:hint="eastAsia" w:cs="Times New Roman"/>
          <w:lang w:val="en-US" w:eastAsia="zh-CN"/>
        </w:rPr>
        <w:t>2</w:t>
      </w:r>
      <w:r>
        <w:rPr>
          <w:rFonts w:hint="eastAsia" w:cs="Times New Roman"/>
        </w:rPr>
        <w:t>-mobileOG/6.Statistical_test_analysis/9.Lefse</w:t>
      </w:r>
      <w:bookmarkEnd w:id="192"/>
    </w:p>
    <w:p w14:paraId="2EB3E5A1">
      <w:pPr>
        <w:pStyle w:val="40"/>
        <w:numPr>
          <w:ilvl w:val="0"/>
          <w:numId w:val="0"/>
        </w:numPr>
        <w:ind w:firstLine="0" w:firstLineChars="0"/>
        <w:rPr>
          <w:bCs w:val="0"/>
          <w:color w:val="000000" w:themeColor="text1"/>
          <w14:textFill>
            <w14:solidFill>
              <w14:schemeClr w14:val="tx1"/>
            </w14:solidFill>
          </w14:textFill>
        </w:rPr>
      </w:pPr>
      <w:bookmarkStart w:id="195" w:name="_Toc17700"/>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3</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重金属抗性基因注释</w:t>
      </w:r>
      <w:bookmarkEnd w:id="195"/>
    </w:p>
    <w:p w14:paraId="467D1C7E">
      <w:pPr>
        <w:ind w:firstLine="420"/>
        <w:rPr>
          <w:color w:val="000000" w:themeColor="text1"/>
          <w14:textFill>
            <w14:solidFill>
              <w14:schemeClr w14:val="tx1"/>
            </w14:solidFill>
          </w14:textFill>
        </w:rPr>
      </w:pPr>
      <w:r>
        <w:rPr>
          <w:color w:val="000000" w:themeColor="text1"/>
          <w14:textFill>
            <w14:solidFill>
              <w14:schemeClr w14:val="tx1"/>
            </w14:solidFill>
          </w14:textFill>
        </w:rPr>
        <w:t>BacMet</w:t>
      </w:r>
      <w:r>
        <w:rPr>
          <w:rFonts w:hint="eastAsia"/>
          <w:color w:val="000000" w:themeColor="text1"/>
          <w14:textFill>
            <w14:solidFill>
              <w14:schemeClr w14:val="tx1"/>
            </w14:solidFill>
          </w14:textFill>
        </w:rPr>
        <w:t>（antibacterial biocide and metal resistance genes database）</w:t>
      </w:r>
      <w:r>
        <w:rPr>
          <w:color w:val="000000" w:themeColor="text1"/>
          <w14:textFill>
            <w14:solidFill>
              <w14:schemeClr w14:val="tx1"/>
            </w14:solidFill>
          </w14:textFill>
        </w:rPr>
        <w:t>数据库全称为抗菌杀菌剂与金属抗性基因数据库。数据库包含了抗金属离子的基因（metal resistance genes, MRGs）和抗杀菌剂的基因（biocide resistance genes, BRGs）两大类，共计753个</w:t>
      </w:r>
      <w:r>
        <w:rPr>
          <w:rFonts w:hint="eastAsia"/>
          <w:color w:val="000000" w:themeColor="text1"/>
          <w14:textFill>
            <w14:solidFill>
              <w14:schemeClr w14:val="tx1"/>
            </w14:solidFill>
          </w14:textFill>
        </w:rPr>
        <w:t>实验验证</w:t>
      </w:r>
      <w:r>
        <w:rPr>
          <w:color w:val="000000" w:themeColor="text1"/>
          <w14:textFill>
            <w14:solidFill>
              <w14:schemeClr w14:val="tx1"/>
            </w14:solidFill>
          </w14:textFill>
        </w:rPr>
        <w:t>基因</w: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t>155512</w:t>
      </w:r>
      <w:r>
        <w:rPr>
          <w:rFonts w:hint="eastAsia"/>
          <w:color w:val="000000" w:themeColor="text1"/>
          <w14:textFill>
            <w14:solidFill>
              <w14:schemeClr w14:val="tx1"/>
            </w14:solidFill>
          </w14:textFill>
        </w:rPr>
        <w:t>个预测基因</w:t>
      </w:r>
      <w:r>
        <w:rPr>
          <w:color w:val="000000" w:themeColor="text1"/>
          <w14:textFill>
            <w14:solidFill>
              <w14:schemeClr w14:val="tx1"/>
            </w14:solidFill>
          </w14:textFill>
        </w:rPr>
        <w:t>。</w:t>
      </w:r>
    </w:p>
    <w:p w14:paraId="1F0AEDB2">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重金属抗性丰度结果表表头信息如下：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0B0655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58B54E5">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D44949E">
            <w:pPr>
              <w:ind w:firstLine="420"/>
              <w:jc w:val="center"/>
              <w:rPr>
                <w:rFonts w:cs="Times New Roman"/>
                <w:bCs/>
                <w:color w:val="000000"/>
                <w:kern w:val="0"/>
                <w:szCs w:val="20"/>
              </w:rPr>
            </w:pPr>
            <w:r>
              <w:rPr>
                <w:rFonts w:hint="eastAsia" w:cs="Times New Roman"/>
                <w:bCs/>
                <w:color w:val="000000"/>
                <w:kern w:val="0"/>
                <w:szCs w:val="20"/>
              </w:rPr>
              <w:t>描述</w:t>
            </w:r>
          </w:p>
        </w:tc>
      </w:tr>
      <w:tr w14:paraId="0E010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0CFF83A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4169AC3A">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010AC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86D2A9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6F072B08">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08FA6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5510356">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Gene_name</w:t>
            </w:r>
          </w:p>
        </w:tc>
        <w:tc>
          <w:tcPr>
            <w:tcW w:w="5529" w:type="dxa"/>
            <w:tcBorders>
              <w:tl2br w:val="nil"/>
              <w:tr2bl w:val="nil"/>
            </w:tcBorders>
            <w:shd w:val="clear" w:color="auto" w:fill="FFFFFF"/>
            <w:vAlign w:val="center"/>
          </w:tcPr>
          <w:p w14:paraId="5FF9B0A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7A8EE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0D064F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Accession/GenBank_ID</w:t>
            </w:r>
          </w:p>
        </w:tc>
        <w:tc>
          <w:tcPr>
            <w:tcW w:w="5529" w:type="dxa"/>
            <w:tcBorders>
              <w:tl2br w:val="nil"/>
              <w:tr2bl w:val="nil"/>
            </w:tcBorders>
            <w:shd w:val="clear" w:color="auto" w:fill="FFFFFF"/>
            <w:vAlign w:val="center"/>
          </w:tcPr>
          <w:p w14:paraId="75BD4F0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在数据库中的序列I</w:t>
            </w:r>
            <w:r>
              <w:rPr>
                <w:rFonts w:cs="Times New Roman"/>
                <w:color w:val="000000"/>
                <w:kern w:val="0"/>
                <w:szCs w:val="20"/>
                <w:shd w:val="clear" w:color="auto" w:fill="FFFFFF"/>
              </w:rPr>
              <w:t>D</w:t>
            </w:r>
          </w:p>
        </w:tc>
      </w:tr>
      <w:tr w14:paraId="1AC69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733D71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Compound</w:t>
            </w:r>
          </w:p>
        </w:tc>
        <w:tc>
          <w:tcPr>
            <w:tcW w:w="5529" w:type="dxa"/>
            <w:tcBorders>
              <w:tl2br w:val="nil"/>
              <w:tr2bl w:val="nil"/>
            </w:tcBorders>
            <w:shd w:val="clear" w:color="auto" w:fill="FFFFFF"/>
            <w:vAlign w:val="center"/>
          </w:tcPr>
          <w:p w14:paraId="7AD00E6E">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与基因相关的重金属或化合物</w:t>
            </w:r>
          </w:p>
        </w:tc>
      </w:tr>
      <w:tr w14:paraId="2C4F3F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015B93E">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Source</w:t>
            </w:r>
          </w:p>
        </w:tc>
        <w:tc>
          <w:tcPr>
            <w:tcW w:w="5529" w:type="dxa"/>
            <w:tcBorders>
              <w:tl2br w:val="nil"/>
              <w:tr2bl w:val="nil"/>
            </w:tcBorders>
            <w:shd w:val="clear" w:color="auto" w:fill="FFFFFF"/>
            <w:vAlign w:val="center"/>
          </w:tcPr>
          <w:p w14:paraId="6C7053E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依据来源，分为预测/实验验证</w:t>
            </w:r>
          </w:p>
        </w:tc>
      </w:tr>
      <w:tr w14:paraId="788AAE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7532DF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NCBI_annotation</w:t>
            </w:r>
          </w:p>
        </w:tc>
        <w:tc>
          <w:tcPr>
            <w:tcW w:w="5529" w:type="dxa"/>
            <w:tcBorders>
              <w:tl2br w:val="nil"/>
              <w:tr2bl w:val="nil"/>
            </w:tcBorders>
            <w:shd w:val="clear" w:color="auto" w:fill="FFFFFF"/>
            <w:vAlign w:val="center"/>
          </w:tcPr>
          <w:p w14:paraId="4D16A37C">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NCBI 数据库中对该基因的注释信息</w:t>
            </w:r>
          </w:p>
        </w:tc>
      </w:tr>
    </w:tbl>
    <w:p w14:paraId="48BAE0CB">
      <w:pPr>
        <w:pStyle w:val="41"/>
        <w:rPr>
          <w:color w:val="000000" w:themeColor="text1"/>
          <w14:textFill>
            <w14:solidFill>
              <w14:schemeClr w14:val="tx1"/>
            </w14:solidFill>
          </w14:textFill>
        </w:rPr>
      </w:pPr>
      <w:bookmarkStart w:id="196" w:name="_Toc9538"/>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重金属抗性基因丰度统计</w:t>
      </w:r>
      <w:bookmarkEnd w:id="196"/>
    </w:p>
    <w:p w14:paraId="444EAF7A">
      <w:pPr>
        <w:ind w:firstLine="420"/>
        <w:rPr>
          <w:rFonts w:cs="Times New Roman"/>
          <w:color w:val="0070C0"/>
        </w:rPr>
      </w:pPr>
      <w:r>
        <w:rPr>
          <w:rFonts w:hint="eastAsia" w:cs="Times New Roman"/>
          <w:color w:val="0070C0"/>
        </w:rPr>
        <w:t>重金属抗性基因丰度柱形图如下：</w:t>
      </w:r>
    </w:p>
    <w:p w14:paraId="19AEAC18">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1" name="图片 10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图片 108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D0CE737">
      <w:pPr>
        <w:ind w:firstLine="420"/>
        <w:rPr>
          <w:rFonts w:cs="Times New Roman"/>
          <w:color w:val="0070C0"/>
        </w:rPr>
      </w:pPr>
      <w:r>
        <w:rPr>
          <w:rFonts w:hint="eastAsia" w:cs="Times New Roman"/>
          <w:color w:val="0070C0"/>
        </w:rPr>
        <w:t>注：横坐标为不同的样本，纵坐标为不同重金属抗性基因丰度占总功能丰度的百分比，图中不同的颜色表示不同的重金属抗性基因。</w:t>
      </w:r>
    </w:p>
    <w:p w14:paraId="530F024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-BacMet2/1.Barplot</w:t>
      </w:r>
    </w:p>
    <w:p w14:paraId="01D7E4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5273E885">
      <w:pPr>
        <w:ind w:firstLine="420"/>
        <w:rPr>
          <w:rFonts w:cs="Times New Roman"/>
          <w:color w:val="0070C0"/>
        </w:rPr>
      </w:pPr>
      <w:r>
        <w:rPr>
          <w:rFonts w:hint="eastAsia" w:cs="Times New Roman"/>
          <w:color w:val="0070C0"/>
        </w:rPr>
        <w:t>重金属抗性基因聚类热图：</w:t>
      </w:r>
    </w:p>
    <w:p w14:paraId="43AC2849">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2" name="图片 10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图片 108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E924D90">
      <w:pPr>
        <w:ind w:firstLine="420"/>
        <w:rPr>
          <w:rFonts w:cs="Times New Roman"/>
          <w:color w:val="0070C0"/>
        </w:rPr>
      </w:pPr>
      <w:r>
        <w:rPr>
          <w:rFonts w:hint="eastAsia" w:cs="Times New Roman"/>
          <w:color w:val="0070C0"/>
        </w:rPr>
        <w:t>注：图中列代表不同的样本，行为相对丰度排名前50的重金属抗性基因（不足50显示全部），图中的颜色代表了重金属抗性基因的丰度大小，颜色由蓝色到红色渐变表示功能丰度由小到大。</w:t>
      </w:r>
    </w:p>
    <w:p w14:paraId="0DB66D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-BacMet2/2.Heatmap</w:t>
      </w:r>
    </w:p>
    <w:p w14:paraId="2A8EAA1B">
      <w:pPr>
        <w:pStyle w:val="41"/>
        <w:rPr>
          <w:color w:val="000000" w:themeColor="text1"/>
          <w14:textFill>
            <w14:solidFill>
              <w14:schemeClr w14:val="tx1"/>
            </w14:solidFill>
          </w14:textFill>
        </w:rPr>
      </w:pPr>
      <w:bookmarkStart w:id="197" w:name="_Toc14282"/>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重金属抗性基因的降维分析</w:t>
      </w:r>
      <w:bookmarkEnd w:id="197"/>
    </w:p>
    <w:p w14:paraId="3E20AA6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0636B83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7C450A29">
      <w:pPr>
        <w:ind w:firstLine="420"/>
        <w:rPr>
          <w:rFonts w:cs="Times New Roman"/>
          <w:color w:val="0070C0"/>
        </w:rPr>
      </w:pPr>
      <w:r>
        <w:rPr>
          <w:rFonts w:hint="eastAsia" w:cs="Times New Roman"/>
          <w:color w:val="0070C0"/>
        </w:rPr>
        <w:t>重金属抗性基因PCA分析图：</w:t>
      </w:r>
    </w:p>
    <w:p w14:paraId="7FA3C957">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3" name="图片 10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图片 108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97017F3">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6C539D2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-BacMet2/3.PCA</w:t>
      </w:r>
    </w:p>
    <w:p w14:paraId="5EC156E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3A30E04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0018A1EB">
      <w:pPr>
        <w:ind w:firstLine="420"/>
        <w:rPr>
          <w:rFonts w:cs="Times New Roman"/>
          <w:color w:val="0070C0"/>
        </w:rPr>
      </w:pPr>
      <w:r>
        <w:rPr>
          <w:rFonts w:hint="eastAsia" w:cs="Times New Roman"/>
          <w:color w:val="0070C0"/>
        </w:rPr>
        <w:t>重金属抗性基因PCoA分析：</w:t>
      </w:r>
    </w:p>
    <w:p w14:paraId="4C086899">
      <w:pPr>
        <w:pStyle w:val="32"/>
        <w:spacing w:line="360" w:lineRule="auto"/>
        <w:ind w:firstLine="420" w:firstLineChars="20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84" name="图片 10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图片 108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9A18035">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43C07BC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Result/group*/13-BacMet2/4.PCoA</w:t>
      </w:r>
    </w:p>
    <w:p w14:paraId="4A5A1567">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7CF3F78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366B80C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重金属抗性基因</w:t>
      </w:r>
      <w:r>
        <w:rPr>
          <w:rFonts w:cs="Times New Roman"/>
          <w:color w:val="000000" w:themeColor="text1"/>
          <w14:textFill>
            <w14:solidFill>
              <w14:schemeClr w14:val="tx1"/>
            </w14:solidFill>
          </w14:textFill>
        </w:rPr>
        <w:t>NMDS</w:t>
      </w:r>
      <w:r>
        <w:rPr>
          <w:rFonts w:hint="eastAsia" w:cs="Times New Roman"/>
          <w:color w:val="000000" w:themeColor="text1"/>
          <w14:textFill>
            <w14:solidFill>
              <w14:schemeClr w14:val="tx1"/>
            </w14:solidFill>
          </w14:textFill>
        </w:rPr>
        <w:t>分析：</w:t>
      </w:r>
    </w:p>
    <w:p w14:paraId="55376B6A">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5" name="图片 10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图片 108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20B2A6">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63726EC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-BacMet2/5.NMDS</w:t>
      </w:r>
    </w:p>
    <w:p w14:paraId="3810DEC0">
      <w:pPr>
        <w:pStyle w:val="41"/>
        <w:rPr>
          <w:color w:val="000000" w:themeColor="text1"/>
          <w14:textFill>
            <w14:solidFill>
              <w14:schemeClr w14:val="tx1"/>
            </w14:solidFill>
          </w14:textFill>
        </w:rPr>
      </w:pPr>
      <w:bookmarkStart w:id="198" w:name="_Toc30585"/>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重金属抗性基因的组间差异分析</w:t>
      </w:r>
      <w:bookmarkEnd w:id="198"/>
    </w:p>
    <w:p w14:paraId="7A3E3B65">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4079951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135A6A75">
      <w:pPr>
        <w:ind w:firstLine="420"/>
        <w:rPr>
          <w:rFonts w:cs="Times New Roman"/>
          <w:color w:val="0070C0"/>
        </w:rPr>
      </w:pPr>
      <w:r>
        <w:rPr>
          <w:rFonts w:hint="eastAsia" w:cs="Times New Roman"/>
          <w:color w:val="0070C0"/>
        </w:rPr>
        <w:t>重金属抗性基因ANOVA分析：</w:t>
      </w:r>
    </w:p>
    <w:p w14:paraId="0EB2B3B8">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6" name="图片 10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图片 108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8A54992">
      <w:pPr>
        <w:ind w:firstLine="420"/>
        <w:rPr>
          <w:rFonts w:cs="Times New Roman"/>
          <w:color w:val="0070C0"/>
        </w:rPr>
      </w:pPr>
      <w:r>
        <w:rPr>
          <w:rFonts w:hint="eastAsia" w:cs="Times New Roman"/>
          <w:color w:val="0070C0"/>
        </w:rPr>
        <w:t>注：横坐标分组，不同颜色代表不同的分组，纵坐标为功能丰度</w:t>
      </w:r>
    </w:p>
    <w:p w14:paraId="78045AE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-BacMet2/6.Statistical_test_analysis/1.ANOVA</w:t>
      </w:r>
    </w:p>
    <w:p w14:paraId="5A211DB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437E242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593D3C10">
      <w:pPr>
        <w:ind w:firstLine="420"/>
        <w:rPr>
          <w:rFonts w:cs="Times New Roman"/>
          <w:color w:val="0070C0"/>
        </w:rPr>
      </w:pPr>
      <w:r>
        <w:rPr>
          <w:rFonts w:hint="eastAsia" w:cs="Times New Roman"/>
          <w:color w:val="0070C0"/>
        </w:rPr>
        <w:t>重金属抗性基因秩和检验：</w:t>
      </w:r>
    </w:p>
    <w:p w14:paraId="1D361A7D">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7" name="图片 10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图片 108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FA2FDBC">
      <w:pPr>
        <w:ind w:firstLine="420"/>
        <w:rPr>
          <w:rFonts w:cs="Times New Roman"/>
          <w:color w:val="0070C0"/>
        </w:rPr>
      </w:pPr>
      <w:r>
        <w:rPr>
          <w:rFonts w:hint="eastAsia" w:cs="Times New Roman"/>
          <w:color w:val="0070C0"/>
        </w:rPr>
        <w:t>注：横坐标分组，不同颜色代表不同的分组，纵坐标为功能丰度</w:t>
      </w:r>
    </w:p>
    <w:p w14:paraId="6AECE45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-BacMet2/6.Statistical_test_analysis/2.wilcoxon</w:t>
      </w:r>
    </w:p>
    <w:p w14:paraId="1D00F60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48EA964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6A92E1D3">
      <w:pPr>
        <w:ind w:firstLine="420"/>
        <w:rPr>
          <w:rFonts w:cs="Times New Roman"/>
          <w:color w:val="0070C0"/>
        </w:rPr>
      </w:pPr>
      <w:r>
        <w:rPr>
          <w:rFonts w:hint="eastAsia" w:cs="Times New Roman"/>
          <w:color w:val="0070C0"/>
        </w:rPr>
        <w:t>重金属抗性基因差异检验柱状图如下所示：</w:t>
      </w:r>
    </w:p>
    <w:p w14:paraId="1FEE4DEC">
      <w:pPr>
        <w:widowControl/>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28" name="图片 12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4300A4A">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2076B2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-BacMet2/6.Statistical_test_analysis/3.Stamp</w:t>
      </w:r>
    </w:p>
    <w:p w14:paraId="41A6D92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38E5EED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68093627">
      <w:pPr>
        <w:ind w:firstLine="420"/>
        <w:rPr>
          <w:rFonts w:cs="Times New Roman"/>
          <w:color w:val="0070C0"/>
        </w:rPr>
      </w:pPr>
      <w:r>
        <w:rPr>
          <w:rFonts w:hint="eastAsia" w:cs="Times New Roman"/>
          <w:color w:val="0070C0"/>
        </w:rPr>
        <w:t>重金属抗性基因随机森林分析（排名前10）：</w:t>
      </w:r>
    </w:p>
    <w:p w14:paraId="446F53E7">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29" name="图片 12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DF2A7AC">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61175AC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-BacMet2/6.Statistical_test_analysis/4.Random_Forest</w:t>
      </w:r>
    </w:p>
    <w:p w14:paraId="5801A642">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52540D63">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7D927FE1">
      <w:pPr>
        <w:ind w:firstLine="420"/>
        <w:rPr>
          <w:rFonts w:cs="Times New Roman"/>
          <w:color w:val="0070C0"/>
        </w:rPr>
      </w:pPr>
      <w:r>
        <w:rPr>
          <w:rFonts w:hint="eastAsia" w:cs="Times New Roman"/>
          <w:color w:val="0070C0"/>
        </w:rPr>
        <w:t>重金属抗性基因差异功能热图如下：</w:t>
      </w:r>
    </w:p>
    <w:p w14:paraId="7840D0AC">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0" name="图片 13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9925317">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2D8A75E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-BacMet2/6.Statistical_test_analysis/5.metagenomeSeq</w:t>
      </w:r>
    </w:p>
    <w:p w14:paraId="33D9922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3CC9CD3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24D1D2E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-BacMet2/6.Statistical_test_analysis/6.Anosim</w:t>
      </w:r>
    </w:p>
    <w:p w14:paraId="2093C1C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.3.7 ADONIS分析</w:t>
      </w:r>
    </w:p>
    <w:p w14:paraId="5F7EBAED">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1BD5EDB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-BacMet2/6.Statistical_test_analysis/7.Adonis</w:t>
      </w:r>
    </w:p>
    <w:p w14:paraId="790C5FB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.3.8 MRPP分析</w:t>
      </w:r>
    </w:p>
    <w:p w14:paraId="6AC1B79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24AD054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-BacMet2/6.Statistical_test_analysis/8.MRPP</w:t>
      </w:r>
    </w:p>
    <w:p w14:paraId="1CB06470">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3609E8E4">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3538424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4A527FC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59FC7F5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46ADC6C1">
      <w:pPr>
        <w:ind w:firstLine="420"/>
        <w:rPr>
          <w:rFonts w:cs="Times New Roman"/>
          <w:color w:val="0070C0"/>
        </w:rPr>
      </w:pPr>
      <w:r>
        <w:rPr>
          <w:rFonts w:hint="eastAsia" w:cs="Times New Roman"/>
          <w:color w:val="0070C0"/>
        </w:rPr>
        <w:t>重金属抗性基因LDA值柱状图如下所示：</w:t>
      </w:r>
    </w:p>
    <w:p w14:paraId="13AEC304">
      <w:pPr>
        <w:ind w:firstLine="42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1" name="图片 1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27C2F52">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Score）。图中仅绘制LDA值＞2且排名前100的重金属抗性基因，不足100绘制全部。</w:t>
      </w:r>
    </w:p>
    <w:p w14:paraId="61301F7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-BacMet2/6.Statistical_test_analysis/9.Lefse</w:t>
      </w:r>
    </w:p>
    <w:p w14:paraId="0E345820">
      <w:pPr>
        <w:pStyle w:val="40"/>
        <w:numPr>
          <w:ilvl w:val="0"/>
          <w:numId w:val="0"/>
        </w:numPr>
        <w:ind w:firstLine="0" w:firstLineChars="0"/>
        <w:rPr>
          <w:bCs w:val="0"/>
          <w:color w:val="000000" w:themeColor="text1"/>
          <w14:textFill>
            <w14:solidFill>
              <w14:schemeClr w14:val="tx1"/>
            </w14:solidFill>
          </w14:textFill>
        </w:rPr>
      </w:pPr>
      <w:bookmarkStart w:id="199" w:name="_Toc25288"/>
      <w:bookmarkStart w:id="200" w:name="OLE_LINK7"/>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4</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群体感应基因注释</w:t>
      </w:r>
      <w:bookmarkEnd w:id="199"/>
    </w:p>
    <w:p w14:paraId="09257E13">
      <w:pPr>
        <w:ind w:firstLine="420"/>
        <w:rPr>
          <w:color w:val="000000" w:themeColor="text1"/>
          <w14:textFill>
            <w14:solidFill>
              <w14:schemeClr w14:val="tx1"/>
            </w14:solidFill>
          </w14:textFill>
        </w:rPr>
      </w:pPr>
      <w:r>
        <w:rPr>
          <w:color w:val="000000" w:themeColor="text1"/>
          <w14:textFill>
            <w14:solidFill>
              <w14:schemeClr w14:val="tx1"/>
            </w14:solidFill>
          </w14:textFill>
        </w:rPr>
        <w:t>群体感应（quorum sensing，QS）是细菌通过感知特定群体感应信号分子（quorum sensing signal molecule，QSSM）的浓度阈值，以调节菌群基因表达，改变细菌及菌群行为的系统。这种调节机制在细菌与宿主的相互作用中也发挥重要作用。当细菌释放群体感应信号分子（quorum sensing signal molecule，QSSM）被宿主感知，启动相关信号通路，激活或抑制基因表达。目前研究表明宿主细胞的细胞膜、细胞质、细胞器和细胞核等均参与群体感应信号分子（quorum sensing signal molecule，QSSM）刺激的多种信号通路，以此介导宿主的相关免疫应答。</w:t>
      </w:r>
    </w:p>
    <w:p w14:paraId="16D9A970">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群体感应丰度结果表表头信息如下：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07AAF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trPr>
        <w:tc>
          <w:tcPr>
            <w:tcW w:w="3402" w:type="dxa"/>
            <w:tcBorders>
              <w:bottom w:val="single" w:color="000000" w:sz="8" w:space="0"/>
            </w:tcBorders>
            <w:shd w:val="clear" w:color="auto" w:fill="FFFFFF"/>
            <w:vAlign w:val="center"/>
          </w:tcPr>
          <w:p w14:paraId="3745E25D">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0F09D7DD">
            <w:pPr>
              <w:ind w:firstLine="420"/>
              <w:jc w:val="center"/>
              <w:rPr>
                <w:rFonts w:cs="Times New Roman"/>
                <w:bCs/>
                <w:color w:val="000000"/>
                <w:kern w:val="0"/>
                <w:szCs w:val="20"/>
              </w:rPr>
            </w:pPr>
            <w:r>
              <w:rPr>
                <w:rFonts w:hint="eastAsia" w:cs="Times New Roman"/>
                <w:bCs/>
                <w:color w:val="000000"/>
                <w:kern w:val="0"/>
                <w:szCs w:val="20"/>
              </w:rPr>
              <w:t>描述</w:t>
            </w:r>
          </w:p>
        </w:tc>
      </w:tr>
      <w:tr w14:paraId="15586F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44D674AA">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72467DE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66EE00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CB627F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73282A5C">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6CF08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3975E0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w:t>
            </w:r>
          </w:p>
        </w:tc>
        <w:tc>
          <w:tcPr>
            <w:tcW w:w="5529" w:type="dxa"/>
            <w:tcBorders>
              <w:tl2br w:val="nil"/>
              <w:tr2bl w:val="nil"/>
            </w:tcBorders>
            <w:shd w:val="clear" w:color="auto" w:fill="FFFFFF"/>
            <w:vAlign w:val="center"/>
          </w:tcPr>
          <w:p w14:paraId="70FE758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niport数据库I</w:t>
            </w:r>
            <w:r>
              <w:rPr>
                <w:rFonts w:cs="Times New Roman"/>
                <w:color w:val="000000"/>
                <w:kern w:val="0"/>
                <w:szCs w:val="20"/>
                <w:shd w:val="clear" w:color="auto" w:fill="FFFFFF"/>
              </w:rPr>
              <w:t>D</w:t>
            </w:r>
          </w:p>
        </w:tc>
      </w:tr>
      <w:tr w14:paraId="3B54A0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1A8F9F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Reviewed</w:t>
            </w:r>
          </w:p>
        </w:tc>
        <w:tc>
          <w:tcPr>
            <w:tcW w:w="5529" w:type="dxa"/>
            <w:tcBorders>
              <w:tl2br w:val="nil"/>
              <w:tr2bl w:val="nil"/>
            </w:tcBorders>
            <w:shd w:val="clear" w:color="auto" w:fill="FFFFFF"/>
            <w:vAlign w:val="center"/>
          </w:tcPr>
          <w:p w14:paraId="2A8B414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niport数据库中，该条目是否经过审查</w:t>
            </w:r>
          </w:p>
        </w:tc>
      </w:tr>
      <w:tr w14:paraId="4B72CB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38A5032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 Name</w:t>
            </w:r>
          </w:p>
        </w:tc>
        <w:tc>
          <w:tcPr>
            <w:tcW w:w="5529" w:type="dxa"/>
            <w:tcBorders>
              <w:tl2br w:val="nil"/>
              <w:tr2bl w:val="nil"/>
            </w:tcBorders>
            <w:shd w:val="clear" w:color="auto" w:fill="FFFFFF"/>
            <w:vAlign w:val="center"/>
          </w:tcPr>
          <w:p w14:paraId="2D770E7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niport数据库中的名称</w:t>
            </w:r>
          </w:p>
        </w:tc>
      </w:tr>
      <w:tr w14:paraId="5ADA16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trPr>
        <w:tc>
          <w:tcPr>
            <w:tcW w:w="3402" w:type="dxa"/>
            <w:tcBorders>
              <w:tl2br w:val="nil"/>
              <w:tr2bl w:val="nil"/>
            </w:tcBorders>
            <w:shd w:val="clear" w:color="auto" w:fill="FFFFFF"/>
            <w:vAlign w:val="center"/>
          </w:tcPr>
          <w:p w14:paraId="0DF64A1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 Names</w:t>
            </w:r>
          </w:p>
        </w:tc>
        <w:tc>
          <w:tcPr>
            <w:tcW w:w="5529" w:type="dxa"/>
            <w:tcBorders>
              <w:tl2br w:val="nil"/>
              <w:tr2bl w:val="nil"/>
            </w:tcBorders>
            <w:shd w:val="clear" w:color="auto" w:fill="FFFFFF"/>
            <w:vAlign w:val="center"/>
          </w:tcPr>
          <w:p w14:paraId="3C85249B">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5D7974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B99CA2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Length</w:t>
            </w:r>
          </w:p>
        </w:tc>
        <w:tc>
          <w:tcPr>
            <w:tcW w:w="5529" w:type="dxa"/>
            <w:tcBorders>
              <w:tl2br w:val="nil"/>
              <w:tr2bl w:val="nil"/>
            </w:tcBorders>
            <w:shd w:val="clear" w:color="auto" w:fill="FFFFFF"/>
            <w:vAlign w:val="center"/>
          </w:tcPr>
          <w:p w14:paraId="55EC189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该蛋白序列的长度</w:t>
            </w:r>
          </w:p>
        </w:tc>
      </w:tr>
      <w:tr w14:paraId="64CECB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8B97E0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names</w:t>
            </w:r>
          </w:p>
        </w:tc>
        <w:tc>
          <w:tcPr>
            <w:tcW w:w="5529" w:type="dxa"/>
            <w:tcBorders>
              <w:tl2br w:val="nil"/>
              <w:tr2bl w:val="nil"/>
            </w:tcBorders>
            <w:shd w:val="clear" w:color="auto" w:fill="FFFFFF"/>
            <w:vAlign w:val="center"/>
          </w:tcPr>
          <w:p w14:paraId="0F23A07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蛋白名称</w:t>
            </w:r>
          </w:p>
        </w:tc>
      </w:tr>
      <w:tr w14:paraId="37A904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C798F5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Function [CC]</w:t>
            </w:r>
          </w:p>
        </w:tc>
        <w:tc>
          <w:tcPr>
            <w:tcW w:w="5529" w:type="dxa"/>
            <w:tcBorders>
              <w:tl2br w:val="nil"/>
              <w:tr2bl w:val="nil"/>
            </w:tcBorders>
            <w:shd w:val="clear" w:color="auto" w:fill="FFFFFF"/>
            <w:vAlign w:val="center"/>
          </w:tcPr>
          <w:p w14:paraId="7E7DB58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蛋白质功能描述</w:t>
            </w:r>
          </w:p>
        </w:tc>
      </w:tr>
      <w:tr w14:paraId="1EAFEB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F7BD4C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family</w:t>
            </w:r>
          </w:p>
        </w:tc>
        <w:tc>
          <w:tcPr>
            <w:tcW w:w="5529" w:type="dxa"/>
            <w:tcBorders>
              <w:tl2br w:val="nil"/>
              <w:tr2bl w:val="nil"/>
            </w:tcBorders>
            <w:shd w:val="clear" w:color="auto" w:fill="FFFFFF"/>
            <w:vAlign w:val="center"/>
          </w:tcPr>
          <w:p w14:paraId="4C9F84A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蛋白质家族</w:t>
            </w:r>
          </w:p>
        </w:tc>
      </w:tr>
    </w:tbl>
    <w:p w14:paraId="7E624616">
      <w:pPr>
        <w:pStyle w:val="41"/>
        <w:rPr>
          <w:color w:val="000000" w:themeColor="text1"/>
          <w14:textFill>
            <w14:solidFill>
              <w14:schemeClr w14:val="tx1"/>
            </w14:solidFill>
          </w14:textFill>
        </w:rPr>
      </w:pPr>
      <w:bookmarkStart w:id="201" w:name="_Toc12596"/>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群体感应基因丰度统计</w:t>
      </w:r>
      <w:bookmarkEnd w:id="201"/>
    </w:p>
    <w:p w14:paraId="1B27BA1F">
      <w:pPr>
        <w:ind w:firstLine="420"/>
        <w:rPr>
          <w:rFonts w:cs="Times New Roman"/>
          <w:color w:val="0070C0"/>
        </w:rPr>
      </w:pPr>
      <w:r>
        <w:rPr>
          <w:rFonts w:hint="eastAsia" w:cs="Times New Roman"/>
          <w:color w:val="0070C0"/>
        </w:rPr>
        <w:t>群体感应基因丰度柱形图如下：</w:t>
      </w:r>
    </w:p>
    <w:p w14:paraId="5E1C021D">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2" name="图片 13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389FDFB">
      <w:pPr>
        <w:ind w:firstLine="420"/>
        <w:rPr>
          <w:rFonts w:cs="Times New Roman"/>
          <w:color w:val="0070C0"/>
        </w:rPr>
      </w:pPr>
      <w:r>
        <w:rPr>
          <w:rFonts w:hint="eastAsia" w:cs="Times New Roman"/>
          <w:color w:val="0070C0"/>
        </w:rPr>
        <w:t>注：横坐标为不同的样本，纵坐标为不同群体感应基因丰度占总功能丰度的百分比，图中不同的颜色表示不同的重金属抗性基因。</w:t>
      </w:r>
    </w:p>
    <w:p w14:paraId="0FE1722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bookmarkStart w:id="202" w:name="OLE_LINK5"/>
      <w:r>
        <w:rPr>
          <w:rFonts w:cs="Times New Roman"/>
          <w:color w:val="000000" w:themeColor="text1"/>
          <w14:textFill>
            <w14:solidFill>
              <w14:schemeClr w14:val="tx1"/>
            </w14:solidFill>
          </w14:textFill>
        </w:rPr>
        <w:t>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bookmarkEnd w:id="202"/>
      <w:r>
        <w:rPr>
          <w:rFonts w:cs="Times New Roman"/>
          <w:color w:val="000000" w:themeColor="text1"/>
          <w14:textFill>
            <w14:solidFill>
              <w14:schemeClr w14:val="tx1"/>
            </w14:solidFill>
          </w14:textFill>
        </w:rPr>
        <w:t>/1.Barplot</w:t>
      </w:r>
    </w:p>
    <w:p w14:paraId="56E538A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32BA58FF">
      <w:pPr>
        <w:ind w:firstLine="420"/>
        <w:rPr>
          <w:rFonts w:cs="Times New Roman"/>
          <w:color w:val="0070C0"/>
        </w:rPr>
      </w:pPr>
      <w:r>
        <w:rPr>
          <w:rFonts w:hint="eastAsia" w:cs="Times New Roman"/>
          <w:color w:val="0070C0"/>
        </w:rPr>
        <w:t>群体感应基因聚类热图：</w:t>
      </w:r>
    </w:p>
    <w:p w14:paraId="31F506AE">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3" name="图片 13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00E0519">
      <w:pPr>
        <w:ind w:firstLine="420"/>
        <w:rPr>
          <w:rFonts w:cs="Times New Roman"/>
          <w:color w:val="0070C0"/>
        </w:rPr>
      </w:pPr>
      <w:r>
        <w:rPr>
          <w:rFonts w:hint="eastAsia" w:cs="Times New Roman"/>
          <w:color w:val="0070C0"/>
        </w:rPr>
        <w:t>注：图中列代表不同的样本，行为相对丰度排名前50的群体感应基因（不足50显示全部），图中的颜色代表了重金属抗性基因的丰度大小，</w:t>
      </w:r>
      <w:bookmarkStart w:id="203" w:name="OLE_LINK6"/>
      <w:r>
        <w:rPr>
          <w:rFonts w:hint="eastAsia" w:cs="Times New Roman"/>
          <w:color w:val="0070C0"/>
        </w:rPr>
        <w:t>颜色由蓝色到红色渐变表示功能丰度由小到</w:t>
      </w:r>
      <w:bookmarkEnd w:id="203"/>
      <w:r>
        <w:rPr>
          <w:rFonts w:hint="eastAsia" w:cs="Times New Roman"/>
          <w:color w:val="0070C0"/>
        </w:rPr>
        <w:t>大。</w:t>
      </w:r>
    </w:p>
    <w:p w14:paraId="54E6594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/2.Heatmap</w:t>
      </w:r>
    </w:p>
    <w:p w14:paraId="23FC311E">
      <w:pPr>
        <w:pStyle w:val="41"/>
        <w:rPr>
          <w:color w:val="000000" w:themeColor="text1"/>
          <w14:textFill>
            <w14:solidFill>
              <w14:schemeClr w14:val="tx1"/>
            </w14:solidFill>
          </w14:textFill>
        </w:rPr>
      </w:pPr>
      <w:bookmarkStart w:id="204" w:name="_Toc9879"/>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群体感应基因的降维分析</w:t>
      </w:r>
      <w:bookmarkEnd w:id="204"/>
    </w:p>
    <w:p w14:paraId="1CF51F72">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02C4203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3913F874">
      <w:pPr>
        <w:ind w:firstLine="420"/>
        <w:rPr>
          <w:rFonts w:cs="Times New Roman"/>
          <w:color w:val="0070C0"/>
        </w:rPr>
      </w:pPr>
      <w:r>
        <w:rPr>
          <w:rFonts w:hint="eastAsia" w:cs="Times New Roman"/>
          <w:color w:val="0070C0"/>
        </w:rPr>
        <w:t>群体感应基因PCA分析图：</w:t>
      </w:r>
    </w:p>
    <w:p w14:paraId="4E2F4F43">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4" name="图片 13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8009502">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1961352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/3.PCA</w:t>
      </w:r>
    </w:p>
    <w:p w14:paraId="4140372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5791099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722AD78D">
      <w:pPr>
        <w:ind w:firstLine="420"/>
        <w:rPr>
          <w:rFonts w:cs="Times New Roman"/>
          <w:color w:val="0070C0"/>
        </w:rPr>
      </w:pPr>
      <w:r>
        <w:rPr>
          <w:rFonts w:hint="eastAsia" w:cs="Times New Roman"/>
          <w:color w:val="0070C0"/>
        </w:rPr>
        <w:t>群体感应基因PCoA分析：</w:t>
      </w:r>
    </w:p>
    <w:p w14:paraId="709C1E4D">
      <w:pPr>
        <w:pStyle w:val="32"/>
        <w:spacing w:line="360" w:lineRule="auto"/>
        <w:ind w:firstLine="420" w:firstLineChars="20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35" name="图片 13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0436756">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4E00F5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/4.PCoA</w:t>
      </w:r>
    </w:p>
    <w:p w14:paraId="42B9E9F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7152067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2CE0918">
      <w:pPr>
        <w:ind w:firstLine="420"/>
        <w:rPr>
          <w:rFonts w:cs="Times New Roman"/>
          <w:color w:val="0070C0"/>
        </w:rPr>
      </w:pPr>
      <w:r>
        <w:rPr>
          <w:rFonts w:hint="eastAsia" w:cs="Times New Roman"/>
          <w:color w:val="0070C0"/>
        </w:rPr>
        <w:t>群体感应基因NMDS分析：</w:t>
      </w:r>
    </w:p>
    <w:p w14:paraId="653FDB39">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6" name="图片 13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DC9FD23">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90102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/5.NMDS</w:t>
      </w:r>
    </w:p>
    <w:p w14:paraId="26DC13CD">
      <w:pPr>
        <w:pStyle w:val="41"/>
        <w:rPr>
          <w:color w:val="000000" w:themeColor="text1"/>
          <w14:textFill>
            <w14:solidFill>
              <w14:schemeClr w14:val="tx1"/>
            </w14:solidFill>
          </w14:textFill>
        </w:rPr>
      </w:pPr>
      <w:bookmarkStart w:id="205" w:name="_Toc12139"/>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群体感应基因的组间差异分析</w:t>
      </w:r>
      <w:bookmarkEnd w:id="205"/>
    </w:p>
    <w:p w14:paraId="63F0774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1B1D27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4876B1A3">
      <w:pPr>
        <w:ind w:firstLine="420"/>
        <w:rPr>
          <w:rFonts w:cs="Times New Roman"/>
          <w:color w:val="0070C0"/>
        </w:rPr>
      </w:pPr>
      <w:r>
        <w:rPr>
          <w:rFonts w:hint="eastAsia" w:cs="Times New Roman"/>
          <w:color w:val="0070C0"/>
        </w:rPr>
        <w:t>群体感应基因ANOVA分析：</w:t>
      </w:r>
    </w:p>
    <w:p w14:paraId="0C89A4B1">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7" name="图片 13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77FD20D">
      <w:pPr>
        <w:ind w:firstLine="420"/>
        <w:rPr>
          <w:rFonts w:cs="Times New Roman"/>
          <w:color w:val="0070C0"/>
        </w:rPr>
      </w:pPr>
      <w:r>
        <w:rPr>
          <w:rFonts w:hint="eastAsia" w:cs="Times New Roman"/>
          <w:color w:val="0070C0"/>
        </w:rPr>
        <w:t>注：横坐标分组，不同颜色代表不同的分组，纵坐标为功能丰度</w:t>
      </w:r>
    </w:p>
    <w:p w14:paraId="1DA9F59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5</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/6.Statistical_test_analysis/1.ANOVA</w:t>
      </w:r>
    </w:p>
    <w:p w14:paraId="1C3F9CE4">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4F72940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79A65331">
      <w:pPr>
        <w:ind w:firstLine="420"/>
        <w:rPr>
          <w:rFonts w:cs="Times New Roman"/>
          <w:color w:val="0070C0"/>
        </w:rPr>
      </w:pPr>
      <w:r>
        <w:rPr>
          <w:rFonts w:hint="eastAsia" w:cs="Times New Roman"/>
          <w:color w:val="0070C0"/>
        </w:rPr>
        <w:t>群体感应基因秩和检验：</w:t>
      </w:r>
    </w:p>
    <w:p w14:paraId="7CD27FE6">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8" name="图片 13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281998F">
      <w:pPr>
        <w:ind w:firstLine="420"/>
        <w:rPr>
          <w:rFonts w:cs="Times New Roman"/>
          <w:color w:val="0070C0"/>
        </w:rPr>
      </w:pPr>
      <w:r>
        <w:rPr>
          <w:rFonts w:hint="eastAsia" w:cs="Times New Roman"/>
          <w:color w:val="0070C0"/>
        </w:rPr>
        <w:t>注：横坐标分组，不同颜色代表不同的分组，纵坐标为功能丰度</w:t>
      </w:r>
    </w:p>
    <w:p w14:paraId="30ECD84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/6.Statistical_test_analysis/2.wilcoxon</w:t>
      </w:r>
    </w:p>
    <w:p w14:paraId="09328AD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730438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03E68F6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群体感应基因差异检验柱状图如下所示：</w:t>
      </w:r>
    </w:p>
    <w:p w14:paraId="3F175B79">
      <w:pPr>
        <w:widowControl/>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9" name="图片 13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E1D059F">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A6DAE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/6.Statistical_test_analysis/3.Stamp</w:t>
      </w:r>
    </w:p>
    <w:p w14:paraId="1CD418AB">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0FC3137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9CE90AD">
      <w:pPr>
        <w:ind w:firstLine="420"/>
        <w:rPr>
          <w:rFonts w:cs="Times New Roman"/>
          <w:color w:val="0070C0"/>
        </w:rPr>
      </w:pPr>
      <w:r>
        <w:rPr>
          <w:rFonts w:hint="eastAsia" w:cs="Times New Roman"/>
          <w:color w:val="0070C0"/>
        </w:rPr>
        <w:t>群体感应基因随机森林分析（排名前10）：</w:t>
      </w:r>
    </w:p>
    <w:p w14:paraId="14910B86">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0" name="图片 14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B73E2E2">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47D3AB5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6.Statistical_test_analysis/4.Random_Forest</w:t>
      </w:r>
    </w:p>
    <w:p w14:paraId="1E617ED4">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1D4B4A68">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6C7244E1">
      <w:pPr>
        <w:ind w:firstLine="420"/>
        <w:rPr>
          <w:rFonts w:cs="Times New Roman"/>
          <w:color w:val="0070C0"/>
        </w:rPr>
      </w:pPr>
      <w:r>
        <w:rPr>
          <w:rFonts w:hint="eastAsia" w:cs="Times New Roman"/>
          <w:color w:val="0070C0"/>
        </w:rPr>
        <w:t>群体感应基因差异功能热图如下：</w:t>
      </w:r>
    </w:p>
    <w:p w14:paraId="76C9686A">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1" name="图片 14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7B7B44E">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4D8CC94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/6.Statistical_test_analysis/5.metagenomeSeq</w:t>
      </w:r>
    </w:p>
    <w:p w14:paraId="2D13C5A6">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6A9244F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086DE6B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/6.Statistical_test_analysis/6.Anosim</w:t>
      </w:r>
    </w:p>
    <w:p w14:paraId="7B38F2E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.3.7 ADONIS分析</w:t>
      </w:r>
    </w:p>
    <w:p w14:paraId="52CAEAB2">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4D9A8EC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/6.Statistical_test_analysis/7.Adonis</w:t>
      </w:r>
    </w:p>
    <w:p w14:paraId="3D6503A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.3.8 MRPP分析</w:t>
      </w:r>
    </w:p>
    <w:p w14:paraId="674AB5F9">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3833FF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/6.Statistical_test_analysis/8.MRPP</w:t>
      </w:r>
    </w:p>
    <w:p w14:paraId="3DD0520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7BE7049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68A739D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7261EC9A">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31BEBC7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7D50157C">
      <w:pPr>
        <w:ind w:firstLine="420"/>
        <w:rPr>
          <w:rFonts w:cs="Times New Roman"/>
          <w:color w:val="0070C0"/>
        </w:rPr>
      </w:pPr>
      <w:r>
        <w:rPr>
          <w:rFonts w:hint="eastAsia" w:cs="Times New Roman"/>
          <w:color w:val="0070C0"/>
        </w:rPr>
        <w:t>群体感应基因LDA值柱状图如下所示：</w:t>
      </w:r>
    </w:p>
    <w:p w14:paraId="04553F78">
      <w:pPr>
        <w:ind w:firstLine="42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2" name="图片 14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570972A">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Score）。图中仅绘制LDA值＞2且排名前100的群体感应基因，不足100绘制全部。</w:t>
      </w:r>
    </w:p>
    <w:p w14:paraId="5B64056A">
      <w:pPr>
        <w:ind w:firstLine="420"/>
        <w:rPr>
          <w:rFonts w:hint="eastAsia"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bookmarkStart w:id="221" w:name="_GoBack"/>
      <w:r>
        <w:rPr>
          <w:rFonts w:hint="eastAsia" w:cs="Times New Roman"/>
          <w:color w:val="000000" w:themeColor="text1"/>
          <w14:textFill>
            <w14:solidFill>
              <w14:schemeClr w14:val="tx1"/>
            </w14:solidFill>
          </w14:textFill>
        </w:rPr>
        <w:t>Result/group*/</w:t>
      </w:r>
      <w:bookmarkEnd w:id="221"/>
      <w:r>
        <w:rPr>
          <w:rFonts w:hint="eastAsia" w:cs="Times New Roman"/>
          <w:color w:val="000000" w:themeColor="text1"/>
          <w14:textFill>
            <w14:solidFill>
              <w14:schemeClr w14:val="tx1"/>
            </w14:solidFill>
          </w14:textFill>
        </w:rPr>
        <w:t>1</w:t>
      </w:r>
      <w:r>
        <w:rPr>
          <w:rFonts w:hint="eastAsia" w:cs="Times New Roman"/>
          <w:color w:val="000000" w:themeColor="text1"/>
          <w:lang w:val="en-US" w:eastAsia="zh-CN"/>
          <w14:textFill>
            <w14:solidFill>
              <w14:schemeClr w14:val="tx1"/>
            </w14:solidFill>
          </w14:textFill>
        </w:rPr>
        <w:t>4</w:t>
      </w:r>
      <w:r>
        <w:rPr>
          <w:rFonts w:hint="eastAsia" w:cs="Times New Roman"/>
          <w:color w:val="000000" w:themeColor="text1"/>
          <w14:textFill>
            <w14:solidFill>
              <w14:schemeClr w14:val="tx1"/>
            </w14:solidFill>
          </w14:textFill>
        </w:rPr>
        <w:t>-QS/6.Statistical_test_analysis/9.Lefse</w:t>
      </w:r>
    </w:p>
    <w:p w14:paraId="2730A793">
      <w:pPr>
        <w:pStyle w:val="40"/>
        <w:numPr>
          <w:ilvl w:val="0"/>
          <w:numId w:val="0"/>
        </w:numPr>
        <w:ind w:firstLine="0" w:firstLineChars="0"/>
        <w:rPr>
          <w:bCs w:val="0"/>
          <w:color w:val="000000" w:themeColor="text1"/>
          <w14:textFill>
            <w14:solidFill>
              <w14:schemeClr w14:val="tx1"/>
            </w14:solidFill>
          </w14:textFill>
        </w:rPr>
      </w:pPr>
      <w:bookmarkStart w:id="206" w:name="_Toc31012"/>
      <w:bookmarkStart w:id="207" w:name="_Toc2179"/>
      <w:bookmarkStart w:id="208" w:name="_Toc176436478"/>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5</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宏基因组binning</w:t>
      </w:r>
      <w:bookmarkEnd w:id="206"/>
      <w:bookmarkEnd w:id="207"/>
      <w:bookmarkEnd w:id="208"/>
    </w:p>
    <w:p w14:paraId="109973BE">
      <w:pPr>
        <w:ind w:firstLine="420"/>
        <w:rPr>
          <w:color w:val="000000" w:themeColor="text1"/>
          <w14:textFill>
            <w14:solidFill>
              <w14:schemeClr w14:val="tx1"/>
            </w14:solidFill>
          </w14:textFill>
        </w:rPr>
      </w:pPr>
      <w:r>
        <w:rPr>
          <w:color w:val="000000" w:themeColor="text1"/>
          <w14:textFill>
            <w14:solidFill>
              <w14:schemeClr w14:val="tx1"/>
            </w14:solidFill>
          </w14:textFill>
        </w:rPr>
        <w:t>宏基因组分箱（Binning）是一个基于宏基因组测序得到的reads或contig基因序列进行聚类分箱的过程。简单来说就是把宏基因组数据中来自同一菌株的序列聚到一起，得到一个菌株的基因组。</w:t>
      </w:r>
    </w:p>
    <w:p w14:paraId="36932BBE">
      <w:pPr>
        <w:ind w:firstLine="420"/>
      </w:pPr>
      <w:r>
        <w:rPr>
          <w:rFonts w:hint="eastAsia"/>
        </w:rPr>
        <w:t>对于每个样本，运用Megahit软件，将样本去宿主基因后的clean reads进行组装（megahit默认组装参数），得到contigs；使用meta</w:t>
      </w:r>
      <w:r>
        <w:t>WRAP</w:t>
      </w:r>
      <w:r>
        <w:rPr>
          <w:rFonts w:hint="eastAsia"/>
        </w:rPr>
        <w:t>的</w:t>
      </w:r>
      <w:r>
        <w:t>binning</w:t>
      </w:r>
      <w:r>
        <w:rPr>
          <w:rFonts w:hint="eastAsia"/>
        </w:rPr>
        <w:t>模块对contigs进行分箱，使用meta</w:t>
      </w:r>
      <w:r>
        <w:t>WRAP</w:t>
      </w:r>
      <w:r>
        <w:rPr>
          <w:rFonts w:hint="eastAsia"/>
        </w:rPr>
        <w:t>的</w:t>
      </w:r>
      <w:r>
        <w:t>bin_refinement</w:t>
      </w:r>
      <w:r>
        <w:rPr>
          <w:rFonts w:hint="eastAsia"/>
        </w:rPr>
        <w:t>模块对contigs进行提纯，挑选完成度大于75%，同时污染度小于25%的bins进行后续分析；合并所有样本中得到的bins，使用dRep软件对bins进行去冗余，使用用CheckM中的lineage_wf流程评估bins的完成度和污染度；使用meta</w:t>
      </w:r>
      <w:r>
        <w:t>WRAP</w:t>
      </w:r>
      <w:r>
        <w:rPr>
          <w:rFonts w:hint="eastAsia"/>
        </w:rPr>
        <w:t>的</w:t>
      </w:r>
      <w:r>
        <w:t>classify_bins</w:t>
      </w:r>
      <w:r>
        <w:rPr>
          <w:rFonts w:hint="eastAsia"/>
        </w:rPr>
        <w:t>模块进行bins的物种注释；使用meta</w:t>
      </w:r>
      <w:r>
        <w:t>WRAP</w:t>
      </w:r>
      <w:r>
        <w:rPr>
          <w:rFonts w:hint="eastAsia"/>
        </w:rPr>
        <w:t>的</w:t>
      </w:r>
      <w:r>
        <w:t>quant_bins</w:t>
      </w:r>
      <w:r>
        <w:rPr>
          <w:rFonts w:hint="eastAsia"/>
        </w:rPr>
        <w:t>模块进行bins的丰度统计。</w:t>
      </w:r>
      <w:r>
        <w:rPr>
          <w:rFonts w:hint="eastAsia"/>
          <w:color w:val="000000" w:themeColor="text1"/>
          <w14:textFill>
            <w14:solidFill>
              <w14:schemeClr w14:val="tx1"/>
            </w14:solidFill>
          </w14:textFill>
        </w:rPr>
        <w:t>Binning技术流程如下：</w:t>
      </w:r>
    </w:p>
    <w:p w14:paraId="1C87C384">
      <w:pPr>
        <w:ind w:firstLine="420"/>
      </w:pPr>
      <w:r>
        <w:drawing>
          <wp:inline distT="0" distB="0" distL="0" distR="0">
            <wp:extent cx="5274310" cy="21844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2184400"/>
                    </a:xfrm>
                    <a:prstGeom prst="rect">
                      <a:avLst/>
                    </a:prstGeom>
                    <a:noFill/>
                    <a:ln>
                      <a:noFill/>
                    </a:ln>
                  </pic:spPr>
                </pic:pic>
              </a:graphicData>
            </a:graphic>
          </wp:inline>
        </w:drawing>
      </w:r>
    </w:p>
    <w:p w14:paraId="19BB540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Bin信息统计表见结果，表头信息如下：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7046"/>
      </w:tblGrid>
      <w:tr w14:paraId="654233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bottom w:val="single" w:color="000000" w:sz="8" w:space="0"/>
            </w:tcBorders>
            <w:shd w:val="clear" w:color="auto" w:fill="FFFFFF"/>
            <w:vAlign w:val="center"/>
          </w:tcPr>
          <w:p w14:paraId="3EB09D51">
            <w:pPr>
              <w:ind w:firstLine="420"/>
              <w:jc w:val="center"/>
              <w:rPr>
                <w:rFonts w:cs="Times New Roman"/>
                <w:bCs/>
                <w:color w:val="000000"/>
                <w:kern w:val="0"/>
                <w:szCs w:val="20"/>
              </w:rPr>
            </w:pPr>
            <w:r>
              <w:rPr>
                <w:rFonts w:hint="eastAsia" w:cs="Times New Roman"/>
                <w:bCs/>
                <w:color w:val="000000"/>
                <w:kern w:val="0"/>
                <w:szCs w:val="20"/>
              </w:rPr>
              <w:t>表头</w:t>
            </w:r>
          </w:p>
        </w:tc>
        <w:tc>
          <w:tcPr>
            <w:tcW w:w="7046" w:type="dxa"/>
            <w:tcBorders>
              <w:bottom w:val="single" w:color="000000" w:sz="8" w:space="0"/>
            </w:tcBorders>
            <w:shd w:val="clear" w:color="auto" w:fill="FFFFFF"/>
            <w:vAlign w:val="center"/>
          </w:tcPr>
          <w:p w14:paraId="188FF1F6">
            <w:pPr>
              <w:ind w:firstLine="420"/>
              <w:jc w:val="center"/>
              <w:rPr>
                <w:rFonts w:cs="Times New Roman"/>
                <w:bCs/>
                <w:color w:val="000000"/>
                <w:kern w:val="0"/>
                <w:szCs w:val="20"/>
              </w:rPr>
            </w:pPr>
            <w:r>
              <w:rPr>
                <w:rFonts w:hint="eastAsia" w:cs="Times New Roman"/>
                <w:bCs/>
                <w:color w:val="000000"/>
                <w:kern w:val="0"/>
                <w:szCs w:val="20"/>
              </w:rPr>
              <w:t>描述</w:t>
            </w:r>
          </w:p>
        </w:tc>
      </w:tr>
      <w:tr w14:paraId="66AACB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op w:val="single" w:color="000000" w:sz="8" w:space="0"/>
              <w:tl2br w:val="nil"/>
              <w:tr2bl w:val="nil"/>
            </w:tcBorders>
            <w:shd w:val="clear" w:color="auto" w:fill="FFFFFF"/>
            <w:vAlign w:val="center"/>
          </w:tcPr>
          <w:p w14:paraId="37BB93E5">
            <w:pPr>
              <w:ind w:firstLine="420"/>
              <w:jc w:val="center"/>
              <w:rPr>
                <w:rFonts w:cs="Times New Roman"/>
                <w:color w:val="000000"/>
                <w:kern w:val="0"/>
                <w:szCs w:val="20"/>
                <w:shd w:val="clear" w:color="auto" w:fill="FFFFFF"/>
              </w:rPr>
            </w:pPr>
            <w:r>
              <w:rPr>
                <w:rFonts w:cs="Times New Roman"/>
                <w:color w:val="000000"/>
                <w:kern w:val="0"/>
                <w:szCs w:val="20"/>
              </w:rPr>
              <w:t>Bin_ID</w:t>
            </w:r>
          </w:p>
        </w:tc>
        <w:tc>
          <w:tcPr>
            <w:tcW w:w="7046" w:type="dxa"/>
            <w:tcBorders>
              <w:top w:val="single" w:color="000000" w:sz="8" w:space="0"/>
              <w:tl2br w:val="nil"/>
              <w:tr2bl w:val="nil"/>
            </w:tcBorders>
            <w:shd w:val="clear" w:color="auto" w:fill="FFFFFF"/>
            <w:vAlign w:val="center"/>
          </w:tcPr>
          <w:p w14:paraId="322593FB">
            <w:pPr>
              <w:ind w:firstLine="420"/>
              <w:jc w:val="center"/>
              <w:rPr>
                <w:rFonts w:cs="Times New Roman"/>
                <w:color w:val="000000"/>
                <w:kern w:val="0"/>
                <w:szCs w:val="20"/>
                <w:shd w:val="clear" w:color="auto" w:fill="FFFFFF"/>
              </w:rPr>
            </w:pPr>
            <w:r>
              <w:rPr>
                <w:rFonts w:hint="eastAsia" w:cs="Times New Roman"/>
                <w:color w:val="000000"/>
                <w:kern w:val="0"/>
                <w:szCs w:val="20"/>
              </w:rPr>
              <w:t>bin编号</w:t>
            </w:r>
          </w:p>
        </w:tc>
      </w:tr>
      <w:tr w14:paraId="60179E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l2br w:val="nil"/>
              <w:tr2bl w:val="nil"/>
            </w:tcBorders>
            <w:shd w:val="clear" w:color="auto" w:fill="FFFFFF"/>
            <w:vAlign w:val="center"/>
          </w:tcPr>
          <w:p w14:paraId="4142DE50">
            <w:pPr>
              <w:ind w:firstLine="420"/>
              <w:jc w:val="center"/>
              <w:rPr>
                <w:rFonts w:cs="Times New Roman"/>
                <w:color w:val="000000"/>
                <w:kern w:val="0"/>
                <w:szCs w:val="20"/>
                <w:shd w:val="clear" w:color="auto" w:fill="FFFFFF"/>
              </w:rPr>
            </w:pPr>
            <w:r>
              <w:rPr>
                <w:rFonts w:cs="Times New Roman"/>
                <w:color w:val="000000"/>
                <w:kern w:val="0"/>
                <w:szCs w:val="20"/>
              </w:rPr>
              <w:t>Completeness</w:t>
            </w:r>
          </w:p>
        </w:tc>
        <w:tc>
          <w:tcPr>
            <w:tcW w:w="7046" w:type="dxa"/>
            <w:tcBorders>
              <w:tl2br w:val="nil"/>
              <w:tr2bl w:val="nil"/>
            </w:tcBorders>
            <w:shd w:val="clear" w:color="auto" w:fill="FFFFFF"/>
            <w:vAlign w:val="center"/>
          </w:tcPr>
          <w:p w14:paraId="3D577B07">
            <w:pPr>
              <w:ind w:firstLine="420"/>
              <w:jc w:val="center"/>
              <w:rPr>
                <w:rFonts w:cs="Times New Roman"/>
                <w:color w:val="000000"/>
                <w:kern w:val="0"/>
                <w:szCs w:val="20"/>
                <w:shd w:val="clear" w:color="auto" w:fill="FFFFFF"/>
              </w:rPr>
            </w:pPr>
            <w:r>
              <w:rPr>
                <w:rFonts w:hint="eastAsia" w:cs="Times New Roman"/>
                <w:color w:val="000000"/>
                <w:kern w:val="0"/>
                <w:szCs w:val="20"/>
              </w:rPr>
              <w:t>bin完成度</w:t>
            </w:r>
          </w:p>
        </w:tc>
      </w:tr>
      <w:tr w14:paraId="7AAD30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l2br w:val="nil"/>
              <w:tr2bl w:val="nil"/>
            </w:tcBorders>
            <w:shd w:val="clear" w:color="auto" w:fill="FFFFFF"/>
            <w:vAlign w:val="center"/>
          </w:tcPr>
          <w:p w14:paraId="0534D1FB">
            <w:pPr>
              <w:ind w:firstLine="420"/>
              <w:jc w:val="center"/>
              <w:rPr>
                <w:rFonts w:cs="Times New Roman"/>
                <w:color w:val="000000"/>
                <w:kern w:val="0"/>
                <w:szCs w:val="20"/>
                <w:shd w:val="clear" w:color="auto" w:fill="FFFFFF"/>
              </w:rPr>
            </w:pPr>
            <w:r>
              <w:rPr>
                <w:rFonts w:cs="Times New Roman"/>
                <w:color w:val="000000"/>
                <w:kern w:val="0"/>
                <w:szCs w:val="20"/>
              </w:rPr>
              <w:t>Contamination</w:t>
            </w:r>
          </w:p>
        </w:tc>
        <w:tc>
          <w:tcPr>
            <w:tcW w:w="7046" w:type="dxa"/>
            <w:tcBorders>
              <w:tl2br w:val="nil"/>
              <w:tr2bl w:val="nil"/>
            </w:tcBorders>
            <w:shd w:val="clear" w:color="auto" w:fill="FFFFFF"/>
            <w:vAlign w:val="center"/>
          </w:tcPr>
          <w:p w14:paraId="56684F0B">
            <w:pPr>
              <w:ind w:firstLine="420"/>
              <w:jc w:val="center"/>
              <w:rPr>
                <w:rFonts w:cs="Times New Roman"/>
                <w:color w:val="000000"/>
                <w:kern w:val="0"/>
                <w:szCs w:val="20"/>
                <w:shd w:val="clear" w:color="auto" w:fill="FFFFFF"/>
              </w:rPr>
            </w:pPr>
            <w:r>
              <w:rPr>
                <w:rFonts w:hint="eastAsia" w:cs="Times New Roman"/>
                <w:color w:val="000000" w:themeColor="text1"/>
                <w14:textFill>
                  <w14:solidFill>
                    <w14:schemeClr w14:val="tx1"/>
                  </w14:solidFill>
                </w14:textFill>
              </w:rPr>
              <w:t>bin污染度</w:t>
            </w:r>
          </w:p>
        </w:tc>
      </w:tr>
      <w:tr w14:paraId="7FA3B2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l2br w:val="nil"/>
              <w:tr2bl w:val="nil"/>
            </w:tcBorders>
            <w:shd w:val="clear" w:color="auto" w:fill="FFFFFF"/>
            <w:vAlign w:val="center"/>
          </w:tcPr>
          <w:p w14:paraId="6119B233">
            <w:pPr>
              <w:ind w:firstLine="420"/>
              <w:jc w:val="center"/>
              <w:rPr>
                <w:rFonts w:cs="Times New Roman"/>
                <w:color w:val="000000"/>
                <w:kern w:val="0"/>
                <w:szCs w:val="20"/>
                <w:shd w:val="clear" w:color="auto" w:fill="FFFFFF"/>
              </w:rPr>
            </w:pPr>
            <w:r>
              <w:rPr>
                <w:rFonts w:cs="Times New Roman"/>
                <w:color w:val="000000"/>
                <w:kern w:val="0"/>
                <w:szCs w:val="20"/>
              </w:rPr>
              <w:t>GC_percent</w:t>
            </w:r>
          </w:p>
        </w:tc>
        <w:tc>
          <w:tcPr>
            <w:tcW w:w="7046" w:type="dxa"/>
            <w:tcBorders>
              <w:tl2br w:val="nil"/>
              <w:tr2bl w:val="nil"/>
            </w:tcBorders>
            <w:shd w:val="clear" w:color="auto" w:fill="FFFFFF"/>
            <w:vAlign w:val="center"/>
          </w:tcPr>
          <w:p w14:paraId="31D62705">
            <w:pPr>
              <w:ind w:firstLine="420"/>
              <w:jc w:val="center"/>
              <w:rPr>
                <w:rFonts w:cs="Times New Roman"/>
                <w:color w:val="000000"/>
                <w:kern w:val="0"/>
                <w:szCs w:val="20"/>
                <w:shd w:val="clear" w:color="auto" w:fill="FFFFFF"/>
              </w:rPr>
            </w:pPr>
            <w:r>
              <w:rPr>
                <w:rFonts w:hint="eastAsia" w:cs="Times New Roman"/>
                <w:color w:val="000000" w:themeColor="text1"/>
                <w14:textFill>
                  <w14:solidFill>
                    <w14:schemeClr w14:val="tx1"/>
                  </w14:solidFill>
                </w14:textFill>
              </w:rPr>
              <w:t>GC含量是指一个Bin中GC碱基占总碱基的比例</w:t>
            </w:r>
          </w:p>
        </w:tc>
      </w:tr>
      <w:tr w14:paraId="0DDCD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l2br w:val="nil"/>
              <w:tr2bl w:val="nil"/>
            </w:tcBorders>
            <w:shd w:val="clear" w:color="auto" w:fill="FFFFFF"/>
            <w:vAlign w:val="center"/>
          </w:tcPr>
          <w:p w14:paraId="45F632A6">
            <w:pPr>
              <w:ind w:firstLine="420"/>
              <w:jc w:val="center"/>
              <w:rPr>
                <w:rFonts w:cs="Times New Roman"/>
                <w:color w:val="000000"/>
                <w:kern w:val="0"/>
                <w:szCs w:val="20"/>
                <w:shd w:val="clear" w:color="auto" w:fill="FFFFFF"/>
              </w:rPr>
            </w:pPr>
            <w:r>
              <w:rPr>
                <w:rFonts w:cs="Times New Roman"/>
                <w:color w:val="000000"/>
                <w:kern w:val="0"/>
                <w:szCs w:val="20"/>
              </w:rPr>
              <w:t>Size</w:t>
            </w:r>
          </w:p>
        </w:tc>
        <w:tc>
          <w:tcPr>
            <w:tcW w:w="7046" w:type="dxa"/>
            <w:tcBorders>
              <w:tl2br w:val="nil"/>
              <w:tr2bl w:val="nil"/>
            </w:tcBorders>
            <w:shd w:val="clear" w:color="auto" w:fill="FFFFFF"/>
            <w:vAlign w:val="center"/>
          </w:tcPr>
          <w:p w14:paraId="1101D1DD">
            <w:pPr>
              <w:ind w:firstLine="420"/>
              <w:jc w:val="center"/>
              <w:rPr>
                <w:rFonts w:cs="Times New Roman"/>
                <w:color w:val="000000"/>
                <w:kern w:val="0"/>
                <w:szCs w:val="20"/>
                <w:shd w:val="clear" w:color="auto" w:fill="FFFFFF"/>
              </w:rPr>
            </w:pPr>
            <w:r>
              <w:rPr>
                <w:rFonts w:hint="eastAsia" w:cs="Times New Roman"/>
                <w:color w:val="000000" w:themeColor="text1"/>
                <w14:textFill>
                  <w14:solidFill>
                    <w14:schemeClr w14:val="tx1"/>
                  </w14:solidFill>
                </w14:textFill>
              </w:rPr>
              <w:t>一个Bin的所有Contig长度之和，即该基因组草图的总长度</w:t>
            </w:r>
          </w:p>
        </w:tc>
      </w:tr>
      <w:tr w14:paraId="112441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l2br w:val="nil"/>
              <w:tr2bl w:val="nil"/>
            </w:tcBorders>
            <w:shd w:val="clear" w:color="auto" w:fill="FFFFFF"/>
            <w:vAlign w:val="center"/>
          </w:tcPr>
          <w:p w14:paraId="3F125322">
            <w:pPr>
              <w:ind w:firstLine="420"/>
              <w:jc w:val="center"/>
              <w:rPr>
                <w:rFonts w:cs="Times New Roman"/>
                <w:color w:val="000000"/>
                <w:kern w:val="0"/>
                <w:szCs w:val="20"/>
              </w:rPr>
            </w:pPr>
            <w:r>
              <w:rPr>
                <w:rFonts w:cs="Times New Roman"/>
                <w:color w:val="000000"/>
                <w:kern w:val="0"/>
                <w:szCs w:val="20"/>
              </w:rPr>
              <w:t>N50</w:t>
            </w:r>
          </w:p>
        </w:tc>
        <w:tc>
          <w:tcPr>
            <w:tcW w:w="7046" w:type="dxa"/>
            <w:tcBorders>
              <w:tl2br w:val="nil"/>
              <w:tr2bl w:val="nil"/>
            </w:tcBorders>
            <w:shd w:val="clear" w:color="auto" w:fill="FFFFFF"/>
            <w:vAlign w:val="center"/>
          </w:tcPr>
          <w:p w14:paraId="3D0C04E3">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Contig N50</w:t>
            </w:r>
          </w:p>
        </w:tc>
      </w:tr>
      <w:tr w14:paraId="4DF6E4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85" w:type="dxa"/>
            <w:tcBorders>
              <w:tl2br w:val="nil"/>
              <w:tr2bl w:val="nil"/>
            </w:tcBorders>
            <w:shd w:val="clear" w:color="auto" w:fill="FFFFFF"/>
            <w:vAlign w:val="center"/>
          </w:tcPr>
          <w:p w14:paraId="27B399B5">
            <w:pPr>
              <w:ind w:firstLine="420"/>
              <w:jc w:val="center"/>
              <w:rPr>
                <w:rFonts w:cs="Times New Roman"/>
                <w:color w:val="000000"/>
                <w:kern w:val="0"/>
                <w:szCs w:val="20"/>
              </w:rPr>
            </w:pPr>
            <w:r>
              <w:rPr>
                <w:rFonts w:cs="Times New Roman"/>
                <w:color w:val="000000"/>
                <w:kern w:val="0"/>
                <w:szCs w:val="20"/>
              </w:rPr>
              <w:t>N90</w:t>
            </w:r>
          </w:p>
        </w:tc>
        <w:tc>
          <w:tcPr>
            <w:tcW w:w="7046" w:type="dxa"/>
            <w:tcBorders>
              <w:tl2br w:val="nil"/>
              <w:tr2bl w:val="nil"/>
            </w:tcBorders>
            <w:shd w:val="clear" w:color="auto" w:fill="FFFFFF"/>
            <w:vAlign w:val="center"/>
          </w:tcPr>
          <w:p w14:paraId="301C6FB9">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Contig N90</w:t>
            </w:r>
          </w:p>
        </w:tc>
      </w:tr>
    </w:tbl>
    <w:p w14:paraId="189068E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结果目录：Result/</w:t>
      </w:r>
      <w:r>
        <w:rPr>
          <w:rFonts w:cs="Times New Roman"/>
          <w:color w:val="000000" w:themeColor="text1"/>
          <w14:textFill>
            <w14:solidFill>
              <w14:schemeClr w14:val="tx1"/>
            </w14:solidFill>
          </w14:textFill>
        </w:rPr>
        <w:t>binning/1.Bin</w:t>
      </w:r>
    </w:p>
    <w:p w14:paraId="1978A7DF">
      <w:pPr>
        <w:pStyle w:val="41"/>
        <w:numPr>
          <w:ilvl w:val="1"/>
          <w:numId w:val="0"/>
        </w:numPr>
        <w:ind w:left="0" w:leftChars="0" w:firstLine="0" w:firstLineChars="0"/>
        <w:rPr>
          <w:color w:val="000000" w:themeColor="text1"/>
          <w14:textFill>
            <w14:solidFill>
              <w14:schemeClr w14:val="tx1"/>
            </w14:solidFill>
          </w14:textFill>
        </w:rPr>
      </w:pPr>
      <w:bookmarkStart w:id="209" w:name="_Toc19940"/>
      <w:bookmarkStart w:id="210" w:name="_Toc20937"/>
      <w:bookmarkStart w:id="211" w:name="_Toc176436479"/>
      <w:r>
        <w:rPr>
          <w:rFonts w:hint="default" w:ascii="Times New Roman" w:hAnsi="Times New Roman" w:eastAsia="宋体" w:cs="Times New Roman"/>
          <w:b/>
          <w:bCs/>
          <w:color w:val="000000" w:themeColor="text1"/>
          <w:kern w:val="0"/>
          <w:sz w:val="21"/>
          <w:szCs w:val="21"/>
          <w:lang w:val="en-US" w:eastAsia="zh-CN" w:bidi="ar-SA"/>
          <w14:textFill>
            <w14:solidFill>
              <w14:schemeClr w14:val="tx1"/>
            </w14:solidFill>
          </w14:textFill>
        </w:rPr>
        <w:t>1</w:t>
      </w:r>
      <w:r>
        <w:rPr>
          <w:rFonts w:hint="eastAsia" w:cs="Times New Roman"/>
          <w:b/>
          <w:bCs/>
          <w:color w:val="000000" w:themeColor="text1"/>
          <w:kern w:val="0"/>
          <w:sz w:val="21"/>
          <w:szCs w:val="21"/>
          <w:lang w:val="en-US" w:eastAsia="zh-CN" w:bidi="ar-SA"/>
          <w14:textFill>
            <w14:solidFill>
              <w14:schemeClr w14:val="tx1"/>
            </w14:solidFill>
          </w14:textFill>
        </w:rPr>
        <w:t>5</w:t>
      </w:r>
      <w:r>
        <w:rPr>
          <w:rFonts w:hint="default" w:ascii="Times New Roman" w:hAnsi="Times New Roman" w:eastAsia="宋体" w:cs="Times New Roman"/>
          <w:b/>
          <w:bCs/>
          <w:color w:val="000000" w:themeColor="text1"/>
          <w:kern w:val="0"/>
          <w:sz w:val="21"/>
          <w:szCs w:val="21"/>
          <w:lang w:val="en-US" w:eastAsia="zh-CN" w:bidi="ar-SA"/>
          <w14:textFill>
            <w14:solidFill>
              <w14:schemeClr w14:val="tx1"/>
            </w14:solidFill>
          </w14:textFill>
        </w:rPr>
        <w:t>.1</w:t>
      </w:r>
      <w:r>
        <w:rPr>
          <w:rFonts w:hint="eastAsia" w:cs="Times New Roman"/>
          <w:b/>
          <w:bCs/>
          <w:color w:val="000000" w:themeColor="text1"/>
          <w:kern w:val="0"/>
          <w:sz w:val="21"/>
          <w:szCs w:val="21"/>
          <w:lang w:val="en-US" w:eastAsia="zh-CN" w:bidi="ar-SA"/>
          <w14:textFill>
            <w14:solidFill>
              <w14:schemeClr w14:val="tx1"/>
            </w14:solidFill>
          </w14:textFill>
        </w:rPr>
        <w:t xml:space="preserve"> </w:t>
      </w:r>
      <w:r>
        <w:rPr>
          <w:rFonts w:hint="eastAsia"/>
          <w:color w:val="000000" w:themeColor="text1"/>
          <w14:textFill>
            <w14:solidFill>
              <w14:schemeClr w14:val="tx1"/>
            </w14:solidFill>
          </w14:textFill>
        </w:rPr>
        <w:t>GC-</w:t>
      </w:r>
      <w:r>
        <w:rPr>
          <w:color w:val="000000" w:themeColor="text1"/>
          <w14:textFill>
            <w14:solidFill>
              <w14:schemeClr w14:val="tx1"/>
            </w14:solidFill>
          </w14:textFill>
        </w:rPr>
        <w:t>coverage</w:t>
      </w:r>
      <w:r>
        <w:rPr>
          <w:rFonts w:hint="eastAsia"/>
          <w:color w:val="000000" w:themeColor="text1"/>
          <w14:textFill>
            <w14:solidFill>
              <w14:schemeClr w14:val="tx1"/>
            </w14:solidFill>
          </w14:textFill>
        </w:rPr>
        <w:t>图</w:t>
      </w:r>
      <w:bookmarkEnd w:id="209"/>
      <w:bookmarkEnd w:id="210"/>
      <w:bookmarkEnd w:id="211"/>
    </w:p>
    <w:p w14:paraId="44CCCE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宏基因组分箱的原理是根据序列（contig/scaffold）四核苷酸频率（</w:t>
      </w:r>
      <w:r>
        <w:rPr>
          <w:rFonts w:cs="Times New Roman"/>
          <w:color w:val="000000" w:themeColor="text1"/>
          <w14:textFill>
            <w14:solidFill>
              <w14:schemeClr w14:val="tx1"/>
            </w14:solidFill>
          </w14:textFill>
        </w:rPr>
        <w:t>GC含量</w:t>
      </w:r>
      <w:r>
        <w:rPr>
          <w:rFonts w:hint="eastAsia" w:cs="Times New Roman"/>
          <w:color w:val="000000" w:themeColor="text1"/>
          <w14:textFill>
            <w14:solidFill>
              <w14:schemeClr w14:val="tx1"/>
            </w14:solidFill>
          </w14:textFill>
        </w:rPr>
        <w:t>）和</w:t>
      </w:r>
      <w:r>
        <w:rPr>
          <w:rFonts w:cs="Times New Roman"/>
          <w:color w:val="000000" w:themeColor="text1"/>
          <w14:textFill>
            <w14:solidFill>
              <w14:schemeClr w14:val="tx1"/>
            </w14:solidFill>
          </w14:textFill>
        </w:rPr>
        <w:t>Contigs</w:t>
      </w:r>
      <w:r>
        <w:rPr>
          <w:rFonts w:hint="eastAsia" w:cs="Times New Roman"/>
          <w:color w:val="000000" w:themeColor="text1"/>
          <w14:textFill>
            <w14:solidFill>
              <w14:schemeClr w14:val="tx1"/>
            </w14:solidFill>
          </w14:textFill>
        </w:rPr>
        <w:t>的覆盖深度（</w:t>
      </w:r>
      <w:r>
        <w:rPr>
          <w:rFonts w:cs="Times New Roman"/>
          <w:color w:val="000000" w:themeColor="text1"/>
          <w14:textFill>
            <w14:solidFill>
              <w14:schemeClr w14:val="tx1"/>
            </w14:solidFill>
          </w14:textFill>
        </w:rPr>
        <w:t>coverage</w:t>
      </w:r>
      <w:r>
        <w:rPr>
          <w:rFonts w:hint="eastAsia" w:cs="Times New Roman"/>
          <w:color w:val="000000" w:themeColor="text1"/>
          <w14:textFill>
            <w14:solidFill>
              <w14:schemeClr w14:val="tx1"/>
            </w14:solidFill>
          </w14:textFill>
        </w:rPr>
        <w:t>）将序列分成一个个bins；</w:t>
      </w:r>
      <w:r>
        <w:rPr>
          <w:rFonts w:cs="Times New Roman"/>
          <w:color w:val="000000" w:themeColor="text1"/>
          <w14:textFill>
            <w14:solidFill>
              <w14:schemeClr w14:val="tx1"/>
            </w14:solidFill>
          </w14:textFill>
        </w:rPr>
        <w:t>Contigs GC含量和</w:t>
      </w:r>
      <w:r>
        <w:rPr>
          <w:rFonts w:hint="eastAsia" w:cs="Times New Roman"/>
          <w:color w:val="000000" w:themeColor="text1"/>
          <w14:textFill>
            <w14:solidFill>
              <w14:schemeClr w14:val="tx1"/>
            </w14:solidFill>
          </w14:textFill>
        </w:rPr>
        <w:t>覆盖度</w:t>
      </w:r>
      <w:r>
        <w:rPr>
          <w:rFonts w:cs="Times New Roman"/>
          <w:color w:val="000000" w:themeColor="text1"/>
          <w14:textFill>
            <w14:solidFill>
              <w14:schemeClr w14:val="tx1"/>
            </w14:solidFill>
          </w14:textFill>
        </w:rPr>
        <w:t>coverage数据即可进行可视化，绘制Bin中每个contig的散点图。此图可以用来判断分箱效果和污染情况。</w:t>
      </w:r>
    </w:p>
    <w:p w14:paraId="190B551A">
      <w:pPr>
        <w:ind w:firstLine="420"/>
        <w:rPr>
          <w:rFonts w:cs="Times New Roman"/>
          <w:color w:val="0070C0"/>
        </w:rPr>
      </w:pPr>
      <w:r>
        <w:rPr>
          <w:rFonts w:hint="eastAsia" w:cs="Times New Roman"/>
          <w:color w:val="0070C0"/>
        </w:rPr>
        <w:t>分箱G</w:t>
      </w:r>
      <w:r>
        <w:rPr>
          <w:rFonts w:cs="Times New Roman"/>
          <w:color w:val="0070C0"/>
        </w:rPr>
        <w:t>C_coverage</w:t>
      </w:r>
      <w:r>
        <w:rPr>
          <w:rFonts w:hint="eastAsia" w:cs="Times New Roman"/>
          <w:color w:val="0070C0"/>
        </w:rPr>
        <w:t>图：</w:t>
      </w:r>
    </w:p>
    <w:p w14:paraId="001B296C">
      <w:pPr>
        <w:ind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3" name="图片 14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D10BFB2">
      <w:pPr>
        <w:ind w:firstLine="420"/>
        <w:rPr>
          <w:rFonts w:cs="Times New Roman"/>
          <w:color w:val="0070C0"/>
        </w:rPr>
      </w:pPr>
      <w:r>
        <w:rPr>
          <w:rFonts w:cs="Times New Roman"/>
          <w:color w:val="0070C0"/>
        </w:rPr>
        <w:t>注：横坐标是contig的GC含量；纵坐标是contig coverage；一个点代表一个contig，相同颜色的contig来自同一个bin。</w:t>
      </w:r>
    </w:p>
    <w:p w14:paraId="7535729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结果目录：Result/</w:t>
      </w:r>
      <w:r>
        <w:rPr>
          <w:rFonts w:cs="Times New Roman"/>
          <w:color w:val="000000" w:themeColor="text1"/>
          <w14:textFill>
            <w14:solidFill>
              <w14:schemeClr w14:val="tx1"/>
            </w14:solidFill>
          </w14:textFill>
        </w:rPr>
        <w:t>binning/2.Bin_Plot</w:t>
      </w:r>
    </w:p>
    <w:p w14:paraId="7696D0A0">
      <w:pPr>
        <w:pStyle w:val="41"/>
        <w:numPr>
          <w:ilvl w:val="1"/>
          <w:numId w:val="0"/>
        </w:numPr>
        <w:ind w:left="0" w:leftChars="0" w:firstLine="0" w:firstLineChars="0"/>
        <w:rPr>
          <w:color w:val="000000" w:themeColor="text1"/>
          <w14:textFill>
            <w14:solidFill>
              <w14:schemeClr w14:val="tx1"/>
            </w14:solidFill>
          </w14:textFill>
        </w:rPr>
      </w:pPr>
      <w:bookmarkStart w:id="212" w:name="_Toc16158"/>
      <w:bookmarkStart w:id="213" w:name="_Toc176436480"/>
      <w:bookmarkStart w:id="214" w:name="_Toc24692"/>
      <w:r>
        <w:rPr>
          <w:rFonts w:hint="default" w:ascii="Times New Roman" w:hAnsi="Times New Roman" w:eastAsia="宋体" w:cs="Times New Roman"/>
          <w:b/>
          <w:bCs/>
          <w:color w:val="000000" w:themeColor="text1"/>
          <w:kern w:val="0"/>
          <w:sz w:val="21"/>
          <w:szCs w:val="21"/>
          <w:lang w:val="en-US" w:eastAsia="zh-CN" w:bidi="ar-SA"/>
          <w14:textFill>
            <w14:solidFill>
              <w14:schemeClr w14:val="tx1"/>
            </w14:solidFill>
          </w14:textFill>
        </w:rPr>
        <w:t>1</w:t>
      </w:r>
      <w:r>
        <w:rPr>
          <w:rFonts w:hint="eastAsia" w:cs="Times New Roman"/>
          <w:b/>
          <w:bCs/>
          <w:color w:val="000000" w:themeColor="text1"/>
          <w:kern w:val="0"/>
          <w:sz w:val="21"/>
          <w:szCs w:val="21"/>
          <w:lang w:val="en-US" w:eastAsia="zh-CN" w:bidi="ar-SA"/>
          <w14:textFill>
            <w14:solidFill>
              <w14:schemeClr w14:val="tx1"/>
            </w14:solidFill>
          </w14:textFill>
        </w:rPr>
        <w:t>5</w:t>
      </w:r>
      <w:r>
        <w:rPr>
          <w:rFonts w:hint="default" w:ascii="Times New Roman" w:hAnsi="Times New Roman" w:eastAsia="宋体" w:cs="Times New Roman"/>
          <w:b/>
          <w:bCs/>
          <w:color w:val="000000" w:themeColor="text1"/>
          <w:kern w:val="0"/>
          <w:sz w:val="21"/>
          <w:szCs w:val="21"/>
          <w:lang w:val="en-US" w:eastAsia="zh-CN" w:bidi="ar-SA"/>
          <w14:textFill>
            <w14:solidFill>
              <w14:schemeClr w14:val="tx1"/>
            </w14:solidFill>
          </w14:textFill>
        </w:rPr>
        <w:t>.2</w:t>
      </w:r>
      <w:r>
        <w:rPr>
          <w:rFonts w:hint="eastAsia" w:cs="Times New Roman"/>
          <w:b/>
          <w:bCs/>
          <w:color w:val="000000" w:themeColor="text1"/>
          <w:kern w:val="0"/>
          <w:sz w:val="21"/>
          <w:szCs w:val="21"/>
          <w:lang w:val="en-US" w:eastAsia="zh-CN" w:bidi="ar-SA"/>
          <w14:textFill>
            <w14:solidFill>
              <w14:schemeClr w14:val="tx1"/>
            </w14:solidFill>
          </w14:textFill>
        </w:rPr>
        <w:t xml:space="preserve"> </w:t>
      </w:r>
      <w:r>
        <w:rPr>
          <w:rFonts w:hint="eastAsia"/>
          <w:color w:val="000000" w:themeColor="text1"/>
          <w14:textFill>
            <w14:solidFill>
              <w14:schemeClr w14:val="tx1"/>
            </w14:solidFill>
          </w14:textFill>
        </w:rPr>
        <w:t>Bin的定量及可视化</w:t>
      </w:r>
      <w:bookmarkEnd w:id="212"/>
      <w:bookmarkEnd w:id="213"/>
      <w:bookmarkEnd w:id="214"/>
    </w:p>
    <w:p w14:paraId="12CE84DC">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使用分箱软件对宏基因组de novo组装的contig进行序列分箱并计算每个bin在不同样本中的丰度并绘制热图。</w:t>
      </w:r>
    </w:p>
    <w:p w14:paraId="0B6D8D7B">
      <w:pPr>
        <w:ind w:firstLine="420"/>
        <w:rPr>
          <w:rFonts w:cs="Times New Roman"/>
          <w:color w:val="0070C0"/>
        </w:rPr>
      </w:pPr>
      <w:r>
        <w:rPr>
          <w:rFonts w:hint="eastAsia" w:cs="Times New Roman"/>
          <w:color w:val="0070C0"/>
        </w:rPr>
        <w:t>分箱丰度聚类热图：</w:t>
      </w:r>
    </w:p>
    <w:p w14:paraId="17CBB3C8">
      <w:pPr>
        <w:ind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4" name="图片 14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CBCBA8C">
      <w:pPr>
        <w:spacing w:line="240" w:lineRule="auto"/>
        <w:ind w:firstLine="420"/>
        <w:rPr>
          <w:rFonts w:cs="Times New Roman"/>
          <w:color w:val="000000" w:themeColor="text1"/>
          <w14:textFill>
            <w14:solidFill>
              <w14:schemeClr w14:val="tx1"/>
            </w14:solidFill>
          </w14:textFill>
        </w:rPr>
      </w:pPr>
      <w:r>
        <w:rPr>
          <w:rStyle w:val="34"/>
          <w:rFonts w:hint="eastAsia"/>
        </w:rPr>
        <w:t>注：图中列代表不同样本，行为不同Bin。颜色代表不同样本中Bin的丰度，颜色由蓝色到红色渐变表示Bin的丰度由小到大</w:t>
      </w:r>
      <w:r>
        <w:rPr>
          <w:rFonts w:hint="eastAsia" w:cs="Times New Roman"/>
          <w:color w:val="000000" w:themeColor="text1"/>
          <w14:textFill>
            <w14:solidFill>
              <w14:schemeClr w14:val="tx1"/>
            </w14:solidFill>
          </w14:textFill>
        </w:rPr>
        <w:t>。</w:t>
      </w:r>
    </w:p>
    <w:p w14:paraId="411EA2E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结果目录：Result/</w:t>
      </w:r>
      <w:r>
        <w:rPr>
          <w:rFonts w:cs="Times New Roman"/>
          <w:color w:val="000000" w:themeColor="text1"/>
          <w14:textFill>
            <w14:solidFill>
              <w14:schemeClr w14:val="tx1"/>
            </w14:solidFill>
          </w14:textFill>
        </w:rPr>
        <w:t>binning/3.Bin_Abundance</w:t>
      </w:r>
    </w:p>
    <w:p w14:paraId="3392E70E">
      <w:pPr>
        <w:pStyle w:val="41"/>
        <w:numPr>
          <w:ilvl w:val="1"/>
          <w:numId w:val="0"/>
        </w:numPr>
        <w:ind w:left="0" w:leftChars="0" w:firstLine="0" w:firstLineChars="0"/>
        <w:rPr>
          <w:color w:val="000000" w:themeColor="text1"/>
          <w14:textFill>
            <w14:solidFill>
              <w14:schemeClr w14:val="tx1"/>
            </w14:solidFill>
          </w14:textFill>
        </w:rPr>
      </w:pPr>
      <w:bookmarkStart w:id="215" w:name="_Toc25950"/>
      <w:bookmarkStart w:id="216" w:name="_Toc1857"/>
      <w:bookmarkStart w:id="217" w:name="_Toc176436481"/>
      <w:r>
        <w:rPr>
          <w:rFonts w:hint="default" w:ascii="Times New Roman" w:hAnsi="Times New Roman" w:eastAsia="宋体" w:cs="Times New Roman"/>
          <w:b/>
          <w:bCs/>
          <w:color w:val="000000" w:themeColor="text1"/>
          <w:kern w:val="0"/>
          <w:sz w:val="21"/>
          <w:szCs w:val="21"/>
          <w:lang w:val="en-US" w:eastAsia="zh-CN" w:bidi="ar-SA"/>
          <w14:textFill>
            <w14:solidFill>
              <w14:schemeClr w14:val="tx1"/>
            </w14:solidFill>
          </w14:textFill>
        </w:rPr>
        <w:t>1</w:t>
      </w:r>
      <w:r>
        <w:rPr>
          <w:rFonts w:hint="eastAsia" w:cs="Times New Roman"/>
          <w:b/>
          <w:bCs/>
          <w:color w:val="000000" w:themeColor="text1"/>
          <w:kern w:val="0"/>
          <w:sz w:val="21"/>
          <w:szCs w:val="21"/>
          <w:lang w:val="en-US" w:eastAsia="zh-CN" w:bidi="ar-SA"/>
          <w14:textFill>
            <w14:solidFill>
              <w14:schemeClr w14:val="tx1"/>
            </w14:solidFill>
          </w14:textFill>
        </w:rPr>
        <w:t>5</w:t>
      </w:r>
      <w:r>
        <w:rPr>
          <w:rFonts w:hint="default" w:ascii="Times New Roman" w:hAnsi="Times New Roman" w:eastAsia="宋体" w:cs="Times New Roman"/>
          <w:b/>
          <w:bCs/>
          <w:color w:val="000000" w:themeColor="text1"/>
          <w:kern w:val="0"/>
          <w:sz w:val="21"/>
          <w:szCs w:val="21"/>
          <w:lang w:val="en-US" w:eastAsia="zh-CN" w:bidi="ar-SA"/>
          <w14:textFill>
            <w14:solidFill>
              <w14:schemeClr w14:val="tx1"/>
            </w14:solidFill>
          </w14:textFill>
        </w:rPr>
        <w:t>.3</w:t>
      </w:r>
      <w:r>
        <w:rPr>
          <w:rFonts w:hint="eastAsia" w:cs="Times New Roman"/>
          <w:b/>
          <w:bCs/>
          <w:color w:val="000000" w:themeColor="text1"/>
          <w:kern w:val="0"/>
          <w:sz w:val="21"/>
          <w:szCs w:val="21"/>
          <w:lang w:val="en-US" w:eastAsia="zh-CN" w:bidi="ar-SA"/>
          <w14:textFill>
            <w14:solidFill>
              <w14:schemeClr w14:val="tx1"/>
            </w14:solidFill>
          </w14:textFill>
        </w:rPr>
        <w:t xml:space="preserve"> </w:t>
      </w:r>
      <w:r>
        <w:rPr>
          <w:rFonts w:hint="eastAsia"/>
          <w:color w:val="000000" w:themeColor="text1"/>
          <w14:textFill>
            <w14:solidFill>
              <w14:schemeClr w14:val="tx1"/>
            </w14:solidFill>
          </w14:textFill>
        </w:rPr>
        <w:t>Bin的注释</w:t>
      </w:r>
      <w:bookmarkEnd w:id="215"/>
      <w:bookmarkEnd w:id="216"/>
      <w:bookmarkEnd w:id="217"/>
    </w:p>
    <w:p w14:paraId="463CE3D0">
      <w:pPr>
        <w:ind w:firstLine="420"/>
        <w:rPr>
          <w:rFonts w:cs="Times New Roman"/>
          <w:color w:val="000000" w:themeColor="text1"/>
          <w14:textFill>
            <w14:solidFill>
              <w14:schemeClr w14:val="tx1"/>
            </w14:solidFill>
          </w14:textFill>
        </w:rPr>
      </w:pPr>
      <w:r>
        <w:rPr>
          <w:rFonts w:hint="eastAsia"/>
        </w:rPr>
        <w:t>使用metaWRAP的classify_bins模块进行bins的物种注释，具体见结果</w:t>
      </w:r>
      <w:r>
        <w:rPr>
          <w:rFonts w:hint="eastAsia" w:cs="Times New Roman"/>
          <w:color w:val="000000" w:themeColor="text1"/>
          <w14:textFill>
            <w14:solidFill>
              <w14:schemeClr w14:val="tx1"/>
            </w14:solidFill>
          </w14:textFill>
        </w:rPr>
        <w:t>Result文件夹。</w:t>
      </w:r>
    </w:p>
    <w:p w14:paraId="2FB023D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在分箱注释中，大多数的bins注释不到种水平，这是由于Binning是一个比较新的分析技术，与之配套的物种分类数据库还在不断发展和完善；分箱得到的bins，往往是存在很大变异的微生物，在数据库中还没有收录；分箱得到的bins，多少存在无法通过分析手段解决的序列污染，会使一个bin注释到多个物种，从而导致最终注释结果无法精确到种水平。</w:t>
      </w:r>
    </w:p>
    <w:p w14:paraId="4570EBF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结果目录：Result/</w:t>
      </w:r>
      <w:r>
        <w:rPr>
          <w:rFonts w:cs="Times New Roman"/>
          <w:color w:val="000000" w:themeColor="text1"/>
          <w14:textFill>
            <w14:solidFill>
              <w14:schemeClr w14:val="tx1"/>
            </w14:solidFill>
          </w14:textFill>
        </w:rPr>
        <w:t>binning/4.Bin_classify</w:t>
      </w:r>
    </w:p>
    <w:p w14:paraId="372E1053">
      <w:pPr>
        <w:ind w:left="0" w:leftChars="0" w:firstLine="0" w:firstLineChars="0"/>
        <w:rPr>
          <w:rFonts w:hint="eastAsia" w:cs="Times New Roman"/>
          <w:color w:val="000000" w:themeColor="text1"/>
          <w14:textFill>
            <w14:solidFill>
              <w14:schemeClr w14:val="tx1"/>
            </w14:solidFill>
          </w14:textFill>
        </w:rPr>
      </w:pPr>
    </w:p>
    <w:bookmarkEnd w:id="200"/>
    <w:p w14:paraId="0BD63FD3">
      <w:pPr>
        <w:pStyle w:val="40"/>
      </w:pPr>
      <w:bookmarkStart w:id="218" w:name="_Toc23716"/>
      <w:r>
        <w:rPr>
          <w:rFonts w:hint="eastAsia"/>
          <w:bCs w:val="0"/>
        </w:rPr>
        <w:t>1</w:t>
      </w:r>
      <w:r>
        <w:rPr>
          <w:rFonts w:hint="eastAsia"/>
          <w:bCs w:val="0"/>
          <w:lang w:val="en-US" w:eastAsia="zh-CN"/>
        </w:rPr>
        <w:t>6</w:t>
      </w:r>
      <w:r>
        <w:rPr>
          <w:bCs w:val="0"/>
        </w:rPr>
        <w:t xml:space="preserve">. </w:t>
      </w:r>
      <w:r>
        <w:rPr>
          <w:rFonts w:hint="eastAsia"/>
        </w:rPr>
        <w:t>软件列表</w:t>
      </w:r>
      <w:bookmarkEnd w:id="218"/>
    </w:p>
    <w:p w14:paraId="355B2F49">
      <w:pPr>
        <w:ind w:firstLine="0" w:firstLineChars="0"/>
        <w:jc w:val="center"/>
      </w:pPr>
      <w:r>
        <w:rPr>
          <w:rFonts w:hint="eastAsia"/>
        </w:rPr>
        <w:t>表5 软件列表信息</w:t>
      </w:r>
    </w:p>
    <w:tbl>
      <w:tblPr>
        <w:tblStyle w:val="21"/>
        <w:tblW w:w="8193"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9"/>
        <w:gridCol w:w="1013"/>
        <w:gridCol w:w="3198"/>
        <w:gridCol w:w="2913"/>
      </w:tblGrid>
      <w:tr w14:paraId="2C15FD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069" w:type="dxa"/>
            <w:tcBorders>
              <w:bottom w:val="single" w:color="000000" w:themeColor="text1" w:sz="8" w:space="0"/>
            </w:tcBorders>
            <w:shd w:val="clear" w:color="auto" w:fill="auto"/>
            <w:noWrap/>
            <w:vAlign w:val="center"/>
          </w:tcPr>
          <w:p w14:paraId="0631CEC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软件</w:t>
            </w:r>
          </w:p>
        </w:tc>
        <w:tc>
          <w:tcPr>
            <w:tcW w:w="1013" w:type="dxa"/>
            <w:tcBorders>
              <w:bottom w:val="single" w:color="000000" w:themeColor="text1" w:sz="8" w:space="0"/>
            </w:tcBorders>
            <w:shd w:val="clear" w:color="auto" w:fill="auto"/>
            <w:noWrap/>
            <w:vAlign w:val="center"/>
          </w:tcPr>
          <w:p w14:paraId="3FD55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版本号</w:t>
            </w:r>
          </w:p>
        </w:tc>
        <w:tc>
          <w:tcPr>
            <w:tcW w:w="3198" w:type="dxa"/>
            <w:tcBorders>
              <w:bottom w:val="single" w:color="000000" w:themeColor="text1" w:sz="8" w:space="0"/>
            </w:tcBorders>
            <w:shd w:val="clear" w:color="auto" w:fill="auto"/>
            <w:noWrap/>
            <w:vAlign w:val="center"/>
          </w:tcPr>
          <w:p w14:paraId="77699D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网址</w:t>
            </w:r>
          </w:p>
        </w:tc>
        <w:tc>
          <w:tcPr>
            <w:tcW w:w="2913" w:type="dxa"/>
            <w:tcBorders>
              <w:bottom w:val="single" w:color="000000" w:themeColor="text1" w:sz="8" w:space="0"/>
            </w:tcBorders>
            <w:shd w:val="clear" w:color="auto" w:fill="auto"/>
            <w:noWrap/>
            <w:vAlign w:val="center"/>
          </w:tcPr>
          <w:p w14:paraId="29C956D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分析内容</w:t>
            </w:r>
          </w:p>
        </w:tc>
      </w:tr>
      <w:tr w14:paraId="4BD38C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single" w:color="000000" w:themeColor="text1" w:sz="8" w:space="0"/>
              <w:bottom w:val="nil"/>
              <w:tl2br w:val="nil"/>
              <w:tr2bl w:val="nil"/>
            </w:tcBorders>
            <w:shd w:val="clear" w:color="auto" w:fill="auto"/>
            <w:noWrap/>
            <w:vAlign w:val="center"/>
          </w:tcPr>
          <w:p w14:paraId="62BB5C4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fastp</w:t>
            </w:r>
          </w:p>
        </w:tc>
        <w:tc>
          <w:tcPr>
            <w:tcW w:w="1013" w:type="dxa"/>
            <w:tcBorders>
              <w:top w:val="single" w:color="000000" w:themeColor="text1" w:sz="8" w:space="0"/>
              <w:bottom w:val="nil"/>
              <w:tl2br w:val="nil"/>
              <w:tr2bl w:val="nil"/>
            </w:tcBorders>
            <w:shd w:val="clear" w:color="auto" w:fill="auto"/>
            <w:noWrap/>
            <w:vAlign w:val="center"/>
          </w:tcPr>
          <w:p w14:paraId="48D0720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0.12.4</w:t>
            </w:r>
          </w:p>
        </w:tc>
        <w:tc>
          <w:tcPr>
            <w:tcW w:w="3198" w:type="dxa"/>
            <w:tcBorders>
              <w:top w:val="single" w:color="000000" w:themeColor="text1" w:sz="8" w:space="0"/>
              <w:bottom w:val="nil"/>
              <w:tl2br w:val="nil"/>
              <w:tr2bl w:val="nil"/>
            </w:tcBorders>
            <w:shd w:val="clear" w:color="auto" w:fill="auto"/>
            <w:noWrap/>
            <w:vAlign w:val="center"/>
          </w:tcPr>
          <w:p w14:paraId="7FB2522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https://github.com/OpenGene/fastp</w:t>
            </w:r>
          </w:p>
        </w:tc>
        <w:tc>
          <w:tcPr>
            <w:tcW w:w="2913" w:type="dxa"/>
            <w:tcBorders>
              <w:top w:val="single" w:color="000000" w:themeColor="text1" w:sz="8" w:space="0"/>
              <w:bottom w:val="nil"/>
              <w:tl2br w:val="nil"/>
              <w:tr2bl w:val="nil"/>
            </w:tcBorders>
            <w:shd w:val="clear" w:color="auto" w:fill="auto"/>
            <w:noWrap/>
            <w:vAlign w:val="center"/>
          </w:tcPr>
          <w:p w14:paraId="7706681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原始测序数据质控</w:t>
            </w:r>
          </w:p>
        </w:tc>
      </w:tr>
      <w:tr w14:paraId="00B835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nil"/>
              <w:tl2br w:val="nil"/>
              <w:tr2bl w:val="nil"/>
            </w:tcBorders>
            <w:shd w:val="clear" w:color="auto" w:fill="auto"/>
            <w:noWrap/>
            <w:vAlign w:val="center"/>
          </w:tcPr>
          <w:p w14:paraId="0DD03D7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1013" w:type="dxa"/>
            <w:tcBorders>
              <w:top w:val="nil"/>
              <w:tl2br w:val="nil"/>
              <w:tr2bl w:val="nil"/>
            </w:tcBorders>
            <w:shd w:val="clear" w:color="auto" w:fill="auto"/>
            <w:noWrap/>
            <w:vAlign w:val="center"/>
          </w:tcPr>
          <w:p w14:paraId="08D32B7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2.5.2</w:t>
            </w:r>
          </w:p>
        </w:tc>
        <w:tc>
          <w:tcPr>
            <w:tcW w:w="3198" w:type="dxa"/>
            <w:tcBorders>
              <w:top w:val="nil"/>
              <w:tl2br w:val="nil"/>
              <w:tr2bl w:val="nil"/>
            </w:tcBorders>
            <w:shd w:val="clear" w:color="auto" w:fill="auto"/>
            <w:noWrap/>
            <w:vAlign w:val="center"/>
          </w:tcPr>
          <w:p w14:paraId="28374C4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2913" w:type="dxa"/>
            <w:tcBorders>
              <w:top w:val="nil"/>
              <w:tl2br w:val="nil"/>
              <w:tr2bl w:val="nil"/>
            </w:tcBorders>
            <w:shd w:val="clear" w:color="auto" w:fill="auto"/>
            <w:noWrap/>
            <w:vAlign w:val="center"/>
          </w:tcPr>
          <w:p w14:paraId="6C75D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去宿主污染</w:t>
            </w:r>
          </w:p>
        </w:tc>
      </w:tr>
      <w:tr w14:paraId="07CF0D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35EE4D2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megahit</w:t>
            </w:r>
          </w:p>
        </w:tc>
        <w:tc>
          <w:tcPr>
            <w:tcW w:w="1013" w:type="dxa"/>
            <w:tcBorders>
              <w:tl2br w:val="nil"/>
              <w:tr2bl w:val="nil"/>
            </w:tcBorders>
            <w:shd w:val="clear" w:color="auto" w:fill="auto"/>
            <w:noWrap/>
            <w:vAlign w:val="center"/>
          </w:tcPr>
          <w:p w14:paraId="1212F8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1.2.9</w:t>
            </w:r>
          </w:p>
        </w:tc>
        <w:tc>
          <w:tcPr>
            <w:tcW w:w="3198" w:type="dxa"/>
            <w:tcBorders>
              <w:tl2br w:val="nil"/>
              <w:tr2bl w:val="nil"/>
            </w:tcBorders>
            <w:shd w:val="clear" w:color="auto" w:fill="auto"/>
            <w:noWrap/>
            <w:vAlign w:val="center"/>
          </w:tcPr>
          <w:p w14:paraId="7CD0A34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https://github.com/voutcn/megahit</w:t>
            </w:r>
          </w:p>
        </w:tc>
        <w:tc>
          <w:tcPr>
            <w:tcW w:w="2913" w:type="dxa"/>
            <w:tcBorders>
              <w:tl2br w:val="nil"/>
              <w:tr2bl w:val="nil"/>
            </w:tcBorders>
            <w:shd w:val="clear" w:color="auto" w:fill="auto"/>
            <w:noWrap/>
            <w:vAlign w:val="center"/>
          </w:tcPr>
          <w:p w14:paraId="6B1460B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组装</w:t>
            </w:r>
          </w:p>
        </w:tc>
      </w:tr>
      <w:tr w14:paraId="3804B95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D43947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diamond</w:t>
            </w:r>
          </w:p>
        </w:tc>
        <w:tc>
          <w:tcPr>
            <w:tcW w:w="1013" w:type="dxa"/>
            <w:tcBorders>
              <w:tl2br w:val="nil"/>
              <w:tr2bl w:val="nil"/>
            </w:tcBorders>
            <w:shd w:val="clear" w:color="auto" w:fill="auto"/>
            <w:noWrap/>
            <w:vAlign w:val="center"/>
          </w:tcPr>
          <w:p w14:paraId="14A3B96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2.1.8</w:t>
            </w:r>
          </w:p>
        </w:tc>
        <w:tc>
          <w:tcPr>
            <w:tcW w:w="3198" w:type="dxa"/>
            <w:tcBorders>
              <w:tl2br w:val="nil"/>
              <w:tr2bl w:val="nil"/>
            </w:tcBorders>
            <w:shd w:val="clear" w:color="auto" w:fill="auto"/>
            <w:noWrap/>
            <w:vAlign w:val="center"/>
          </w:tcPr>
          <w:p w14:paraId="680D71C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https://github.com/bbuchfink/diamond</w:t>
            </w:r>
          </w:p>
        </w:tc>
        <w:tc>
          <w:tcPr>
            <w:tcW w:w="2913" w:type="dxa"/>
            <w:tcBorders>
              <w:tl2br w:val="nil"/>
              <w:tr2bl w:val="nil"/>
            </w:tcBorders>
            <w:shd w:val="clear" w:color="auto" w:fill="auto"/>
            <w:noWrap/>
            <w:vAlign w:val="center"/>
          </w:tcPr>
          <w:p w14:paraId="66D2975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序列比对</w:t>
            </w:r>
          </w:p>
        </w:tc>
      </w:tr>
      <w:tr w14:paraId="5DEE36E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84775E2">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MEGAN</w:t>
            </w:r>
          </w:p>
        </w:tc>
        <w:tc>
          <w:tcPr>
            <w:tcW w:w="1013" w:type="dxa"/>
            <w:tcBorders>
              <w:tl2br w:val="nil"/>
              <w:tr2bl w:val="nil"/>
            </w:tcBorders>
            <w:shd w:val="clear" w:color="auto" w:fill="auto"/>
            <w:noWrap/>
            <w:vAlign w:val="center"/>
          </w:tcPr>
          <w:p w14:paraId="58821DD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6</w:t>
            </w:r>
            <w:r>
              <w:rPr>
                <w:rFonts w:cs="Times New Roman"/>
                <w:color w:val="000000" w:themeColor="text1"/>
                <w:kern w:val="0"/>
                <w:szCs w:val="21"/>
                <w14:textFill>
                  <w14:solidFill>
                    <w14:schemeClr w14:val="tx1"/>
                  </w14:solidFill>
                </w14:textFill>
              </w:rPr>
              <w:t>.25</w:t>
            </w:r>
          </w:p>
        </w:tc>
        <w:tc>
          <w:tcPr>
            <w:tcW w:w="3198" w:type="dxa"/>
            <w:tcBorders>
              <w:tl2br w:val="nil"/>
              <w:tr2bl w:val="nil"/>
            </w:tcBorders>
            <w:shd w:val="clear" w:color="auto" w:fill="auto"/>
            <w:noWrap/>
            <w:vAlign w:val="center"/>
          </w:tcPr>
          <w:p w14:paraId="12BEB60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https://github.com/husonlab/megan-ce</w:t>
            </w:r>
          </w:p>
        </w:tc>
        <w:tc>
          <w:tcPr>
            <w:tcW w:w="2913" w:type="dxa"/>
            <w:tcBorders>
              <w:tl2br w:val="nil"/>
              <w:tr2bl w:val="nil"/>
            </w:tcBorders>
            <w:shd w:val="clear" w:color="auto" w:fill="auto"/>
            <w:noWrap/>
            <w:vAlign w:val="center"/>
          </w:tcPr>
          <w:p w14:paraId="395A72AD">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物种分类</w:t>
            </w:r>
          </w:p>
        </w:tc>
      </w:tr>
      <w:tr w14:paraId="7F6AD90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16BD36E1">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eggnog mapper</w:t>
            </w:r>
          </w:p>
        </w:tc>
        <w:tc>
          <w:tcPr>
            <w:tcW w:w="1013" w:type="dxa"/>
            <w:tcBorders>
              <w:tl2br w:val="nil"/>
              <w:tr2bl w:val="nil"/>
            </w:tcBorders>
            <w:shd w:val="clear" w:color="auto" w:fill="auto"/>
            <w:noWrap/>
            <w:vAlign w:val="center"/>
          </w:tcPr>
          <w:p w14:paraId="73EF0BF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2.1.10</w:t>
            </w:r>
          </w:p>
        </w:tc>
        <w:tc>
          <w:tcPr>
            <w:tcW w:w="3198" w:type="dxa"/>
            <w:tcBorders>
              <w:tl2br w:val="nil"/>
              <w:tr2bl w:val="nil"/>
            </w:tcBorders>
            <w:shd w:val="clear" w:color="auto" w:fill="auto"/>
            <w:noWrap/>
            <w:vAlign w:val="center"/>
          </w:tcPr>
          <w:p w14:paraId="34ABAFD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https://github.com/eggnogdb/eggnog-mapper</w:t>
            </w:r>
          </w:p>
        </w:tc>
        <w:tc>
          <w:tcPr>
            <w:tcW w:w="2913" w:type="dxa"/>
            <w:tcBorders>
              <w:tl2br w:val="nil"/>
              <w:tr2bl w:val="nil"/>
            </w:tcBorders>
            <w:shd w:val="clear" w:color="auto" w:fill="auto"/>
            <w:noWrap/>
            <w:vAlign w:val="center"/>
          </w:tcPr>
          <w:p w14:paraId="3986B21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功能注释</w:t>
            </w:r>
          </w:p>
        </w:tc>
      </w:tr>
      <w:tr w14:paraId="68133E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115802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p>
        </w:tc>
        <w:tc>
          <w:tcPr>
            <w:tcW w:w="1013" w:type="dxa"/>
            <w:tcBorders>
              <w:tl2br w:val="nil"/>
              <w:tr2bl w:val="nil"/>
            </w:tcBorders>
            <w:shd w:val="clear" w:color="auto" w:fill="auto"/>
            <w:noWrap/>
            <w:vAlign w:val="center"/>
          </w:tcPr>
          <w:p w14:paraId="70E1DCB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2.8.1</w:t>
            </w:r>
          </w:p>
        </w:tc>
        <w:tc>
          <w:tcPr>
            <w:tcW w:w="3198" w:type="dxa"/>
            <w:tcBorders>
              <w:tl2br w:val="nil"/>
              <w:tr2bl w:val="nil"/>
            </w:tcBorders>
            <w:shd w:val="clear" w:color="auto" w:fill="auto"/>
            <w:noWrap/>
            <w:vAlign w:val="center"/>
          </w:tcPr>
          <w:p w14:paraId="23DE1B9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https://github.com/marbl/Krona</w:t>
            </w:r>
          </w:p>
        </w:tc>
        <w:tc>
          <w:tcPr>
            <w:tcW w:w="2913" w:type="dxa"/>
            <w:tcBorders>
              <w:tl2br w:val="nil"/>
              <w:tr2bl w:val="nil"/>
            </w:tcBorders>
            <w:shd w:val="clear" w:color="auto" w:fill="auto"/>
            <w:noWrap/>
            <w:vAlign w:val="center"/>
          </w:tcPr>
          <w:p w14:paraId="1AD492D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r>
              <w:rPr>
                <w:rFonts w:hint="eastAsia" w:cs="Times New Roman"/>
                <w:color w:val="000000" w:themeColor="text1"/>
                <w:kern w:val="0"/>
                <w:szCs w:val="21"/>
                <w14:textFill>
                  <w14:solidFill>
                    <w14:schemeClr w14:val="tx1"/>
                  </w14:solidFill>
                </w14:textFill>
              </w:rPr>
              <w:t>多级物种组成图</w:t>
            </w:r>
          </w:p>
        </w:tc>
      </w:tr>
      <w:tr w14:paraId="1A3A61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5608E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Lefse</w:t>
            </w:r>
          </w:p>
        </w:tc>
        <w:tc>
          <w:tcPr>
            <w:tcW w:w="1013" w:type="dxa"/>
            <w:tcBorders>
              <w:tl2br w:val="nil"/>
              <w:tr2bl w:val="nil"/>
            </w:tcBorders>
            <w:shd w:val="clear" w:color="auto" w:fill="auto"/>
            <w:noWrap/>
            <w:vAlign w:val="center"/>
          </w:tcPr>
          <w:p w14:paraId="24444D5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1</w:t>
            </w:r>
            <w:r>
              <w:rPr>
                <w:rFonts w:cs="Times New Roman"/>
                <w:color w:val="000000" w:themeColor="text1"/>
                <w:kern w:val="0"/>
                <w:szCs w:val="21"/>
                <w14:textFill>
                  <w14:solidFill>
                    <w14:schemeClr w14:val="tx1"/>
                  </w14:solidFill>
                </w14:textFill>
              </w:rPr>
              <w:t>.1.2</w:t>
            </w:r>
          </w:p>
        </w:tc>
        <w:tc>
          <w:tcPr>
            <w:tcW w:w="3198" w:type="dxa"/>
            <w:tcBorders>
              <w:tl2br w:val="nil"/>
              <w:tr2bl w:val="nil"/>
            </w:tcBorders>
            <w:shd w:val="clear" w:color="auto" w:fill="auto"/>
            <w:noWrap/>
            <w:vAlign w:val="center"/>
          </w:tcPr>
          <w:p w14:paraId="6B575AA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https://github.com/SegataLab/lefse</w:t>
            </w:r>
          </w:p>
        </w:tc>
        <w:tc>
          <w:tcPr>
            <w:tcW w:w="2913" w:type="dxa"/>
            <w:tcBorders>
              <w:tl2br w:val="nil"/>
              <w:tr2bl w:val="nil"/>
            </w:tcBorders>
            <w:shd w:val="clear" w:color="auto" w:fill="auto"/>
            <w:noWrap/>
            <w:vAlign w:val="center"/>
          </w:tcPr>
          <w:p w14:paraId="113E331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w:t>
            </w:r>
            <w:r>
              <w:rPr>
                <w:rFonts w:hint="eastAsia" w:cs="Times New Roman"/>
                <w:color w:val="000000" w:themeColor="text1"/>
                <w:kern w:val="0"/>
                <w:szCs w:val="21"/>
                <w14:textFill>
                  <w14:solidFill>
                    <w14:schemeClr w14:val="tx1"/>
                  </w14:solidFill>
                </w14:textFill>
              </w:rPr>
              <w:t>efse分析</w:t>
            </w:r>
          </w:p>
        </w:tc>
      </w:tr>
      <w:tr w14:paraId="7AEB07C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CCABA6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w:t>
            </w:r>
          </w:p>
        </w:tc>
        <w:tc>
          <w:tcPr>
            <w:tcW w:w="1013" w:type="dxa"/>
            <w:tcBorders>
              <w:tl2br w:val="nil"/>
              <w:tr2bl w:val="nil"/>
            </w:tcBorders>
            <w:shd w:val="clear" w:color="auto" w:fill="auto"/>
            <w:noWrap/>
            <w:vAlign w:val="center"/>
          </w:tcPr>
          <w:p w14:paraId="185CDE7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4.2.3</w:t>
            </w:r>
          </w:p>
        </w:tc>
        <w:tc>
          <w:tcPr>
            <w:tcW w:w="3198" w:type="dxa"/>
            <w:tcBorders>
              <w:tl2br w:val="nil"/>
              <w:tr2bl w:val="nil"/>
            </w:tcBorders>
            <w:shd w:val="clear" w:color="auto" w:fill="auto"/>
            <w:noWrap/>
            <w:vAlign w:val="center"/>
          </w:tcPr>
          <w:p w14:paraId="3DCEB8F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https://www.r-project.org/</w:t>
            </w:r>
          </w:p>
        </w:tc>
        <w:tc>
          <w:tcPr>
            <w:tcW w:w="2913" w:type="dxa"/>
            <w:tcBorders>
              <w:tl2br w:val="nil"/>
              <w:tr2bl w:val="nil"/>
            </w:tcBorders>
            <w:shd w:val="clear" w:color="auto" w:fill="auto"/>
            <w:noWrap/>
            <w:vAlign w:val="center"/>
          </w:tcPr>
          <w:p w14:paraId="3E9BD29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绘图</w:t>
            </w:r>
          </w:p>
        </w:tc>
      </w:tr>
      <w:tr w14:paraId="14F2FF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5955E9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ggplot2</w:t>
            </w:r>
          </w:p>
        </w:tc>
        <w:tc>
          <w:tcPr>
            <w:tcW w:w="1013" w:type="dxa"/>
            <w:tcBorders>
              <w:tl2br w:val="nil"/>
              <w:tr2bl w:val="nil"/>
            </w:tcBorders>
            <w:shd w:val="clear" w:color="auto" w:fill="auto"/>
            <w:noWrap/>
            <w:vAlign w:val="center"/>
          </w:tcPr>
          <w:p w14:paraId="6E5A9AD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3.4.2</w:t>
            </w:r>
          </w:p>
        </w:tc>
        <w:tc>
          <w:tcPr>
            <w:tcW w:w="3198" w:type="dxa"/>
            <w:tcBorders>
              <w:tl2br w:val="nil"/>
              <w:tr2bl w:val="nil"/>
            </w:tcBorders>
            <w:shd w:val="clear" w:color="auto" w:fill="auto"/>
            <w:noWrap/>
            <w:vAlign w:val="center"/>
          </w:tcPr>
          <w:p w14:paraId="24F368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https://ggplot2.tidyverse.org/</w:t>
            </w:r>
          </w:p>
        </w:tc>
        <w:tc>
          <w:tcPr>
            <w:tcW w:w="2913" w:type="dxa"/>
            <w:tcBorders>
              <w:tl2br w:val="nil"/>
              <w:tr2bl w:val="nil"/>
            </w:tcBorders>
            <w:shd w:val="clear" w:color="auto" w:fill="auto"/>
            <w:noWrap/>
            <w:vAlign w:val="center"/>
          </w:tcPr>
          <w:p w14:paraId="28F9DF2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柱状图、箱线图、</w:t>
            </w:r>
            <w:r>
              <w:rPr>
                <w:rFonts w:hint="eastAsia" w:cs="Times New Roman"/>
                <w:color w:val="000000" w:themeColor="text1"/>
                <w:kern w:val="0"/>
                <w:szCs w:val="21"/>
                <w14:textFill>
                  <w14:solidFill>
                    <w14:schemeClr w14:val="tx1"/>
                  </w14:solidFill>
                </w14:textFill>
              </w:rPr>
              <w:t>功能</w:t>
            </w:r>
            <w:r>
              <w:rPr>
                <w:rFonts w:cs="Times New Roman"/>
                <w:color w:val="000000" w:themeColor="text1"/>
                <w:kern w:val="0"/>
                <w:szCs w:val="21"/>
                <w14:textFill>
                  <w14:solidFill>
                    <w14:schemeClr w14:val="tx1"/>
                  </w14:solidFill>
                </w14:textFill>
              </w:rPr>
              <w:t>通路</w:t>
            </w:r>
            <w:r>
              <w:rPr>
                <w:rFonts w:hint="eastAsia" w:cs="Times New Roman"/>
                <w:color w:val="000000" w:themeColor="text1"/>
                <w:kern w:val="0"/>
                <w:szCs w:val="21"/>
                <w14:textFill>
                  <w14:solidFill>
                    <w14:schemeClr w14:val="tx1"/>
                  </w14:solidFill>
                </w14:textFill>
              </w:rPr>
              <w:t>图</w:t>
            </w:r>
          </w:p>
        </w:tc>
      </w:tr>
      <w:tr w14:paraId="4C36E00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9377F3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ggvenn</w:t>
            </w:r>
          </w:p>
        </w:tc>
        <w:tc>
          <w:tcPr>
            <w:tcW w:w="1013" w:type="dxa"/>
            <w:tcBorders>
              <w:tl2br w:val="nil"/>
              <w:tr2bl w:val="nil"/>
            </w:tcBorders>
            <w:shd w:val="clear" w:color="auto" w:fill="auto"/>
            <w:noWrap/>
            <w:vAlign w:val="center"/>
          </w:tcPr>
          <w:p w14:paraId="71190F1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0.1.10</w:t>
            </w:r>
          </w:p>
        </w:tc>
        <w:tc>
          <w:tcPr>
            <w:tcW w:w="3198" w:type="dxa"/>
            <w:tcBorders>
              <w:tl2br w:val="nil"/>
              <w:tr2bl w:val="nil"/>
            </w:tcBorders>
            <w:shd w:val="clear" w:color="auto" w:fill="auto"/>
            <w:noWrap/>
            <w:vAlign w:val="center"/>
          </w:tcPr>
          <w:p w14:paraId="6964CD9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https://github.com/yanlinlin82/ggvenn</w:t>
            </w:r>
          </w:p>
        </w:tc>
        <w:tc>
          <w:tcPr>
            <w:tcW w:w="2913" w:type="dxa"/>
            <w:tcBorders>
              <w:tl2br w:val="nil"/>
              <w:tr2bl w:val="nil"/>
            </w:tcBorders>
            <w:shd w:val="clear" w:color="auto" w:fill="auto"/>
            <w:noWrap/>
            <w:vAlign w:val="center"/>
          </w:tcPr>
          <w:p w14:paraId="5B2F9A1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韦恩图</w:t>
            </w:r>
          </w:p>
        </w:tc>
      </w:tr>
      <w:tr w14:paraId="780ABB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703C986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upset</w:t>
            </w:r>
          </w:p>
        </w:tc>
        <w:tc>
          <w:tcPr>
            <w:tcW w:w="1013" w:type="dxa"/>
            <w:tcBorders>
              <w:tl2br w:val="nil"/>
              <w:tr2bl w:val="nil"/>
            </w:tcBorders>
            <w:shd w:val="clear" w:color="auto" w:fill="auto"/>
            <w:noWrap/>
            <w:vAlign w:val="center"/>
          </w:tcPr>
          <w:p w14:paraId="5FAF5B9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w:t>
            </w:r>
          </w:p>
        </w:tc>
        <w:tc>
          <w:tcPr>
            <w:tcW w:w="3198" w:type="dxa"/>
            <w:tcBorders>
              <w:tl2br w:val="nil"/>
              <w:tr2bl w:val="nil"/>
            </w:tcBorders>
            <w:shd w:val="clear" w:color="auto" w:fill="auto"/>
            <w:noWrap/>
            <w:vAlign w:val="center"/>
          </w:tcPr>
          <w:p w14:paraId="6558B3B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https://github.com/hms-dbmi/UpSetR</w:t>
            </w:r>
          </w:p>
        </w:tc>
        <w:tc>
          <w:tcPr>
            <w:tcW w:w="2913" w:type="dxa"/>
            <w:tcBorders>
              <w:tl2br w:val="nil"/>
              <w:tr2bl w:val="nil"/>
            </w:tcBorders>
            <w:shd w:val="clear" w:color="auto" w:fill="auto"/>
            <w:noWrap/>
            <w:vAlign w:val="center"/>
          </w:tcPr>
          <w:p w14:paraId="16F2B4B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w:t>
            </w:r>
            <w:r>
              <w:rPr>
                <w:rFonts w:hint="eastAsia" w:cs="Times New Roman"/>
                <w:color w:val="000000" w:themeColor="text1"/>
                <w:kern w:val="0"/>
                <w:szCs w:val="21"/>
                <w14:textFill>
                  <w14:solidFill>
                    <w14:schemeClr w14:val="tx1"/>
                  </w14:solidFill>
                </w14:textFill>
              </w:rPr>
              <w:t>pset图</w:t>
            </w:r>
          </w:p>
        </w:tc>
      </w:tr>
      <w:tr w14:paraId="3FE53A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ED738F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pheatmap</w:t>
            </w:r>
          </w:p>
        </w:tc>
        <w:tc>
          <w:tcPr>
            <w:tcW w:w="1013" w:type="dxa"/>
            <w:tcBorders>
              <w:tl2br w:val="nil"/>
              <w:tr2bl w:val="nil"/>
            </w:tcBorders>
            <w:shd w:val="clear" w:color="auto" w:fill="auto"/>
            <w:noWrap/>
            <w:vAlign w:val="center"/>
          </w:tcPr>
          <w:p w14:paraId="31B1A12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1.0.12</w:t>
            </w:r>
          </w:p>
        </w:tc>
        <w:tc>
          <w:tcPr>
            <w:tcW w:w="3198" w:type="dxa"/>
            <w:tcBorders>
              <w:tl2br w:val="nil"/>
              <w:tr2bl w:val="nil"/>
            </w:tcBorders>
            <w:shd w:val="clear" w:color="auto" w:fill="auto"/>
            <w:noWrap/>
            <w:vAlign w:val="center"/>
          </w:tcPr>
          <w:p w14:paraId="0680BA0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https://cran.r-project.org/web/packages/pheatmap/index.html</w:t>
            </w:r>
          </w:p>
        </w:tc>
        <w:tc>
          <w:tcPr>
            <w:tcW w:w="2913" w:type="dxa"/>
            <w:tcBorders>
              <w:tl2br w:val="nil"/>
              <w:tr2bl w:val="nil"/>
            </w:tcBorders>
            <w:shd w:val="clear" w:color="auto" w:fill="auto"/>
            <w:noWrap/>
            <w:vAlign w:val="center"/>
          </w:tcPr>
          <w:p w14:paraId="136C618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热图</w:t>
            </w:r>
          </w:p>
        </w:tc>
      </w:tr>
      <w:tr w14:paraId="2A8BAA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5806DEC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ropls</w:t>
            </w:r>
          </w:p>
        </w:tc>
        <w:tc>
          <w:tcPr>
            <w:tcW w:w="1013" w:type="dxa"/>
            <w:tcBorders>
              <w:tl2br w:val="nil"/>
              <w:tr2bl w:val="nil"/>
            </w:tcBorders>
            <w:shd w:val="clear" w:color="auto" w:fill="auto"/>
            <w:noWrap/>
            <w:vAlign w:val="center"/>
          </w:tcPr>
          <w:p w14:paraId="1A9D12D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1.32.0</w:t>
            </w:r>
          </w:p>
        </w:tc>
        <w:tc>
          <w:tcPr>
            <w:tcW w:w="3198" w:type="dxa"/>
            <w:tcBorders>
              <w:tl2br w:val="nil"/>
              <w:tr2bl w:val="nil"/>
            </w:tcBorders>
            <w:shd w:val="clear" w:color="auto" w:fill="auto"/>
            <w:noWrap/>
            <w:vAlign w:val="center"/>
          </w:tcPr>
          <w:p w14:paraId="16E7C14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https://bioconductor.org/packages/release/bioc/html/ropls.html</w:t>
            </w:r>
          </w:p>
        </w:tc>
        <w:tc>
          <w:tcPr>
            <w:tcW w:w="2913" w:type="dxa"/>
            <w:tcBorders>
              <w:tl2br w:val="nil"/>
              <w:tr2bl w:val="nil"/>
            </w:tcBorders>
            <w:shd w:val="clear" w:color="auto" w:fill="auto"/>
            <w:noWrap/>
            <w:vAlign w:val="center"/>
          </w:tcPr>
          <w:p w14:paraId="53EF9DF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多维统计分析</w:t>
            </w:r>
          </w:p>
        </w:tc>
      </w:tr>
      <w:tr w14:paraId="297798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B2927A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ggtree</w:t>
            </w:r>
          </w:p>
        </w:tc>
        <w:tc>
          <w:tcPr>
            <w:tcW w:w="1013" w:type="dxa"/>
            <w:tcBorders>
              <w:tl2br w:val="nil"/>
              <w:tr2bl w:val="nil"/>
            </w:tcBorders>
            <w:shd w:val="clear" w:color="auto" w:fill="auto"/>
            <w:noWrap/>
            <w:vAlign w:val="center"/>
          </w:tcPr>
          <w:p w14:paraId="04E31E8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3.6.0</w:t>
            </w:r>
          </w:p>
        </w:tc>
        <w:tc>
          <w:tcPr>
            <w:tcW w:w="3198" w:type="dxa"/>
            <w:tcBorders>
              <w:tl2br w:val="nil"/>
              <w:tr2bl w:val="nil"/>
            </w:tcBorders>
            <w:shd w:val="clear" w:color="auto" w:fill="auto"/>
            <w:noWrap/>
            <w:vAlign w:val="center"/>
          </w:tcPr>
          <w:p w14:paraId="18176B0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https://github.com/YuLab-SMU/ggtree</w:t>
            </w:r>
          </w:p>
        </w:tc>
        <w:tc>
          <w:tcPr>
            <w:tcW w:w="2913" w:type="dxa"/>
            <w:tcBorders>
              <w:tl2br w:val="nil"/>
              <w:tr2bl w:val="nil"/>
            </w:tcBorders>
            <w:shd w:val="clear" w:color="auto" w:fill="auto"/>
            <w:noWrap/>
            <w:vAlign w:val="center"/>
          </w:tcPr>
          <w:p w14:paraId="5572A0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树图</w:t>
            </w:r>
          </w:p>
        </w:tc>
      </w:tr>
      <w:tr w14:paraId="7CE8B1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6C27B18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corrplot</w:t>
            </w:r>
          </w:p>
        </w:tc>
        <w:tc>
          <w:tcPr>
            <w:tcW w:w="1013" w:type="dxa"/>
            <w:tcBorders>
              <w:tl2br w:val="nil"/>
              <w:tr2bl w:val="nil"/>
            </w:tcBorders>
            <w:shd w:val="clear" w:color="auto" w:fill="auto"/>
            <w:noWrap/>
            <w:vAlign w:val="center"/>
          </w:tcPr>
          <w:p w14:paraId="49D3769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0.92</w:t>
            </w:r>
          </w:p>
        </w:tc>
        <w:tc>
          <w:tcPr>
            <w:tcW w:w="3198" w:type="dxa"/>
            <w:tcBorders>
              <w:tl2br w:val="nil"/>
              <w:tr2bl w:val="nil"/>
            </w:tcBorders>
            <w:shd w:val="clear" w:color="auto" w:fill="auto"/>
            <w:noWrap/>
            <w:vAlign w:val="center"/>
          </w:tcPr>
          <w:p w14:paraId="50796F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https://cran.r-project.org/web/packages/corrplot/index.html</w:t>
            </w:r>
          </w:p>
        </w:tc>
        <w:tc>
          <w:tcPr>
            <w:tcW w:w="2913" w:type="dxa"/>
            <w:tcBorders>
              <w:tl2br w:val="nil"/>
              <w:tr2bl w:val="nil"/>
            </w:tcBorders>
            <w:shd w:val="clear" w:color="auto" w:fill="auto"/>
            <w:noWrap/>
            <w:vAlign w:val="center"/>
          </w:tcPr>
          <w:p w14:paraId="5DAACF8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相关性热图</w:t>
            </w:r>
          </w:p>
        </w:tc>
      </w:tr>
      <w:tr w14:paraId="37A206F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05FB03E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metagenomeSeq</w:t>
            </w:r>
          </w:p>
        </w:tc>
        <w:tc>
          <w:tcPr>
            <w:tcW w:w="1013" w:type="dxa"/>
            <w:tcBorders>
              <w:tl2br w:val="nil"/>
              <w:tr2bl w:val="nil"/>
            </w:tcBorders>
            <w:shd w:val="clear" w:color="auto" w:fill="auto"/>
            <w:noWrap/>
            <w:vAlign w:val="center"/>
          </w:tcPr>
          <w:p w14:paraId="09D1B8B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1.40.0</w:t>
            </w:r>
          </w:p>
        </w:tc>
        <w:tc>
          <w:tcPr>
            <w:tcW w:w="3198" w:type="dxa"/>
            <w:tcBorders>
              <w:tl2br w:val="nil"/>
              <w:tr2bl w:val="nil"/>
            </w:tcBorders>
            <w:shd w:val="clear" w:color="auto" w:fill="auto"/>
            <w:noWrap/>
            <w:vAlign w:val="center"/>
          </w:tcPr>
          <w:p w14:paraId="4DA831B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https://github.com/HCBravoLab/metagenomeSeq</w:t>
            </w:r>
          </w:p>
        </w:tc>
        <w:tc>
          <w:tcPr>
            <w:tcW w:w="2913" w:type="dxa"/>
            <w:tcBorders>
              <w:tl2br w:val="nil"/>
              <w:tr2bl w:val="nil"/>
            </w:tcBorders>
            <w:shd w:val="clear" w:color="auto" w:fill="auto"/>
            <w:noWrap/>
            <w:vAlign w:val="center"/>
          </w:tcPr>
          <w:p w14:paraId="48887FF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szCs w:val="21"/>
                <w14:textFill>
                  <w14:solidFill>
                    <w14:schemeClr w14:val="tx1"/>
                  </w14:solidFill>
                </w14:textFill>
              </w:rPr>
              <w:t>metagenomeSeq分析</w:t>
            </w:r>
          </w:p>
        </w:tc>
      </w:tr>
    </w:tbl>
    <w:p w14:paraId="5DF107B7">
      <w:pPr>
        <w:pStyle w:val="40"/>
      </w:pPr>
      <w:bookmarkStart w:id="219" w:name="_Toc30858"/>
      <w:r>
        <w:rPr>
          <w:rFonts w:hint="eastAsia"/>
          <w:bCs w:val="0"/>
        </w:rPr>
        <w:t>1</w:t>
      </w:r>
      <w:r>
        <w:rPr>
          <w:rFonts w:hint="eastAsia"/>
          <w:bCs w:val="0"/>
          <w:lang w:val="en-US" w:eastAsia="zh-CN"/>
        </w:rPr>
        <w:t>7</w:t>
      </w:r>
      <w:r>
        <w:rPr>
          <w:bCs w:val="0"/>
        </w:rPr>
        <w:t xml:space="preserve">. </w:t>
      </w:r>
      <w:r>
        <w:rPr>
          <w:rFonts w:hint="eastAsia"/>
        </w:rPr>
        <w:t>文件位置</w:t>
      </w:r>
      <w:bookmarkEnd w:id="219"/>
    </w:p>
    <w:p w14:paraId="02C1F238">
      <w:pPr>
        <w:ind w:firstLine="420"/>
        <w:rPr>
          <w:rFonts w:cs="Times New Roman"/>
        </w:rPr>
      </w:pPr>
      <w:r>
        <w:rPr>
          <w:rFonts w:hint="eastAsia" w:cs="Times New Roman"/>
        </w:rPr>
        <w:t>详见README文件</w:t>
      </w:r>
    </w:p>
    <w:p w14:paraId="6575EFAF">
      <w:pPr>
        <w:ind w:firstLine="420"/>
        <w:rPr>
          <w:rFonts w:cs="Times New Roman"/>
        </w:rPr>
      </w:pPr>
      <w:r>
        <w:rPr>
          <w:rFonts w:hint="eastAsia" w:cs="Times New Roman"/>
        </w:rPr>
        <w:t>结果目录：Result/README.txt</w:t>
      </w:r>
    </w:p>
    <w:p w14:paraId="78790642">
      <w:pPr>
        <w:pStyle w:val="40"/>
      </w:pPr>
      <w:bookmarkStart w:id="220" w:name="_Toc8281"/>
      <w:r>
        <w:rPr>
          <w:rFonts w:hint="eastAsia"/>
          <w:bCs w:val="0"/>
        </w:rPr>
        <w:t>1</w:t>
      </w:r>
      <w:r>
        <w:rPr>
          <w:rFonts w:hint="eastAsia"/>
          <w:bCs w:val="0"/>
          <w:lang w:val="en-US" w:eastAsia="zh-CN"/>
        </w:rPr>
        <w:t>8</w:t>
      </w:r>
      <w:r>
        <w:rPr>
          <w:bCs w:val="0"/>
        </w:rPr>
        <w:t xml:space="preserve">. </w:t>
      </w:r>
      <w:r>
        <w:t>参考文献</w:t>
      </w:r>
      <w:bookmarkEnd w:id="186"/>
      <w:bookmarkEnd w:id="187"/>
      <w:bookmarkEnd w:id="188"/>
      <w:bookmarkEnd w:id="189"/>
      <w:bookmarkEnd w:id="220"/>
    </w:p>
    <w:p w14:paraId="55F20238">
      <w:pPr>
        <w:ind w:firstLine="420"/>
        <w:rPr>
          <w:rFonts w:cs="Times New Roman"/>
        </w:rPr>
      </w:pPr>
      <w:r>
        <w:rPr>
          <w:rFonts w:cs="Times New Roman"/>
        </w:rPr>
        <w:t>Bolger A M, Lohse M, Usadel B. Trimmomatic: a flexible trimmer for Illumina sequence data[J]. Bioinformatics, 2014, 30(15):2114-2120.</w:t>
      </w:r>
    </w:p>
    <w:p w14:paraId="404BFC14">
      <w:pPr>
        <w:ind w:firstLine="420"/>
        <w:rPr>
          <w:rFonts w:cs="Times New Roman"/>
        </w:rPr>
      </w:pPr>
      <w:r>
        <w:rPr>
          <w:rFonts w:cs="Times New Roman"/>
        </w:rPr>
        <w:t>Li D, Liu C M, Luo R, et al. MEGAHIT: an ultra-fast single-node solution for large and complex metagenomics assembly via succinct de Bruijn graph[J]. Bioinformatics, 2015, 31(10): 1674-1676.</w:t>
      </w:r>
    </w:p>
    <w:p w14:paraId="3E126E06">
      <w:pPr>
        <w:ind w:firstLine="420"/>
        <w:rPr>
          <w:rFonts w:cs="Times New Roman"/>
        </w:rPr>
      </w:pPr>
      <w:r>
        <w:rPr>
          <w:rFonts w:cs="Times New Roman"/>
        </w:rPr>
        <w:t>Li D, Luo R, Liu C M, et al. MEGAHIT v1. 0: a fast and scalable metagenome assembler driven by advanced methodologies and community practices[J]. Methods, 2016, 102: 3-11.</w:t>
      </w:r>
    </w:p>
    <w:p w14:paraId="64139F17">
      <w:pPr>
        <w:ind w:firstLine="420"/>
        <w:rPr>
          <w:rFonts w:cs="Times New Roman"/>
        </w:rPr>
      </w:pPr>
      <w:r>
        <w:rPr>
          <w:rFonts w:cs="Times New Roman"/>
        </w:rPr>
        <w:t>Land M L, Locascio PF, Chen G L, et al. Prodigal: prokaryotic gene recognition and translation initiation site identification[J]. Bmc Bioinformatics, 2010, 11(1):119-119.</w:t>
      </w:r>
    </w:p>
    <w:p w14:paraId="5FCB170F">
      <w:pPr>
        <w:ind w:firstLine="420"/>
        <w:rPr>
          <w:rFonts w:cs="Times New Roman"/>
        </w:rPr>
      </w:pPr>
      <w:r>
        <w:rPr>
          <w:rFonts w:cs="Times New Roman"/>
        </w:rPr>
        <w:t>Qin J J, Li R Q, Raes J J, et al. Qin J, Li R, Raes J, et al. A human gut microbial gene catalogue established by metagenomic sequencing[J]. Nature, 2010, 464(7285):59-65.</w:t>
      </w:r>
    </w:p>
    <w:p w14:paraId="0D409543">
      <w:pPr>
        <w:ind w:firstLine="420"/>
        <w:rPr>
          <w:rFonts w:cs="Times New Roman"/>
        </w:rPr>
      </w:pPr>
      <w:r>
        <w:rPr>
          <w:rFonts w:cs="Times New Roman"/>
        </w:rPr>
        <w:t>Zeller G, Tap J, Voigt A Y, et al. Potential of fecal microbiota for early-stage detection of colorectalcancer[J]. Molecular Systems Biology, 2015, 10(11):766.</w:t>
      </w:r>
    </w:p>
    <w:p w14:paraId="01AAD3A8">
      <w:pPr>
        <w:ind w:firstLine="420"/>
        <w:rPr>
          <w:rFonts w:cs="Times New Roman"/>
        </w:rPr>
      </w:pPr>
      <w:r>
        <w:rPr>
          <w:rFonts w:cs="Times New Roman"/>
        </w:rPr>
        <w:t>Villar E, Farrant G K, Follows M, et al. Ocean plankton. Environmental characteristics of Agulhas rings affect interocean plankton transport.[J]. Science, 2015, 348(6237):1261447.</w:t>
      </w:r>
    </w:p>
    <w:p w14:paraId="11867CDF">
      <w:pPr>
        <w:ind w:firstLine="420"/>
        <w:rPr>
          <w:rFonts w:cs="Times New Roman"/>
        </w:rPr>
      </w:pPr>
      <w:r>
        <w:rPr>
          <w:rFonts w:cs="Times New Roman"/>
        </w:rPr>
        <w:t>Cotillard A, Kennedy S P, Ling C K, et al. Corrigendum: Dietary intervention impact on gut microbial gene richness[J]. Nature, 2013, 500(7464):585-8.</w:t>
      </w:r>
    </w:p>
    <w:p w14:paraId="6F712A43">
      <w:pPr>
        <w:ind w:firstLine="420"/>
        <w:rPr>
          <w:rFonts w:cs="Times New Roman"/>
        </w:rPr>
      </w:pPr>
      <w:r>
        <w:rPr>
          <w:rFonts w:cs="Times New Roman"/>
        </w:rPr>
        <w:t>Le C E, Nielsen T, Qin J, et al. Richness of human gut microbiome correlates with metabolic markers[J]. Nature, 2013, 500(7464):541-6.</w:t>
      </w:r>
    </w:p>
    <w:p w14:paraId="636F4679">
      <w:pPr>
        <w:ind w:firstLine="420"/>
        <w:rPr>
          <w:rFonts w:cs="Times New Roman"/>
        </w:rPr>
      </w:pPr>
      <w:r>
        <w:rPr>
          <w:rFonts w:cs="Times New Roman"/>
        </w:rPr>
        <w:t>Benjamin Buchfink, Chao Xie &amp; Daniel H. Huson, Fast and Sensitive Protein Alignment using DIAMOND, Nature Methods, 12, 59–60 (2015) doi:10.1038/nmeth.3176.</w:t>
      </w:r>
    </w:p>
    <w:p w14:paraId="3EEF6CCB">
      <w:pPr>
        <w:ind w:firstLine="420"/>
        <w:rPr>
          <w:rFonts w:cs="Times New Roman"/>
        </w:rPr>
      </w:pPr>
      <w:r>
        <w:rPr>
          <w:rFonts w:cs="Times New Roman"/>
        </w:rPr>
        <w:t>Ondov B D, Bergman N H, Phillippy A M. Interactive metagenomic visualization in a Web browser.[J]. BMC Bioinformatics,12,1(2011-09-30), 2011, 12(1):385.</w:t>
      </w:r>
    </w:p>
    <w:p w14:paraId="022D839D">
      <w:pPr>
        <w:ind w:firstLine="420"/>
        <w:rPr>
          <w:rFonts w:cs="Times New Roman"/>
        </w:rPr>
      </w:pPr>
      <w:r>
        <w:rPr>
          <w:rFonts w:cs="Times New Roman"/>
        </w:rPr>
        <w:t>Avershina E, Frisli T, Rudi K. De novo Semi-alignment of 16S rRNA Gene Sequences for Deep Phylogenetic Characterization of Next Generation Sequencing Data[J]. Microbes &amp; Environments, 2013, 28(2):211-216.</w:t>
      </w:r>
    </w:p>
    <w:p w14:paraId="271EC5AD">
      <w:pPr>
        <w:ind w:firstLine="420"/>
        <w:rPr>
          <w:rFonts w:cs="Times New Roman"/>
        </w:rPr>
      </w:pPr>
      <w:r>
        <w:rPr>
          <w:rFonts w:cs="Times New Roman"/>
        </w:rPr>
        <w:t>Noval R M, Burton O T, Wise P, et al. A microbiota signature associated with experimental food allergy promotes allergic sensitization and anaphylaxis[J]. Journal of Allergy &amp; Clinical Immunology, 2013, 131(1):201-212.</w:t>
      </w:r>
    </w:p>
    <w:p w14:paraId="629234B2">
      <w:pPr>
        <w:ind w:firstLine="420"/>
        <w:rPr>
          <w:rFonts w:cs="Times New Roman"/>
        </w:rPr>
      </w:pPr>
      <w:r>
        <w:rPr>
          <w:rFonts w:cs="Times New Roman"/>
        </w:rPr>
        <w:t>White J R, Nagarajan N, Pop M. Statistical Methods for Detecting Differentially Abundant Features in Clinical Metagenomic Samples[J]. Plos Computational Biology, 2009, 5(4):e1000352.</w:t>
      </w:r>
    </w:p>
    <w:p w14:paraId="1DFC8003">
      <w:pPr>
        <w:ind w:firstLine="420"/>
        <w:rPr>
          <w:rFonts w:cs="Times New Roman"/>
        </w:rPr>
      </w:pPr>
      <w:r>
        <w:rPr>
          <w:rFonts w:cs="Times New Roman"/>
        </w:rPr>
        <w:t>Segata N, Izard J, Waldron L, et al. Metagenomic biomarker discovery and explanation.[J]. Genome Biology, 2011, 12(6):R60.</w:t>
      </w:r>
    </w:p>
    <w:p w14:paraId="7AC7A36A">
      <w:pPr>
        <w:ind w:firstLine="420"/>
        <w:rPr>
          <w:rFonts w:cs="Times New Roman"/>
        </w:rPr>
      </w:pPr>
      <w:r>
        <w:rPr>
          <w:rFonts w:cs="Times New Roman"/>
        </w:rPr>
        <w:t>Kanehisa M, Goto S, Hattori M, et al. From genomics to chemical genomics: new developments in KEGG.[J]. Nucleic Acids Research, 2006, 34(Database issue):FT454.</w:t>
      </w:r>
    </w:p>
    <w:p w14:paraId="57D51FC7">
      <w:pPr>
        <w:ind w:firstLine="420"/>
        <w:rPr>
          <w:rFonts w:cs="Times New Roman"/>
        </w:rPr>
      </w:pPr>
      <w:r>
        <w:rPr>
          <w:rFonts w:cs="Times New Roman"/>
        </w:rPr>
        <w:t>Kanehisa M, Goto S, Sato Y, et al. Data, information, knowledge and principle: back to metabolism in KEGG.[J]. Nucleic Acids Research, 2014, 42(Database issue):199-205.</w:t>
      </w:r>
    </w:p>
    <w:p w14:paraId="26310251">
      <w:pPr>
        <w:ind w:firstLine="420"/>
        <w:rPr>
          <w:rFonts w:cs="Times New Roman"/>
        </w:rPr>
      </w:pPr>
      <w:r>
        <w:rPr>
          <w:rFonts w:cs="Times New Roman"/>
        </w:rPr>
        <w:t>Powell S, Forslund K, Szklarczyk D, et al. eggNOG v4.0: nested orthology inference across 3686 organisms[J]. Nucleic Acids Research, 2014, 42(Database issue):231-9.</w:t>
      </w:r>
    </w:p>
    <w:p w14:paraId="41329BEB">
      <w:pPr>
        <w:ind w:firstLine="420"/>
        <w:rPr>
          <w:rFonts w:cs="Times New Roman"/>
        </w:rPr>
      </w:pPr>
      <w:r>
        <w:rPr>
          <w:rFonts w:cs="Times New Roman"/>
        </w:rPr>
        <w:t>Cantarel B L, Coutinho P M, Rancurel C, et al. The Carbohydrate-Active EnZymes database (CAZy): an expert resource for Glycogenomics[J]. Nucleic Acids Research, 2009, 37(Database issue):FT233.</w:t>
      </w:r>
    </w:p>
    <w:p w14:paraId="4D944C94">
      <w:pPr>
        <w:ind w:firstLine="420"/>
        <w:rPr>
          <w:rFonts w:cs="Times New Roman"/>
        </w:rPr>
      </w:pPr>
      <w:r>
        <w:rPr>
          <w:rFonts w:cs="Times New Roman"/>
        </w:rPr>
        <w:t>Bäckhed F, Roswall J, Peng Y, et al. Dynamics and Stabilization of the Human Gut Microbiome during the First Year of Life.[J]. Cell Host &amp; Microbe, 2015, 17(5):690-703.</w:t>
      </w:r>
    </w:p>
    <w:p w14:paraId="4D4AAB2C">
      <w:pPr>
        <w:ind w:firstLine="420"/>
        <w:rPr>
          <w:rFonts w:cs="Times New Roman"/>
        </w:rPr>
      </w:pPr>
      <w:r>
        <w:rPr>
          <w:rFonts w:cs="Times New Roman"/>
        </w:rPr>
        <w:t>Qin J, Li Y, Cai Z, et al. A metagenome-wide association study of gut microbiota in type 2 diabetes.[J]. Nature, 2012, 490(7418):55-60.</w:t>
      </w:r>
    </w:p>
    <w:p w14:paraId="449595EB">
      <w:pPr>
        <w:ind w:firstLine="420"/>
        <w:rPr>
          <w:rFonts w:cs="Times New Roman"/>
        </w:rPr>
      </w:pPr>
      <w:r>
        <w:rPr>
          <w:rFonts w:cs="Times New Roman"/>
        </w:rPr>
        <w:t>Karlsson FH; Tremaroli V; Nookaew I; Bergström G; Behre CJ; Fagerberg B; Nielsen J; Bäckhed F. Gut metagenome in European women with normal, impaired and diabetic glucose control.[J]. Nature, 2013, 498(7452):99-103.</w:t>
      </w:r>
    </w:p>
    <w:p w14:paraId="39A53788">
      <w:pPr>
        <w:ind w:firstLine="420"/>
        <w:rPr>
          <w:rFonts w:cs="Times New Roman"/>
        </w:rPr>
      </w:pPr>
      <w:r>
        <w:rPr>
          <w:rFonts w:cs="Times New Roman"/>
        </w:rPr>
        <w:t>Karlsson F H, Fåk F, Nookaew I, et al. Symptomatic atherosclerosis is associated with an altered gut metagenome[J]. Nature Communications, 2012, 3(4):1245.</w:t>
      </w:r>
    </w:p>
    <w:p w14:paraId="12502A1C">
      <w:pPr>
        <w:ind w:firstLine="420"/>
        <w:rPr>
          <w:rFonts w:cs="Times New Roman"/>
        </w:rPr>
      </w:pPr>
      <w:r>
        <w:rPr>
          <w:rFonts w:cs="Times New Roman"/>
        </w:rPr>
        <w:t>Xie C, Mao X, Huang J, et al. KOBAS 2.0: a web server for annotation and identification of enriched pathways and diseases[J]. Nucleic Acids Research, 2011, 39(Web Server issue):316-22.</w:t>
      </w:r>
    </w:p>
    <w:p w14:paraId="286C3583">
      <w:pPr>
        <w:ind w:firstLine="420"/>
        <w:rPr>
          <w:rFonts w:cs="Times New Roman"/>
        </w:rPr>
      </w:pPr>
      <w:r>
        <w:rPr>
          <w:rFonts w:cs="Times New Roman"/>
        </w:rPr>
        <w:t>Mistry J, Finn R D, Eddy S R, et al. Challenges in homology search: HMMER3 and convergent evolution of coiled-coil regions.[J]. Nucleic Acids Research, 2013, 41(12):e121-e121.</w:t>
      </w:r>
    </w:p>
    <w:p w14:paraId="5A4DA50D">
      <w:pPr>
        <w:ind w:firstLine="420"/>
        <w:rPr>
          <w:rFonts w:cs="Times New Roman"/>
        </w:rPr>
      </w:pPr>
      <w:r>
        <w:rPr>
          <w:rFonts w:cs="Times New Roman"/>
        </w:rPr>
        <w:t>Altschul, S.F., Gish, W., Miller, et al. Basic local alignment search tool[J]. Journal of Molecular Biology, 1990, 215(3): 403-410.</w:t>
      </w:r>
    </w:p>
    <w:p w14:paraId="6FC1C1FB">
      <w:pPr>
        <w:ind w:firstLine="420"/>
        <w:rPr>
          <w:rFonts w:cs="Times New Roman"/>
        </w:rPr>
      </w:pPr>
      <w:r>
        <w:rPr>
          <w:rFonts w:cs="Times New Roman"/>
        </w:rPr>
        <w:t>Chen L, Jian Y, Yu J, et al. VFDB: a reference database for bacterial virulence factors[J]. Nucleic Acids Research, 2005, 33(Database issue):FT425-FT428.</w:t>
      </w:r>
    </w:p>
    <w:p w14:paraId="773BA75A">
      <w:pPr>
        <w:ind w:firstLine="420"/>
        <w:rPr>
          <w:rFonts w:cs="Times New Roman"/>
        </w:rPr>
      </w:pPr>
      <w:r>
        <w:rPr>
          <w:rFonts w:cs="Times New Roman"/>
        </w:rPr>
        <w:t>WinneMW1urg R, Baldwin T K, Urban M, et al. PHI-base: a new database for pathogen host interactions.[J]. Nucleic Acids Research, 2006, 34(Database issue):M1G59.</w:t>
      </w:r>
    </w:p>
    <w:sectPr>
      <w:headerReference r:id="rId12" w:type="first"/>
      <w:headerReference r:id="rId11" w:type="default"/>
      <w:foot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E781B">
    <w:pPr>
      <w:pStyle w:val="1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2C749">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20696">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CC616">
    <w:pPr>
      <w:pStyle w:val="12"/>
      <w:spacing w:before="120" w:after="120"/>
      <w:ind w:firstLine="360"/>
      <w:jc w:val="center"/>
    </w:pPr>
    <w:r>
      <w:rPr>
        <w:rFonts w:hint="eastAsia"/>
      </w:rPr>
      <w:t>第</w:t>
    </w:r>
    <w:sdt>
      <w:sdtPr>
        <w:id w:val="-1052844179"/>
      </w:sdtPr>
      <w:sdtContent>
        <w:r>
          <w:fldChar w:fldCharType="begin"/>
        </w:r>
        <w:r>
          <w:instrText xml:space="preserve">PAGE   \* MERGEFORMAT</w:instrText>
        </w:r>
        <w:r>
          <w:fldChar w:fldCharType="separate"/>
        </w:r>
        <w:r>
          <w:rPr>
            <w:lang w:val="zh-CN"/>
          </w:rPr>
          <w:t>2</w:t>
        </w:r>
        <w:r>
          <w:fldChar w:fldCharType="end"/>
        </w:r>
        <w:r>
          <w:rPr>
            <w:rFonts w:hint="eastAsia"/>
          </w:rPr>
          <w:t>页</w:t>
        </w:r>
      </w:sdtContent>
    </w:sdt>
  </w:p>
  <w:p w14:paraId="6287EE97">
    <w:pPr>
      <w:pStyle w:val="12"/>
      <w:ind w:firstLine="0" w:firstLineChars="0"/>
    </w:pPr>
    <w:r>
      <w:rPr>
        <w:rFonts w:cs="Times New Roman"/>
        <w:b/>
        <w:bCs/>
      </w:rPr>
      <w:drawing>
        <wp:anchor distT="0" distB="0" distL="114300" distR="114300" simplePos="0" relativeHeight="251659264" behindDoc="1" locked="0" layoutInCell="1" allowOverlap="1">
          <wp:simplePos x="0" y="0"/>
          <wp:positionH relativeFrom="page">
            <wp:align>right</wp:align>
          </wp:positionH>
          <wp:positionV relativeFrom="paragraph">
            <wp:posOffset>160020</wp:posOffset>
          </wp:positionV>
          <wp:extent cx="7554595" cy="586105"/>
          <wp:effectExtent l="0" t="0" r="0"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4563" cy="58606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B8CFD">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038A7">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42850">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3E5A1">
    <w:pPr>
      <w:pStyle w:val="13"/>
      <w:pBdr>
        <w:bottom w:val="single" w:color="auto" w:sz="6" w:space="0"/>
      </w:pBdr>
      <w:spacing w:before="100" w:beforeAutospacing="1"/>
      <w:rPr>
        <w:rFonts w:ascii="黑体" w:hAnsi="黑体" w:eastAsia="黑体"/>
        <w:sz w:val="24"/>
        <w:szCs w:val="24"/>
      </w:rPr>
    </w:pPr>
    <w:r>
      <w:rPr>
        <w:rFonts w:ascii="Times New Roman" w:hAnsi="Times New Roman" w:cs="Times New Roman"/>
        <w:szCs w:val="21"/>
      </w:rPr>
      <w:drawing>
        <wp:anchor distT="0" distB="0" distL="114300" distR="114300" simplePos="0" relativeHeight="251660288" behindDoc="1" locked="0" layoutInCell="1" allowOverlap="1">
          <wp:simplePos x="0" y="0"/>
          <wp:positionH relativeFrom="margin">
            <wp:posOffset>-83820</wp:posOffset>
          </wp:positionH>
          <wp:positionV relativeFrom="paragraph">
            <wp:posOffset>-349250</wp:posOffset>
          </wp:positionV>
          <wp:extent cx="841375" cy="535305"/>
          <wp:effectExtent l="0" t="0" r="0" b="0"/>
          <wp:wrapNone/>
          <wp:docPr id="26" name="图片 26"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anshu logo - 副本"/>
                  <pic:cNvPicPr>
                    <a:picLocks noChangeAspect="1" noChangeArrowheads="1"/>
                  </pic:cNvPicPr>
                </pic:nvPicPr>
                <pic:blipFill>
                  <a:blip r:embed="rId1" cstate="print">
                    <a:extLst>
                      <a:ext uri="{28A0092B-C50C-407E-A947-70E740481C1C}">
                        <a14:useLocalDpi xmlns:a14="http://schemas.microsoft.com/office/drawing/2010/main" val="0"/>
                      </a:ext>
                    </a:extLst>
                  </a:blip>
                  <a:srcRect b="22156"/>
                  <a:stretch>
                    <a:fillRect/>
                  </a:stretch>
                </pic:blipFill>
                <pic:spPr>
                  <a:xfrm>
                    <a:off x="0" y="0"/>
                    <a:ext cx="841086" cy="535594"/>
                  </a:xfrm>
                  <a:prstGeom prst="rect">
                    <a:avLst/>
                  </a:prstGeom>
                  <a:noFill/>
                  <a:ln>
                    <a:noFill/>
                  </a:ln>
                </pic:spPr>
              </pic:pic>
            </a:graphicData>
          </a:graphic>
        </wp:anchor>
      </w:drawing>
    </w:r>
    <w:r>
      <w:rPr>
        <w:rFonts w:ascii="黑体" w:hAnsi="黑体" w:eastAsia="黑体"/>
        <w:sz w:val="16"/>
        <w:szCs w:val="16"/>
      </w:rPr>
      <w:drawing>
        <wp:anchor distT="0" distB="0" distL="114300" distR="114300" simplePos="0" relativeHeight="251661312" behindDoc="1" locked="0" layoutInCell="1" allowOverlap="1">
          <wp:simplePos x="0" y="0"/>
          <wp:positionH relativeFrom="margin">
            <wp:posOffset>4716780</wp:posOffset>
          </wp:positionH>
          <wp:positionV relativeFrom="paragraph">
            <wp:posOffset>-305435</wp:posOffset>
          </wp:positionV>
          <wp:extent cx="539115" cy="486410"/>
          <wp:effectExtent l="0" t="0" r="0" b="8890"/>
          <wp:wrapNone/>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39115" cy="486410"/>
                  </a:xfrm>
                  <a:prstGeom prst="rect">
                    <a:avLst/>
                  </a:prstGeom>
                </pic:spPr>
              </pic:pic>
            </a:graphicData>
          </a:graphic>
        </wp:anchor>
      </w:drawing>
    </w:r>
    <w:r>
      <w:rPr>
        <w:rFonts w:hint="eastAsia" w:ascii="黑体" w:hAnsi="黑体" w:eastAsia="黑体"/>
        <w:sz w:val="24"/>
        <w:szCs w:val="24"/>
      </w:rPr>
      <w:t>宏基因组测序检测报告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7CC75">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1000F6"/>
    <w:multiLevelType w:val="multilevel"/>
    <w:tmpl w:val="381000F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zZmIzMDQxODBjNTE4YWRiOTU3YmFkN2RkODllZjAifQ=="/>
  </w:docVars>
  <w:rsids>
    <w:rsidRoot w:val="00105D63"/>
    <w:rsid w:val="00001424"/>
    <w:rsid w:val="00001461"/>
    <w:rsid w:val="00004547"/>
    <w:rsid w:val="000048AE"/>
    <w:rsid w:val="0001626B"/>
    <w:rsid w:val="00016441"/>
    <w:rsid w:val="00020FD3"/>
    <w:rsid w:val="00024268"/>
    <w:rsid w:val="00026419"/>
    <w:rsid w:val="00026656"/>
    <w:rsid w:val="00032118"/>
    <w:rsid w:val="000329F2"/>
    <w:rsid w:val="00032EB2"/>
    <w:rsid w:val="00034492"/>
    <w:rsid w:val="00035918"/>
    <w:rsid w:val="00036DA9"/>
    <w:rsid w:val="00037E36"/>
    <w:rsid w:val="000410BC"/>
    <w:rsid w:val="000413B6"/>
    <w:rsid w:val="00044911"/>
    <w:rsid w:val="00045092"/>
    <w:rsid w:val="00046352"/>
    <w:rsid w:val="0005120E"/>
    <w:rsid w:val="00052F26"/>
    <w:rsid w:val="00054A2D"/>
    <w:rsid w:val="00055464"/>
    <w:rsid w:val="000602B8"/>
    <w:rsid w:val="00060B52"/>
    <w:rsid w:val="00061EBB"/>
    <w:rsid w:val="0006435B"/>
    <w:rsid w:val="000650A3"/>
    <w:rsid w:val="000655E2"/>
    <w:rsid w:val="00067FEB"/>
    <w:rsid w:val="00070E88"/>
    <w:rsid w:val="00071D73"/>
    <w:rsid w:val="00074E6C"/>
    <w:rsid w:val="00075446"/>
    <w:rsid w:val="00075543"/>
    <w:rsid w:val="000807A4"/>
    <w:rsid w:val="000816BC"/>
    <w:rsid w:val="00081B89"/>
    <w:rsid w:val="00081BDA"/>
    <w:rsid w:val="00083879"/>
    <w:rsid w:val="00083D14"/>
    <w:rsid w:val="00084259"/>
    <w:rsid w:val="00084739"/>
    <w:rsid w:val="000855E9"/>
    <w:rsid w:val="000904AF"/>
    <w:rsid w:val="000925A7"/>
    <w:rsid w:val="00095AF1"/>
    <w:rsid w:val="00096DA8"/>
    <w:rsid w:val="00096F8A"/>
    <w:rsid w:val="000A1B73"/>
    <w:rsid w:val="000A3A44"/>
    <w:rsid w:val="000A3E9F"/>
    <w:rsid w:val="000B021E"/>
    <w:rsid w:val="000B02E0"/>
    <w:rsid w:val="000B16BA"/>
    <w:rsid w:val="000B3E42"/>
    <w:rsid w:val="000C1381"/>
    <w:rsid w:val="000C271A"/>
    <w:rsid w:val="000C53C5"/>
    <w:rsid w:val="000C7EB0"/>
    <w:rsid w:val="000D1803"/>
    <w:rsid w:val="000D5DCA"/>
    <w:rsid w:val="000E23E4"/>
    <w:rsid w:val="000E69EF"/>
    <w:rsid w:val="000E71C1"/>
    <w:rsid w:val="000E7214"/>
    <w:rsid w:val="000F3A5C"/>
    <w:rsid w:val="000F3A62"/>
    <w:rsid w:val="000F59DF"/>
    <w:rsid w:val="000F7B89"/>
    <w:rsid w:val="00102CC6"/>
    <w:rsid w:val="00105D63"/>
    <w:rsid w:val="001069B8"/>
    <w:rsid w:val="00106D09"/>
    <w:rsid w:val="00106E0A"/>
    <w:rsid w:val="00107F00"/>
    <w:rsid w:val="00111144"/>
    <w:rsid w:val="0012353C"/>
    <w:rsid w:val="001238DF"/>
    <w:rsid w:val="00124126"/>
    <w:rsid w:val="001256DE"/>
    <w:rsid w:val="00125C1B"/>
    <w:rsid w:val="001319C9"/>
    <w:rsid w:val="001333FD"/>
    <w:rsid w:val="001336E8"/>
    <w:rsid w:val="00140443"/>
    <w:rsid w:val="0014096E"/>
    <w:rsid w:val="00140F37"/>
    <w:rsid w:val="00142B7C"/>
    <w:rsid w:val="00144BA6"/>
    <w:rsid w:val="00145CB0"/>
    <w:rsid w:val="00152AAD"/>
    <w:rsid w:val="001576BE"/>
    <w:rsid w:val="00162C1A"/>
    <w:rsid w:val="00164CB1"/>
    <w:rsid w:val="00170424"/>
    <w:rsid w:val="00170A77"/>
    <w:rsid w:val="00172150"/>
    <w:rsid w:val="0017397C"/>
    <w:rsid w:val="001838F0"/>
    <w:rsid w:val="0018424C"/>
    <w:rsid w:val="00187130"/>
    <w:rsid w:val="00187F20"/>
    <w:rsid w:val="00191088"/>
    <w:rsid w:val="00193747"/>
    <w:rsid w:val="001948C3"/>
    <w:rsid w:val="00196CD0"/>
    <w:rsid w:val="001A09F7"/>
    <w:rsid w:val="001A0C4D"/>
    <w:rsid w:val="001A1B48"/>
    <w:rsid w:val="001A6214"/>
    <w:rsid w:val="001A752B"/>
    <w:rsid w:val="001B0AEC"/>
    <w:rsid w:val="001B3D03"/>
    <w:rsid w:val="001B63B7"/>
    <w:rsid w:val="001C207B"/>
    <w:rsid w:val="001C5BF4"/>
    <w:rsid w:val="001C5E6E"/>
    <w:rsid w:val="001C6622"/>
    <w:rsid w:val="001D09EC"/>
    <w:rsid w:val="001D14A1"/>
    <w:rsid w:val="001D1C1B"/>
    <w:rsid w:val="001D2B5D"/>
    <w:rsid w:val="001D6D17"/>
    <w:rsid w:val="001D7A6F"/>
    <w:rsid w:val="001D7FF2"/>
    <w:rsid w:val="001E061F"/>
    <w:rsid w:val="001E2275"/>
    <w:rsid w:val="001E2632"/>
    <w:rsid w:val="001E4ABA"/>
    <w:rsid w:val="001E615F"/>
    <w:rsid w:val="001E642C"/>
    <w:rsid w:val="001E6D0C"/>
    <w:rsid w:val="001F20FD"/>
    <w:rsid w:val="001F2ED1"/>
    <w:rsid w:val="001F2F33"/>
    <w:rsid w:val="0020045E"/>
    <w:rsid w:val="00206AFA"/>
    <w:rsid w:val="00206F8B"/>
    <w:rsid w:val="00210CF9"/>
    <w:rsid w:val="002114E9"/>
    <w:rsid w:val="002123EC"/>
    <w:rsid w:val="00214802"/>
    <w:rsid w:val="002152F1"/>
    <w:rsid w:val="002239C5"/>
    <w:rsid w:val="00223A11"/>
    <w:rsid w:val="002351CE"/>
    <w:rsid w:val="00237830"/>
    <w:rsid w:val="00240DE1"/>
    <w:rsid w:val="002433BE"/>
    <w:rsid w:val="00246CF3"/>
    <w:rsid w:val="00251CC9"/>
    <w:rsid w:val="002539B1"/>
    <w:rsid w:val="002545C7"/>
    <w:rsid w:val="0025558F"/>
    <w:rsid w:val="00267DFF"/>
    <w:rsid w:val="002701BC"/>
    <w:rsid w:val="002705A2"/>
    <w:rsid w:val="00274830"/>
    <w:rsid w:val="00280374"/>
    <w:rsid w:val="00283037"/>
    <w:rsid w:val="00283285"/>
    <w:rsid w:val="0028448F"/>
    <w:rsid w:val="0029289B"/>
    <w:rsid w:val="00293CDA"/>
    <w:rsid w:val="00293EF0"/>
    <w:rsid w:val="00294CF8"/>
    <w:rsid w:val="002A2FB0"/>
    <w:rsid w:val="002B4A6A"/>
    <w:rsid w:val="002B523A"/>
    <w:rsid w:val="002B7F17"/>
    <w:rsid w:val="002C04BE"/>
    <w:rsid w:val="002C25C2"/>
    <w:rsid w:val="002C2D90"/>
    <w:rsid w:val="002C44D0"/>
    <w:rsid w:val="002C6098"/>
    <w:rsid w:val="002C649B"/>
    <w:rsid w:val="002D1F7F"/>
    <w:rsid w:val="002D4133"/>
    <w:rsid w:val="002D50E6"/>
    <w:rsid w:val="002D6D90"/>
    <w:rsid w:val="002E5093"/>
    <w:rsid w:val="002E5538"/>
    <w:rsid w:val="002F0FB7"/>
    <w:rsid w:val="002F167C"/>
    <w:rsid w:val="00301B11"/>
    <w:rsid w:val="00303351"/>
    <w:rsid w:val="00303D55"/>
    <w:rsid w:val="003070C3"/>
    <w:rsid w:val="00310D8C"/>
    <w:rsid w:val="00311099"/>
    <w:rsid w:val="00313554"/>
    <w:rsid w:val="003159A8"/>
    <w:rsid w:val="00320AD1"/>
    <w:rsid w:val="0033219A"/>
    <w:rsid w:val="00336199"/>
    <w:rsid w:val="00337675"/>
    <w:rsid w:val="003421D7"/>
    <w:rsid w:val="00342832"/>
    <w:rsid w:val="00342DDF"/>
    <w:rsid w:val="00343818"/>
    <w:rsid w:val="00345744"/>
    <w:rsid w:val="00346E39"/>
    <w:rsid w:val="0035020B"/>
    <w:rsid w:val="00351E55"/>
    <w:rsid w:val="00352025"/>
    <w:rsid w:val="003549F6"/>
    <w:rsid w:val="00355CFF"/>
    <w:rsid w:val="0035729E"/>
    <w:rsid w:val="00357704"/>
    <w:rsid w:val="003608F6"/>
    <w:rsid w:val="0036126E"/>
    <w:rsid w:val="0036211C"/>
    <w:rsid w:val="00364E68"/>
    <w:rsid w:val="00364F21"/>
    <w:rsid w:val="00366198"/>
    <w:rsid w:val="0037346C"/>
    <w:rsid w:val="00374AE5"/>
    <w:rsid w:val="0037615B"/>
    <w:rsid w:val="003778E9"/>
    <w:rsid w:val="00380ED4"/>
    <w:rsid w:val="003843DC"/>
    <w:rsid w:val="00387419"/>
    <w:rsid w:val="00391FE9"/>
    <w:rsid w:val="003921AD"/>
    <w:rsid w:val="00392C34"/>
    <w:rsid w:val="00394299"/>
    <w:rsid w:val="0039497E"/>
    <w:rsid w:val="00395801"/>
    <w:rsid w:val="003967E9"/>
    <w:rsid w:val="00397994"/>
    <w:rsid w:val="003A08C5"/>
    <w:rsid w:val="003A6025"/>
    <w:rsid w:val="003A6F8E"/>
    <w:rsid w:val="003B7FCD"/>
    <w:rsid w:val="003C1651"/>
    <w:rsid w:val="003C1832"/>
    <w:rsid w:val="003C1B24"/>
    <w:rsid w:val="003C22EA"/>
    <w:rsid w:val="003C2BF1"/>
    <w:rsid w:val="003D100F"/>
    <w:rsid w:val="003D2361"/>
    <w:rsid w:val="003D4CD4"/>
    <w:rsid w:val="003D5BF7"/>
    <w:rsid w:val="003D69FB"/>
    <w:rsid w:val="003D736A"/>
    <w:rsid w:val="003D7E18"/>
    <w:rsid w:val="003E4FE3"/>
    <w:rsid w:val="003E5A7C"/>
    <w:rsid w:val="003E6A1C"/>
    <w:rsid w:val="003F121F"/>
    <w:rsid w:val="003F29EB"/>
    <w:rsid w:val="003F2E73"/>
    <w:rsid w:val="003F4574"/>
    <w:rsid w:val="00411079"/>
    <w:rsid w:val="00411103"/>
    <w:rsid w:val="00411BA2"/>
    <w:rsid w:val="00412E57"/>
    <w:rsid w:val="00416E0F"/>
    <w:rsid w:val="0041788E"/>
    <w:rsid w:val="00421FBE"/>
    <w:rsid w:val="00422624"/>
    <w:rsid w:val="004240E9"/>
    <w:rsid w:val="00425A43"/>
    <w:rsid w:val="0043024A"/>
    <w:rsid w:val="00430E57"/>
    <w:rsid w:val="00431144"/>
    <w:rsid w:val="004328B6"/>
    <w:rsid w:val="004333DD"/>
    <w:rsid w:val="00437406"/>
    <w:rsid w:val="004472E6"/>
    <w:rsid w:val="00451CEB"/>
    <w:rsid w:val="00453E01"/>
    <w:rsid w:val="00457934"/>
    <w:rsid w:val="004601D4"/>
    <w:rsid w:val="004611A8"/>
    <w:rsid w:val="00462359"/>
    <w:rsid w:val="00463A3C"/>
    <w:rsid w:val="00464329"/>
    <w:rsid w:val="00465A85"/>
    <w:rsid w:val="00467862"/>
    <w:rsid w:val="00467A74"/>
    <w:rsid w:val="00470330"/>
    <w:rsid w:val="004715A0"/>
    <w:rsid w:val="00473A20"/>
    <w:rsid w:val="00487F39"/>
    <w:rsid w:val="00490DD1"/>
    <w:rsid w:val="00491525"/>
    <w:rsid w:val="00493F5A"/>
    <w:rsid w:val="004949CA"/>
    <w:rsid w:val="00496257"/>
    <w:rsid w:val="004A1306"/>
    <w:rsid w:val="004A14A0"/>
    <w:rsid w:val="004A1C65"/>
    <w:rsid w:val="004A441E"/>
    <w:rsid w:val="004A5727"/>
    <w:rsid w:val="004A6A4E"/>
    <w:rsid w:val="004B240A"/>
    <w:rsid w:val="004B6232"/>
    <w:rsid w:val="004B7427"/>
    <w:rsid w:val="004C061D"/>
    <w:rsid w:val="004C3296"/>
    <w:rsid w:val="004C3ADC"/>
    <w:rsid w:val="004C4B84"/>
    <w:rsid w:val="004C500F"/>
    <w:rsid w:val="004C5078"/>
    <w:rsid w:val="004D5452"/>
    <w:rsid w:val="004D6374"/>
    <w:rsid w:val="004E0409"/>
    <w:rsid w:val="004E1701"/>
    <w:rsid w:val="004E7343"/>
    <w:rsid w:val="004F12EF"/>
    <w:rsid w:val="004F2EF1"/>
    <w:rsid w:val="004F3718"/>
    <w:rsid w:val="004F3EEE"/>
    <w:rsid w:val="004F4A99"/>
    <w:rsid w:val="004F52D7"/>
    <w:rsid w:val="004F60DC"/>
    <w:rsid w:val="004F758A"/>
    <w:rsid w:val="0050262F"/>
    <w:rsid w:val="00506DB7"/>
    <w:rsid w:val="005071B5"/>
    <w:rsid w:val="005124C4"/>
    <w:rsid w:val="00514E0A"/>
    <w:rsid w:val="00520DA8"/>
    <w:rsid w:val="00521462"/>
    <w:rsid w:val="005220AD"/>
    <w:rsid w:val="005228E4"/>
    <w:rsid w:val="0052644B"/>
    <w:rsid w:val="005269EC"/>
    <w:rsid w:val="005272BF"/>
    <w:rsid w:val="00530ADF"/>
    <w:rsid w:val="00531BDC"/>
    <w:rsid w:val="005323D2"/>
    <w:rsid w:val="005337F0"/>
    <w:rsid w:val="0053397D"/>
    <w:rsid w:val="00535616"/>
    <w:rsid w:val="005356BA"/>
    <w:rsid w:val="005403DA"/>
    <w:rsid w:val="00541C26"/>
    <w:rsid w:val="0054242A"/>
    <w:rsid w:val="0054245C"/>
    <w:rsid w:val="005462D2"/>
    <w:rsid w:val="00547DCA"/>
    <w:rsid w:val="00550CDB"/>
    <w:rsid w:val="00557C4E"/>
    <w:rsid w:val="005606E9"/>
    <w:rsid w:val="00563587"/>
    <w:rsid w:val="005644D0"/>
    <w:rsid w:val="005658BA"/>
    <w:rsid w:val="00566FEC"/>
    <w:rsid w:val="005746FC"/>
    <w:rsid w:val="00575B91"/>
    <w:rsid w:val="005802CE"/>
    <w:rsid w:val="00580AE7"/>
    <w:rsid w:val="005849B9"/>
    <w:rsid w:val="005867A0"/>
    <w:rsid w:val="00587EBC"/>
    <w:rsid w:val="0059072D"/>
    <w:rsid w:val="00591FBF"/>
    <w:rsid w:val="00593511"/>
    <w:rsid w:val="00594625"/>
    <w:rsid w:val="00596495"/>
    <w:rsid w:val="00597891"/>
    <w:rsid w:val="005A2F0B"/>
    <w:rsid w:val="005A7888"/>
    <w:rsid w:val="005B2A5C"/>
    <w:rsid w:val="005B3C07"/>
    <w:rsid w:val="005B7BA4"/>
    <w:rsid w:val="005C5B59"/>
    <w:rsid w:val="005C6FB4"/>
    <w:rsid w:val="005C7A14"/>
    <w:rsid w:val="005D05E7"/>
    <w:rsid w:val="005D447C"/>
    <w:rsid w:val="005D4E6E"/>
    <w:rsid w:val="005D704C"/>
    <w:rsid w:val="005E15CD"/>
    <w:rsid w:val="005E4E46"/>
    <w:rsid w:val="005E683F"/>
    <w:rsid w:val="005E72FB"/>
    <w:rsid w:val="005E7BE7"/>
    <w:rsid w:val="005F014D"/>
    <w:rsid w:val="005F1B70"/>
    <w:rsid w:val="005F446E"/>
    <w:rsid w:val="005F4F36"/>
    <w:rsid w:val="005F56CF"/>
    <w:rsid w:val="005F580D"/>
    <w:rsid w:val="00600CFA"/>
    <w:rsid w:val="00600E4C"/>
    <w:rsid w:val="006022BE"/>
    <w:rsid w:val="0060231C"/>
    <w:rsid w:val="00603548"/>
    <w:rsid w:val="00607FEA"/>
    <w:rsid w:val="00610ECE"/>
    <w:rsid w:val="0061385B"/>
    <w:rsid w:val="00614D77"/>
    <w:rsid w:val="0062086D"/>
    <w:rsid w:val="00621462"/>
    <w:rsid w:val="00622D91"/>
    <w:rsid w:val="00622F90"/>
    <w:rsid w:val="006248B1"/>
    <w:rsid w:val="006269D0"/>
    <w:rsid w:val="0062750E"/>
    <w:rsid w:val="0064387F"/>
    <w:rsid w:val="0064497E"/>
    <w:rsid w:val="00650D0C"/>
    <w:rsid w:val="0065231D"/>
    <w:rsid w:val="00653C13"/>
    <w:rsid w:val="00660EAA"/>
    <w:rsid w:val="006622E0"/>
    <w:rsid w:val="00662701"/>
    <w:rsid w:val="00662DF1"/>
    <w:rsid w:val="0066359F"/>
    <w:rsid w:val="00666D40"/>
    <w:rsid w:val="00666DFF"/>
    <w:rsid w:val="006674EE"/>
    <w:rsid w:val="006679B4"/>
    <w:rsid w:val="006708FD"/>
    <w:rsid w:val="006713BC"/>
    <w:rsid w:val="00672225"/>
    <w:rsid w:val="0067312F"/>
    <w:rsid w:val="00673634"/>
    <w:rsid w:val="006768E2"/>
    <w:rsid w:val="00681410"/>
    <w:rsid w:val="00683B1A"/>
    <w:rsid w:val="00690058"/>
    <w:rsid w:val="00691B51"/>
    <w:rsid w:val="0069608A"/>
    <w:rsid w:val="006975CB"/>
    <w:rsid w:val="006A0016"/>
    <w:rsid w:val="006A1FEA"/>
    <w:rsid w:val="006A4D7A"/>
    <w:rsid w:val="006B245A"/>
    <w:rsid w:val="006C0BF8"/>
    <w:rsid w:val="006C2F17"/>
    <w:rsid w:val="006C482B"/>
    <w:rsid w:val="006C501A"/>
    <w:rsid w:val="006C5FCC"/>
    <w:rsid w:val="006D0978"/>
    <w:rsid w:val="006D0CAD"/>
    <w:rsid w:val="006D1A7B"/>
    <w:rsid w:val="006D1F93"/>
    <w:rsid w:val="006D2FD8"/>
    <w:rsid w:val="006D3600"/>
    <w:rsid w:val="006D40F4"/>
    <w:rsid w:val="006D509C"/>
    <w:rsid w:val="006D654E"/>
    <w:rsid w:val="006E11D5"/>
    <w:rsid w:val="006E1C76"/>
    <w:rsid w:val="006E3D6C"/>
    <w:rsid w:val="006E4A18"/>
    <w:rsid w:val="006F0002"/>
    <w:rsid w:val="006F1FE1"/>
    <w:rsid w:val="006F285A"/>
    <w:rsid w:val="006F4E63"/>
    <w:rsid w:val="006F61EA"/>
    <w:rsid w:val="006F7BDF"/>
    <w:rsid w:val="00703F2A"/>
    <w:rsid w:val="00707371"/>
    <w:rsid w:val="00707C2B"/>
    <w:rsid w:val="007105CC"/>
    <w:rsid w:val="00715ABB"/>
    <w:rsid w:val="00720E8F"/>
    <w:rsid w:val="00725619"/>
    <w:rsid w:val="00726A65"/>
    <w:rsid w:val="00727933"/>
    <w:rsid w:val="00727C5D"/>
    <w:rsid w:val="00730519"/>
    <w:rsid w:val="0073078C"/>
    <w:rsid w:val="00736BB0"/>
    <w:rsid w:val="0073773E"/>
    <w:rsid w:val="0074293F"/>
    <w:rsid w:val="0074471E"/>
    <w:rsid w:val="00744CF2"/>
    <w:rsid w:val="007460CA"/>
    <w:rsid w:val="00747302"/>
    <w:rsid w:val="00747EEF"/>
    <w:rsid w:val="007511E3"/>
    <w:rsid w:val="0075152E"/>
    <w:rsid w:val="0075402D"/>
    <w:rsid w:val="007550DA"/>
    <w:rsid w:val="00756D9E"/>
    <w:rsid w:val="00760614"/>
    <w:rsid w:val="00760929"/>
    <w:rsid w:val="007623B9"/>
    <w:rsid w:val="00762971"/>
    <w:rsid w:val="0077142A"/>
    <w:rsid w:val="00774698"/>
    <w:rsid w:val="0077699C"/>
    <w:rsid w:val="00781154"/>
    <w:rsid w:val="007823B4"/>
    <w:rsid w:val="0078698F"/>
    <w:rsid w:val="00790B21"/>
    <w:rsid w:val="00790C1C"/>
    <w:rsid w:val="00792FA8"/>
    <w:rsid w:val="00793A4C"/>
    <w:rsid w:val="00794EE8"/>
    <w:rsid w:val="007A0A19"/>
    <w:rsid w:val="007A59F2"/>
    <w:rsid w:val="007B0C21"/>
    <w:rsid w:val="007B11E0"/>
    <w:rsid w:val="007B182A"/>
    <w:rsid w:val="007B2AB9"/>
    <w:rsid w:val="007C27D0"/>
    <w:rsid w:val="007C3DC7"/>
    <w:rsid w:val="007C45B3"/>
    <w:rsid w:val="007C6299"/>
    <w:rsid w:val="007C6313"/>
    <w:rsid w:val="007C68A0"/>
    <w:rsid w:val="007C6EF1"/>
    <w:rsid w:val="007C7AF1"/>
    <w:rsid w:val="007D05BD"/>
    <w:rsid w:val="007D3C86"/>
    <w:rsid w:val="007D3D18"/>
    <w:rsid w:val="007D7F5A"/>
    <w:rsid w:val="007E501E"/>
    <w:rsid w:val="007E69FC"/>
    <w:rsid w:val="007F3B50"/>
    <w:rsid w:val="007F3F00"/>
    <w:rsid w:val="007F4F00"/>
    <w:rsid w:val="007F7514"/>
    <w:rsid w:val="0080056A"/>
    <w:rsid w:val="00801657"/>
    <w:rsid w:val="00807ACB"/>
    <w:rsid w:val="00810924"/>
    <w:rsid w:val="00813567"/>
    <w:rsid w:val="0081537C"/>
    <w:rsid w:val="00827558"/>
    <w:rsid w:val="008311A7"/>
    <w:rsid w:val="0083164B"/>
    <w:rsid w:val="00834776"/>
    <w:rsid w:val="00836F3D"/>
    <w:rsid w:val="008379DD"/>
    <w:rsid w:val="0084016B"/>
    <w:rsid w:val="00843CF1"/>
    <w:rsid w:val="00845CBA"/>
    <w:rsid w:val="00845DA3"/>
    <w:rsid w:val="0084684C"/>
    <w:rsid w:val="00851A0C"/>
    <w:rsid w:val="00852DD1"/>
    <w:rsid w:val="0085470A"/>
    <w:rsid w:val="00857E9F"/>
    <w:rsid w:val="008626A2"/>
    <w:rsid w:val="00863092"/>
    <w:rsid w:val="00866168"/>
    <w:rsid w:val="00867EEC"/>
    <w:rsid w:val="00873E54"/>
    <w:rsid w:val="00875C31"/>
    <w:rsid w:val="008802B2"/>
    <w:rsid w:val="0088145B"/>
    <w:rsid w:val="008865E8"/>
    <w:rsid w:val="00886800"/>
    <w:rsid w:val="00895404"/>
    <w:rsid w:val="00895F18"/>
    <w:rsid w:val="008961F0"/>
    <w:rsid w:val="00896528"/>
    <w:rsid w:val="008A0869"/>
    <w:rsid w:val="008A2C3B"/>
    <w:rsid w:val="008A5552"/>
    <w:rsid w:val="008A7448"/>
    <w:rsid w:val="008A7D51"/>
    <w:rsid w:val="008A7E31"/>
    <w:rsid w:val="008B053D"/>
    <w:rsid w:val="008B2BE3"/>
    <w:rsid w:val="008B43F2"/>
    <w:rsid w:val="008B4FAE"/>
    <w:rsid w:val="008B5034"/>
    <w:rsid w:val="008C2758"/>
    <w:rsid w:val="008C3A67"/>
    <w:rsid w:val="008C3F95"/>
    <w:rsid w:val="008C4B2A"/>
    <w:rsid w:val="008C5A43"/>
    <w:rsid w:val="008C6680"/>
    <w:rsid w:val="008D07CF"/>
    <w:rsid w:val="008D312E"/>
    <w:rsid w:val="008D4BA4"/>
    <w:rsid w:val="008D7150"/>
    <w:rsid w:val="008E02AD"/>
    <w:rsid w:val="008E4086"/>
    <w:rsid w:val="008E4449"/>
    <w:rsid w:val="008F0DD6"/>
    <w:rsid w:val="008F2112"/>
    <w:rsid w:val="008F53E7"/>
    <w:rsid w:val="008F76C9"/>
    <w:rsid w:val="008F793F"/>
    <w:rsid w:val="008F7BB9"/>
    <w:rsid w:val="00900064"/>
    <w:rsid w:val="009002A8"/>
    <w:rsid w:val="00902223"/>
    <w:rsid w:val="00904D36"/>
    <w:rsid w:val="00907035"/>
    <w:rsid w:val="00907705"/>
    <w:rsid w:val="0090779F"/>
    <w:rsid w:val="00907F6B"/>
    <w:rsid w:val="00914038"/>
    <w:rsid w:val="00915D2E"/>
    <w:rsid w:val="00921106"/>
    <w:rsid w:val="009211B9"/>
    <w:rsid w:val="00925A17"/>
    <w:rsid w:val="00927500"/>
    <w:rsid w:val="009278B1"/>
    <w:rsid w:val="0093225D"/>
    <w:rsid w:val="0093277C"/>
    <w:rsid w:val="009334BA"/>
    <w:rsid w:val="00933EA3"/>
    <w:rsid w:val="00934152"/>
    <w:rsid w:val="00941757"/>
    <w:rsid w:val="00944254"/>
    <w:rsid w:val="00950AFB"/>
    <w:rsid w:val="00952426"/>
    <w:rsid w:val="009548AE"/>
    <w:rsid w:val="00955248"/>
    <w:rsid w:val="009629ED"/>
    <w:rsid w:val="00964440"/>
    <w:rsid w:val="009652F4"/>
    <w:rsid w:val="00967A26"/>
    <w:rsid w:val="00967E64"/>
    <w:rsid w:val="00970BCD"/>
    <w:rsid w:val="0097512B"/>
    <w:rsid w:val="00975344"/>
    <w:rsid w:val="00975C7B"/>
    <w:rsid w:val="00977079"/>
    <w:rsid w:val="00980868"/>
    <w:rsid w:val="00982B9A"/>
    <w:rsid w:val="00984B35"/>
    <w:rsid w:val="00984FA8"/>
    <w:rsid w:val="009875A7"/>
    <w:rsid w:val="009876C9"/>
    <w:rsid w:val="00993247"/>
    <w:rsid w:val="00994FBA"/>
    <w:rsid w:val="00995C5C"/>
    <w:rsid w:val="00995E88"/>
    <w:rsid w:val="009A0215"/>
    <w:rsid w:val="009A0CC6"/>
    <w:rsid w:val="009A4C02"/>
    <w:rsid w:val="009A5094"/>
    <w:rsid w:val="009A532F"/>
    <w:rsid w:val="009B1E2D"/>
    <w:rsid w:val="009B28F5"/>
    <w:rsid w:val="009B38F3"/>
    <w:rsid w:val="009B391A"/>
    <w:rsid w:val="009B4582"/>
    <w:rsid w:val="009B4818"/>
    <w:rsid w:val="009C50FB"/>
    <w:rsid w:val="009D0028"/>
    <w:rsid w:val="009D4F77"/>
    <w:rsid w:val="009D6D8D"/>
    <w:rsid w:val="009D7FB4"/>
    <w:rsid w:val="009E1DC3"/>
    <w:rsid w:val="009E1EBA"/>
    <w:rsid w:val="009E2AAD"/>
    <w:rsid w:val="009E34EC"/>
    <w:rsid w:val="009E3814"/>
    <w:rsid w:val="009E4B19"/>
    <w:rsid w:val="009E4E35"/>
    <w:rsid w:val="009F1209"/>
    <w:rsid w:val="009F26B9"/>
    <w:rsid w:val="009F30FD"/>
    <w:rsid w:val="009F73DA"/>
    <w:rsid w:val="00A0228B"/>
    <w:rsid w:val="00A03D6A"/>
    <w:rsid w:val="00A06432"/>
    <w:rsid w:val="00A0664F"/>
    <w:rsid w:val="00A066E5"/>
    <w:rsid w:val="00A108D5"/>
    <w:rsid w:val="00A113D0"/>
    <w:rsid w:val="00A11C30"/>
    <w:rsid w:val="00A12291"/>
    <w:rsid w:val="00A1252E"/>
    <w:rsid w:val="00A125F1"/>
    <w:rsid w:val="00A1389C"/>
    <w:rsid w:val="00A21F7B"/>
    <w:rsid w:val="00A22342"/>
    <w:rsid w:val="00A23E31"/>
    <w:rsid w:val="00A26DF5"/>
    <w:rsid w:val="00A31385"/>
    <w:rsid w:val="00A32A7E"/>
    <w:rsid w:val="00A32FF9"/>
    <w:rsid w:val="00A420F1"/>
    <w:rsid w:val="00A4447A"/>
    <w:rsid w:val="00A47759"/>
    <w:rsid w:val="00A502F1"/>
    <w:rsid w:val="00A52242"/>
    <w:rsid w:val="00A52525"/>
    <w:rsid w:val="00A53839"/>
    <w:rsid w:val="00A55CF7"/>
    <w:rsid w:val="00A5719B"/>
    <w:rsid w:val="00A577C5"/>
    <w:rsid w:val="00A62959"/>
    <w:rsid w:val="00A63C60"/>
    <w:rsid w:val="00A640B4"/>
    <w:rsid w:val="00A653B9"/>
    <w:rsid w:val="00A7169C"/>
    <w:rsid w:val="00A72468"/>
    <w:rsid w:val="00A737FC"/>
    <w:rsid w:val="00A73CEA"/>
    <w:rsid w:val="00A75711"/>
    <w:rsid w:val="00A76263"/>
    <w:rsid w:val="00A76E33"/>
    <w:rsid w:val="00A873B5"/>
    <w:rsid w:val="00A92D31"/>
    <w:rsid w:val="00AA0F7C"/>
    <w:rsid w:val="00AA4537"/>
    <w:rsid w:val="00AA60A2"/>
    <w:rsid w:val="00AB0DD4"/>
    <w:rsid w:val="00AB164E"/>
    <w:rsid w:val="00AB2FFC"/>
    <w:rsid w:val="00AB3D01"/>
    <w:rsid w:val="00AB416E"/>
    <w:rsid w:val="00AC2894"/>
    <w:rsid w:val="00AC6DB7"/>
    <w:rsid w:val="00AC7139"/>
    <w:rsid w:val="00AD0F3F"/>
    <w:rsid w:val="00AD18A3"/>
    <w:rsid w:val="00AD32C1"/>
    <w:rsid w:val="00AD3455"/>
    <w:rsid w:val="00AD374A"/>
    <w:rsid w:val="00AD541F"/>
    <w:rsid w:val="00AD781C"/>
    <w:rsid w:val="00AD793C"/>
    <w:rsid w:val="00AE3715"/>
    <w:rsid w:val="00AE546F"/>
    <w:rsid w:val="00AE55F7"/>
    <w:rsid w:val="00AE79DF"/>
    <w:rsid w:val="00AF0ADB"/>
    <w:rsid w:val="00AF200F"/>
    <w:rsid w:val="00AF3A78"/>
    <w:rsid w:val="00AF409B"/>
    <w:rsid w:val="00B11915"/>
    <w:rsid w:val="00B1337D"/>
    <w:rsid w:val="00B16399"/>
    <w:rsid w:val="00B20186"/>
    <w:rsid w:val="00B210D7"/>
    <w:rsid w:val="00B21ADB"/>
    <w:rsid w:val="00B2536F"/>
    <w:rsid w:val="00B255CB"/>
    <w:rsid w:val="00B27F5C"/>
    <w:rsid w:val="00B3288D"/>
    <w:rsid w:val="00B33CFF"/>
    <w:rsid w:val="00B33E30"/>
    <w:rsid w:val="00B345F3"/>
    <w:rsid w:val="00B35C49"/>
    <w:rsid w:val="00B36E85"/>
    <w:rsid w:val="00B37CD9"/>
    <w:rsid w:val="00B411A5"/>
    <w:rsid w:val="00B508D4"/>
    <w:rsid w:val="00B542B2"/>
    <w:rsid w:val="00B5442E"/>
    <w:rsid w:val="00B566B2"/>
    <w:rsid w:val="00B6039C"/>
    <w:rsid w:val="00B60B3B"/>
    <w:rsid w:val="00B61C32"/>
    <w:rsid w:val="00B66218"/>
    <w:rsid w:val="00B70ED9"/>
    <w:rsid w:val="00B75807"/>
    <w:rsid w:val="00B7609F"/>
    <w:rsid w:val="00B802A5"/>
    <w:rsid w:val="00B80EA2"/>
    <w:rsid w:val="00B851C3"/>
    <w:rsid w:val="00B86907"/>
    <w:rsid w:val="00B90597"/>
    <w:rsid w:val="00B94DDF"/>
    <w:rsid w:val="00B969C0"/>
    <w:rsid w:val="00B96E8B"/>
    <w:rsid w:val="00B9769E"/>
    <w:rsid w:val="00BA286E"/>
    <w:rsid w:val="00BA51A2"/>
    <w:rsid w:val="00BA52D5"/>
    <w:rsid w:val="00BB005D"/>
    <w:rsid w:val="00BB7435"/>
    <w:rsid w:val="00BC173D"/>
    <w:rsid w:val="00BC3DB8"/>
    <w:rsid w:val="00BC4CC9"/>
    <w:rsid w:val="00BC7A6D"/>
    <w:rsid w:val="00BD0504"/>
    <w:rsid w:val="00BD2D3F"/>
    <w:rsid w:val="00BE0E4A"/>
    <w:rsid w:val="00BE6CC6"/>
    <w:rsid w:val="00BF11FF"/>
    <w:rsid w:val="00BF1AFB"/>
    <w:rsid w:val="00BF1B4C"/>
    <w:rsid w:val="00BF2660"/>
    <w:rsid w:val="00BF4528"/>
    <w:rsid w:val="00C00F06"/>
    <w:rsid w:val="00C078A7"/>
    <w:rsid w:val="00C07EE0"/>
    <w:rsid w:val="00C162A3"/>
    <w:rsid w:val="00C2016B"/>
    <w:rsid w:val="00C259AE"/>
    <w:rsid w:val="00C25CFE"/>
    <w:rsid w:val="00C27336"/>
    <w:rsid w:val="00C30C57"/>
    <w:rsid w:val="00C3465F"/>
    <w:rsid w:val="00C35766"/>
    <w:rsid w:val="00C3754B"/>
    <w:rsid w:val="00C41F92"/>
    <w:rsid w:val="00C447ED"/>
    <w:rsid w:val="00C47A72"/>
    <w:rsid w:val="00C52BFE"/>
    <w:rsid w:val="00C57E2A"/>
    <w:rsid w:val="00C65CFB"/>
    <w:rsid w:val="00C66A0D"/>
    <w:rsid w:val="00C720EC"/>
    <w:rsid w:val="00C721EB"/>
    <w:rsid w:val="00C7734D"/>
    <w:rsid w:val="00C80F3A"/>
    <w:rsid w:val="00C81D89"/>
    <w:rsid w:val="00C822B4"/>
    <w:rsid w:val="00C8530B"/>
    <w:rsid w:val="00C85B39"/>
    <w:rsid w:val="00C87847"/>
    <w:rsid w:val="00C90763"/>
    <w:rsid w:val="00C91B57"/>
    <w:rsid w:val="00C94CDE"/>
    <w:rsid w:val="00CA0438"/>
    <w:rsid w:val="00CA08DA"/>
    <w:rsid w:val="00CA139D"/>
    <w:rsid w:val="00CA1663"/>
    <w:rsid w:val="00CA213A"/>
    <w:rsid w:val="00CA3191"/>
    <w:rsid w:val="00CA3C67"/>
    <w:rsid w:val="00CA488E"/>
    <w:rsid w:val="00CB0E50"/>
    <w:rsid w:val="00CB1F6E"/>
    <w:rsid w:val="00CB35B0"/>
    <w:rsid w:val="00CB5B91"/>
    <w:rsid w:val="00CB6800"/>
    <w:rsid w:val="00CB784A"/>
    <w:rsid w:val="00CC3F13"/>
    <w:rsid w:val="00CC60B8"/>
    <w:rsid w:val="00CC7514"/>
    <w:rsid w:val="00CD003E"/>
    <w:rsid w:val="00CD0D85"/>
    <w:rsid w:val="00CD5BB6"/>
    <w:rsid w:val="00CD7039"/>
    <w:rsid w:val="00CD7430"/>
    <w:rsid w:val="00CE004E"/>
    <w:rsid w:val="00CE020A"/>
    <w:rsid w:val="00CE41B8"/>
    <w:rsid w:val="00CE4DEA"/>
    <w:rsid w:val="00CE5455"/>
    <w:rsid w:val="00CE649C"/>
    <w:rsid w:val="00CE7DA9"/>
    <w:rsid w:val="00CF0F2A"/>
    <w:rsid w:val="00CF258B"/>
    <w:rsid w:val="00CF330D"/>
    <w:rsid w:val="00D01FA7"/>
    <w:rsid w:val="00D02B8B"/>
    <w:rsid w:val="00D03D55"/>
    <w:rsid w:val="00D04F90"/>
    <w:rsid w:val="00D05EE3"/>
    <w:rsid w:val="00D068F6"/>
    <w:rsid w:val="00D10A43"/>
    <w:rsid w:val="00D15938"/>
    <w:rsid w:val="00D17C21"/>
    <w:rsid w:val="00D17C54"/>
    <w:rsid w:val="00D224E2"/>
    <w:rsid w:val="00D23353"/>
    <w:rsid w:val="00D23A89"/>
    <w:rsid w:val="00D24D6B"/>
    <w:rsid w:val="00D26E60"/>
    <w:rsid w:val="00D274F9"/>
    <w:rsid w:val="00D34222"/>
    <w:rsid w:val="00D364D3"/>
    <w:rsid w:val="00D4024F"/>
    <w:rsid w:val="00D4213D"/>
    <w:rsid w:val="00D4222A"/>
    <w:rsid w:val="00D43FBE"/>
    <w:rsid w:val="00D464AC"/>
    <w:rsid w:val="00D520DB"/>
    <w:rsid w:val="00D53BB0"/>
    <w:rsid w:val="00D54061"/>
    <w:rsid w:val="00D55947"/>
    <w:rsid w:val="00D55A39"/>
    <w:rsid w:val="00D55D9F"/>
    <w:rsid w:val="00D57399"/>
    <w:rsid w:val="00D607F9"/>
    <w:rsid w:val="00D608DF"/>
    <w:rsid w:val="00D60F39"/>
    <w:rsid w:val="00D61702"/>
    <w:rsid w:val="00D658D3"/>
    <w:rsid w:val="00D70E32"/>
    <w:rsid w:val="00D83CE7"/>
    <w:rsid w:val="00D871BC"/>
    <w:rsid w:val="00D92F28"/>
    <w:rsid w:val="00D9596E"/>
    <w:rsid w:val="00D96DED"/>
    <w:rsid w:val="00DA2C99"/>
    <w:rsid w:val="00DA42C9"/>
    <w:rsid w:val="00DA55C0"/>
    <w:rsid w:val="00DA6578"/>
    <w:rsid w:val="00DB2B0F"/>
    <w:rsid w:val="00DB51D5"/>
    <w:rsid w:val="00DC067A"/>
    <w:rsid w:val="00DC0D0B"/>
    <w:rsid w:val="00DC5520"/>
    <w:rsid w:val="00DD2D63"/>
    <w:rsid w:val="00DD2EE3"/>
    <w:rsid w:val="00DD5391"/>
    <w:rsid w:val="00DE0BFD"/>
    <w:rsid w:val="00DE1269"/>
    <w:rsid w:val="00DE29CA"/>
    <w:rsid w:val="00DF1358"/>
    <w:rsid w:val="00DF1C43"/>
    <w:rsid w:val="00DF27D2"/>
    <w:rsid w:val="00DF3316"/>
    <w:rsid w:val="00E03641"/>
    <w:rsid w:val="00E03AE0"/>
    <w:rsid w:val="00E10123"/>
    <w:rsid w:val="00E10E3C"/>
    <w:rsid w:val="00E1199C"/>
    <w:rsid w:val="00E15217"/>
    <w:rsid w:val="00E154C2"/>
    <w:rsid w:val="00E20522"/>
    <w:rsid w:val="00E2351C"/>
    <w:rsid w:val="00E23ADB"/>
    <w:rsid w:val="00E25CBD"/>
    <w:rsid w:val="00E32EFF"/>
    <w:rsid w:val="00E340DF"/>
    <w:rsid w:val="00E41F1F"/>
    <w:rsid w:val="00E425B1"/>
    <w:rsid w:val="00E50CFC"/>
    <w:rsid w:val="00E52AA0"/>
    <w:rsid w:val="00E53C01"/>
    <w:rsid w:val="00E562D2"/>
    <w:rsid w:val="00E57445"/>
    <w:rsid w:val="00E611C1"/>
    <w:rsid w:val="00E66544"/>
    <w:rsid w:val="00E75DC3"/>
    <w:rsid w:val="00E7619B"/>
    <w:rsid w:val="00E767DA"/>
    <w:rsid w:val="00E77017"/>
    <w:rsid w:val="00E8139F"/>
    <w:rsid w:val="00E81A04"/>
    <w:rsid w:val="00E81B75"/>
    <w:rsid w:val="00E93BBE"/>
    <w:rsid w:val="00E95616"/>
    <w:rsid w:val="00E95640"/>
    <w:rsid w:val="00E9634F"/>
    <w:rsid w:val="00E97515"/>
    <w:rsid w:val="00EA1ED5"/>
    <w:rsid w:val="00EA48D6"/>
    <w:rsid w:val="00EA5A52"/>
    <w:rsid w:val="00EB36B9"/>
    <w:rsid w:val="00EB3976"/>
    <w:rsid w:val="00EB63D2"/>
    <w:rsid w:val="00EB7171"/>
    <w:rsid w:val="00EB72DE"/>
    <w:rsid w:val="00EC0068"/>
    <w:rsid w:val="00EC0A9C"/>
    <w:rsid w:val="00EC2FA6"/>
    <w:rsid w:val="00EC4F4C"/>
    <w:rsid w:val="00EC52D7"/>
    <w:rsid w:val="00ED0F7C"/>
    <w:rsid w:val="00ED34B6"/>
    <w:rsid w:val="00ED6752"/>
    <w:rsid w:val="00EE312E"/>
    <w:rsid w:val="00EE38C7"/>
    <w:rsid w:val="00EE5E13"/>
    <w:rsid w:val="00EE6780"/>
    <w:rsid w:val="00EF2B5B"/>
    <w:rsid w:val="00EF39E4"/>
    <w:rsid w:val="00EF476E"/>
    <w:rsid w:val="00F043FD"/>
    <w:rsid w:val="00F05CFF"/>
    <w:rsid w:val="00F064DA"/>
    <w:rsid w:val="00F11DBD"/>
    <w:rsid w:val="00F16DB9"/>
    <w:rsid w:val="00F20812"/>
    <w:rsid w:val="00F247B4"/>
    <w:rsid w:val="00F24EDB"/>
    <w:rsid w:val="00F25520"/>
    <w:rsid w:val="00F25DE9"/>
    <w:rsid w:val="00F31845"/>
    <w:rsid w:val="00F33AA7"/>
    <w:rsid w:val="00F36202"/>
    <w:rsid w:val="00F435FC"/>
    <w:rsid w:val="00F44AD8"/>
    <w:rsid w:val="00F46591"/>
    <w:rsid w:val="00F46610"/>
    <w:rsid w:val="00F52490"/>
    <w:rsid w:val="00F52D47"/>
    <w:rsid w:val="00F5364E"/>
    <w:rsid w:val="00F5770D"/>
    <w:rsid w:val="00F57C81"/>
    <w:rsid w:val="00F62EA3"/>
    <w:rsid w:val="00F66411"/>
    <w:rsid w:val="00F6729E"/>
    <w:rsid w:val="00F7063B"/>
    <w:rsid w:val="00F713B9"/>
    <w:rsid w:val="00F839CA"/>
    <w:rsid w:val="00F97B8A"/>
    <w:rsid w:val="00FA22C7"/>
    <w:rsid w:val="00FA279D"/>
    <w:rsid w:val="00FA46A5"/>
    <w:rsid w:val="00FA639B"/>
    <w:rsid w:val="00FA70F5"/>
    <w:rsid w:val="00FB0ACE"/>
    <w:rsid w:val="00FB4BB2"/>
    <w:rsid w:val="00FB6779"/>
    <w:rsid w:val="00FB6A9A"/>
    <w:rsid w:val="00FB6DE1"/>
    <w:rsid w:val="00FC1C3E"/>
    <w:rsid w:val="00FD653A"/>
    <w:rsid w:val="00FD66F8"/>
    <w:rsid w:val="00FD7F1F"/>
    <w:rsid w:val="00FE0C0B"/>
    <w:rsid w:val="00FE1031"/>
    <w:rsid w:val="00FE2BF3"/>
    <w:rsid w:val="00FE3082"/>
    <w:rsid w:val="00FE3690"/>
    <w:rsid w:val="00FE5166"/>
    <w:rsid w:val="00FE58E5"/>
    <w:rsid w:val="00FE7679"/>
    <w:rsid w:val="00FF448A"/>
    <w:rsid w:val="00FF50C3"/>
    <w:rsid w:val="00FF6230"/>
    <w:rsid w:val="00FF75C2"/>
    <w:rsid w:val="08674815"/>
    <w:rsid w:val="0974260A"/>
    <w:rsid w:val="0B984D63"/>
    <w:rsid w:val="14543A9A"/>
    <w:rsid w:val="14A95C11"/>
    <w:rsid w:val="15E52C78"/>
    <w:rsid w:val="1FE300F8"/>
    <w:rsid w:val="2465448B"/>
    <w:rsid w:val="25AA12A8"/>
    <w:rsid w:val="25BE16F6"/>
    <w:rsid w:val="26C64DE3"/>
    <w:rsid w:val="2A0C660F"/>
    <w:rsid w:val="2BC90E9D"/>
    <w:rsid w:val="3307615D"/>
    <w:rsid w:val="37517D16"/>
    <w:rsid w:val="3F6D0D79"/>
    <w:rsid w:val="451A1430"/>
    <w:rsid w:val="49B95C1B"/>
    <w:rsid w:val="4B7C0425"/>
    <w:rsid w:val="4F555FE4"/>
    <w:rsid w:val="54911C51"/>
    <w:rsid w:val="55B75398"/>
    <w:rsid w:val="57687559"/>
    <w:rsid w:val="5B445F44"/>
    <w:rsid w:val="5B6871D6"/>
    <w:rsid w:val="5BE97544"/>
    <w:rsid w:val="5EB32ED4"/>
    <w:rsid w:val="5ED80C3D"/>
    <w:rsid w:val="68D358F2"/>
    <w:rsid w:val="68FC2F95"/>
    <w:rsid w:val="6D075FF0"/>
    <w:rsid w:val="75C7395D"/>
    <w:rsid w:val="76B37ACA"/>
    <w:rsid w:val="776960B7"/>
    <w:rsid w:val="7CCA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7"/>
    <w:qFormat/>
    <w:uiPriority w:val="9"/>
    <w:pPr>
      <w:keepNext/>
      <w:keepLines/>
      <w:spacing w:before="240" w:after="120"/>
      <w:ind w:firstLine="0" w:firstLineChars="0"/>
      <w:outlineLvl w:val="0"/>
    </w:pPr>
    <w:rPr>
      <w:b/>
      <w:bCs/>
      <w:kern w:val="44"/>
      <w:sz w:val="30"/>
      <w:szCs w:val="44"/>
    </w:rPr>
  </w:style>
  <w:style w:type="paragraph" w:styleId="3">
    <w:name w:val="heading 2"/>
    <w:basedOn w:val="1"/>
    <w:next w:val="1"/>
    <w:link w:val="28"/>
    <w:qFormat/>
    <w:uiPriority w:val="9"/>
    <w:pPr>
      <w:keepNext/>
      <w:keepLines/>
      <w:spacing w:before="240" w:after="120" w:line="240" w:lineRule="auto"/>
      <w:ind w:firstLine="0" w:firstLineChars="0"/>
      <w:outlineLvl w:val="1"/>
    </w:pPr>
    <w:rPr>
      <w:rFonts w:cs="Times New Roman"/>
      <w:b/>
      <w:bCs/>
      <w:kern w:val="0"/>
      <w:sz w:val="28"/>
      <w:szCs w:val="32"/>
    </w:rPr>
  </w:style>
  <w:style w:type="paragraph" w:styleId="4">
    <w:name w:val="heading 3"/>
    <w:basedOn w:val="1"/>
    <w:next w:val="1"/>
    <w:link w:val="30"/>
    <w:unhideWhenUsed/>
    <w:qFormat/>
    <w:uiPriority w:val="9"/>
    <w:pPr>
      <w:keepNext/>
      <w:keepLines/>
      <w:spacing w:before="260" w:after="260" w:line="240" w:lineRule="auto"/>
      <w:ind w:firstLine="0" w:firstLineChars="0"/>
      <w:outlineLvl w:val="2"/>
    </w:pPr>
    <w:rPr>
      <w:b/>
      <w:bCs/>
      <w:sz w:val="24"/>
      <w:szCs w:val="32"/>
    </w:rPr>
  </w:style>
  <w:style w:type="paragraph" w:styleId="5">
    <w:name w:val="heading 4"/>
    <w:basedOn w:val="1"/>
    <w:next w:val="1"/>
    <w:link w:val="35"/>
    <w:unhideWhenUsed/>
    <w:qFormat/>
    <w:uiPriority w:val="9"/>
    <w:pPr>
      <w:keepNext/>
      <w:keepLines/>
      <w:spacing w:before="280" w:after="290" w:line="240" w:lineRule="auto"/>
      <w:ind w:firstLine="0" w:firstLineChars="0"/>
      <w:outlineLvl w:val="3"/>
    </w:pPr>
    <w:rPr>
      <w:rFonts w:cstheme="majorBidi"/>
      <w:b/>
      <w:bCs/>
      <w:sz w:val="24"/>
      <w:szCs w:val="28"/>
    </w:rPr>
  </w:style>
  <w:style w:type="paragraph" w:styleId="6">
    <w:name w:val="heading 6"/>
    <w:basedOn w:val="1"/>
    <w:next w:val="1"/>
    <w:link w:val="46"/>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1260"/>
      <w:jc w:val="left"/>
    </w:pPr>
    <w:rPr>
      <w:rFonts w:asciiTheme="minorHAnsi" w:eastAsiaTheme="minorHAnsi"/>
      <w:sz w:val="18"/>
      <w:szCs w:val="18"/>
    </w:rPr>
  </w:style>
  <w:style w:type="paragraph" w:styleId="8">
    <w:name w:val="annotation text"/>
    <w:basedOn w:val="1"/>
    <w:link w:val="49"/>
    <w:semiHidden/>
    <w:unhideWhenUsed/>
    <w:qFormat/>
    <w:uiPriority w:val="99"/>
    <w:pPr>
      <w:jc w:val="left"/>
    </w:pPr>
  </w:style>
  <w:style w:type="paragraph" w:styleId="9">
    <w:name w:val="toc 5"/>
    <w:basedOn w:val="1"/>
    <w:next w:val="1"/>
    <w:unhideWhenUsed/>
    <w:qFormat/>
    <w:uiPriority w:val="39"/>
    <w:pPr>
      <w:ind w:left="840"/>
      <w:jc w:val="left"/>
    </w:pPr>
    <w:rPr>
      <w:rFonts w:asciiTheme="minorHAnsi" w:eastAsiaTheme="minorHAnsi"/>
      <w:sz w:val="18"/>
      <w:szCs w:val="18"/>
    </w:rPr>
  </w:style>
  <w:style w:type="paragraph" w:styleId="10">
    <w:name w:val="toc 3"/>
    <w:basedOn w:val="1"/>
    <w:next w:val="1"/>
    <w:unhideWhenUsed/>
    <w:qFormat/>
    <w:uiPriority w:val="39"/>
    <w:pPr>
      <w:ind w:left="420"/>
      <w:jc w:val="left"/>
    </w:pPr>
    <w:rPr>
      <w:rFonts w:asciiTheme="minorHAnsi" w:eastAsiaTheme="minorHAnsi"/>
      <w:i/>
      <w:iCs/>
      <w:sz w:val="20"/>
      <w:szCs w:val="20"/>
    </w:rPr>
  </w:style>
  <w:style w:type="paragraph" w:styleId="11">
    <w:name w:val="toc 8"/>
    <w:basedOn w:val="1"/>
    <w:next w:val="1"/>
    <w:unhideWhenUsed/>
    <w:qFormat/>
    <w:uiPriority w:val="39"/>
    <w:pPr>
      <w:ind w:left="1470"/>
      <w:jc w:val="left"/>
    </w:pPr>
    <w:rPr>
      <w:rFonts w:asciiTheme="minorHAnsi" w:eastAsiaTheme="minorHAnsi"/>
      <w:sz w:val="18"/>
      <w:szCs w:val="18"/>
    </w:rPr>
  </w:style>
  <w:style w:type="paragraph" w:styleId="12">
    <w:name w:val="footer"/>
    <w:basedOn w:val="1"/>
    <w:link w:val="39"/>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sz w:val="18"/>
      <w:szCs w:val="18"/>
    </w:rPr>
  </w:style>
  <w:style w:type="paragraph" w:styleId="14">
    <w:name w:val="toc 1"/>
    <w:basedOn w:val="1"/>
    <w:next w:val="1"/>
    <w:unhideWhenUsed/>
    <w:qFormat/>
    <w:uiPriority w:val="39"/>
    <w:pPr>
      <w:ind w:firstLine="0" w:firstLineChars="0"/>
      <w:jc w:val="left"/>
    </w:pPr>
    <w:rPr>
      <w:rFonts w:eastAsia="黑体"/>
      <w:bCs/>
      <w:caps/>
      <w:sz w:val="20"/>
      <w:szCs w:val="20"/>
    </w:rPr>
  </w:style>
  <w:style w:type="paragraph" w:styleId="15">
    <w:name w:val="toc 4"/>
    <w:basedOn w:val="1"/>
    <w:next w:val="1"/>
    <w:unhideWhenUsed/>
    <w:qFormat/>
    <w:uiPriority w:val="39"/>
    <w:pPr>
      <w:ind w:left="630"/>
      <w:jc w:val="left"/>
    </w:pPr>
    <w:rPr>
      <w:rFonts w:asciiTheme="minorHAnsi" w:eastAsiaTheme="minorHAnsi"/>
      <w:sz w:val="18"/>
      <w:szCs w:val="18"/>
    </w:rPr>
  </w:style>
  <w:style w:type="paragraph" w:styleId="16">
    <w:name w:val="toc 6"/>
    <w:basedOn w:val="1"/>
    <w:next w:val="1"/>
    <w:unhideWhenUsed/>
    <w:qFormat/>
    <w:uiPriority w:val="39"/>
    <w:pPr>
      <w:ind w:left="1050"/>
      <w:jc w:val="left"/>
    </w:pPr>
    <w:rPr>
      <w:rFonts w:asciiTheme="minorHAnsi" w:eastAsiaTheme="minorHAnsi"/>
      <w:sz w:val="18"/>
      <w:szCs w:val="18"/>
    </w:rPr>
  </w:style>
  <w:style w:type="paragraph" w:styleId="17">
    <w:name w:val="toc 2"/>
    <w:basedOn w:val="1"/>
    <w:next w:val="1"/>
    <w:unhideWhenUsed/>
    <w:qFormat/>
    <w:uiPriority w:val="39"/>
    <w:pPr>
      <w:ind w:firstLine="0" w:firstLineChars="0"/>
      <w:jc w:val="left"/>
    </w:pPr>
    <w:rPr>
      <w:rFonts w:eastAsia="黑体"/>
      <w:smallCaps/>
      <w:sz w:val="20"/>
      <w:szCs w:val="20"/>
    </w:rPr>
  </w:style>
  <w:style w:type="paragraph" w:styleId="18">
    <w:name w:val="toc 9"/>
    <w:basedOn w:val="1"/>
    <w:next w:val="1"/>
    <w:unhideWhenUsed/>
    <w:qFormat/>
    <w:uiPriority w:val="39"/>
    <w:pPr>
      <w:ind w:left="1680"/>
      <w:jc w:val="left"/>
    </w:pPr>
    <w:rPr>
      <w:rFonts w:asciiTheme="minorHAnsi" w:eastAsiaTheme="minorHAnsi"/>
      <w:sz w:val="18"/>
      <w:szCs w:val="18"/>
    </w:r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0">
    <w:name w:val="annotation subject"/>
    <w:basedOn w:val="8"/>
    <w:next w:val="8"/>
    <w:link w:val="50"/>
    <w:semiHidden/>
    <w:unhideWhenUsed/>
    <w:qFormat/>
    <w:uiPriority w:val="99"/>
    <w:rPr>
      <w:b/>
      <w:bCs/>
    </w:rPr>
  </w:style>
  <w:style w:type="table" w:styleId="22">
    <w:name w:val="Table Grid"/>
    <w:basedOn w:val="21"/>
    <w:qFormat/>
    <w:uiPriority w:val="59"/>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unhideWhenUsed/>
    <w:qFormat/>
    <w:uiPriority w:val="99"/>
    <w:rPr>
      <w:color w:val="0000FF"/>
      <w:u w:val="single"/>
    </w:rPr>
  </w:style>
  <w:style w:type="character" w:styleId="26">
    <w:name w:val="annotation reference"/>
    <w:basedOn w:val="23"/>
    <w:semiHidden/>
    <w:unhideWhenUsed/>
    <w:qFormat/>
    <w:uiPriority w:val="99"/>
    <w:rPr>
      <w:sz w:val="21"/>
      <w:szCs w:val="21"/>
    </w:rPr>
  </w:style>
  <w:style w:type="character" w:customStyle="1" w:styleId="27">
    <w:name w:val="标题 1 字符"/>
    <w:basedOn w:val="23"/>
    <w:link w:val="2"/>
    <w:qFormat/>
    <w:uiPriority w:val="9"/>
    <w:rPr>
      <w:rFonts w:ascii="Times New Roman" w:hAnsi="Times New Roman" w:eastAsia="宋体"/>
      <w:b/>
      <w:bCs/>
      <w:kern w:val="44"/>
      <w:sz w:val="30"/>
      <w:szCs w:val="44"/>
    </w:rPr>
  </w:style>
  <w:style w:type="character" w:customStyle="1" w:styleId="28">
    <w:name w:val="标题 2 字符"/>
    <w:basedOn w:val="23"/>
    <w:link w:val="3"/>
    <w:qFormat/>
    <w:uiPriority w:val="9"/>
    <w:rPr>
      <w:rFonts w:ascii="Times New Roman" w:hAnsi="Times New Roman" w:eastAsia="宋体" w:cs="Times New Roman"/>
      <w:b/>
      <w:bCs/>
      <w:kern w:val="0"/>
      <w:sz w:val="28"/>
      <w:szCs w:val="32"/>
    </w:rPr>
  </w:style>
  <w:style w:type="character" w:customStyle="1" w:styleId="29">
    <w:name w:val="header-section-number"/>
    <w:basedOn w:val="23"/>
    <w:qFormat/>
    <w:uiPriority w:val="0"/>
  </w:style>
  <w:style w:type="character" w:customStyle="1" w:styleId="30">
    <w:name w:val="标题 3 字符"/>
    <w:basedOn w:val="23"/>
    <w:link w:val="4"/>
    <w:qFormat/>
    <w:uiPriority w:val="9"/>
    <w:rPr>
      <w:rFonts w:ascii="Times New Roman" w:hAnsi="Times New Roman" w:eastAsia="宋体"/>
      <w:b/>
      <w:bCs/>
      <w:sz w:val="24"/>
      <w:szCs w:val="32"/>
    </w:rPr>
  </w:style>
  <w:style w:type="paragraph" w:styleId="31">
    <w:name w:val="List Paragraph"/>
    <w:basedOn w:val="1"/>
    <w:qFormat/>
    <w:uiPriority w:val="34"/>
    <w:pPr>
      <w:ind w:firstLine="420"/>
    </w:pPr>
  </w:style>
  <w:style w:type="paragraph" w:customStyle="1" w:styleId="32">
    <w:name w:val="注释"/>
    <w:basedOn w:val="1"/>
    <w:link w:val="34"/>
    <w:qFormat/>
    <w:uiPriority w:val="0"/>
    <w:pPr>
      <w:spacing w:line="240" w:lineRule="auto"/>
      <w:ind w:firstLine="0" w:firstLineChars="0"/>
    </w:pPr>
    <w:rPr>
      <w:rFonts w:cs="Times New Roman"/>
      <w:color w:val="0070C0"/>
    </w:rPr>
  </w:style>
  <w:style w:type="paragraph" w:customStyle="1" w:styleId="33">
    <w:name w:val="slick-active"/>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character" w:customStyle="1" w:styleId="34">
    <w:name w:val="注释 字符"/>
    <w:basedOn w:val="23"/>
    <w:link w:val="32"/>
    <w:qFormat/>
    <w:uiPriority w:val="0"/>
    <w:rPr>
      <w:rFonts w:ascii="Times New Roman" w:hAnsi="Times New Roman" w:eastAsia="宋体" w:cs="Times New Roman"/>
      <w:color w:val="0070C0"/>
    </w:rPr>
  </w:style>
  <w:style w:type="character" w:customStyle="1" w:styleId="35">
    <w:name w:val="标题 4 字符"/>
    <w:basedOn w:val="23"/>
    <w:link w:val="5"/>
    <w:qFormat/>
    <w:uiPriority w:val="9"/>
    <w:rPr>
      <w:rFonts w:ascii="Times New Roman" w:hAnsi="Times New Roman" w:eastAsia="宋体" w:cstheme="majorBidi"/>
      <w:b/>
      <w:bCs/>
      <w:sz w:val="24"/>
      <w:szCs w:val="28"/>
    </w:rPr>
  </w:style>
  <w:style w:type="character" w:customStyle="1" w:styleId="36">
    <w:name w:val="页眉 字符"/>
    <w:basedOn w:val="23"/>
    <w:link w:val="13"/>
    <w:qFormat/>
    <w:uiPriority w:val="99"/>
    <w:rPr>
      <w:sz w:val="18"/>
      <w:szCs w:val="18"/>
    </w:rPr>
  </w:style>
  <w:style w:type="table" w:customStyle="1" w:styleId="37">
    <w:name w:val="网格型1"/>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TOC 标题1"/>
    <w:basedOn w:val="2"/>
    <w:next w:val="1"/>
    <w:unhideWhenUsed/>
    <w:qFormat/>
    <w:uiPriority w:val="39"/>
    <w:pPr>
      <w:spacing w:before="340" w:after="330" w:line="578" w:lineRule="auto"/>
      <w:ind w:firstLine="200" w:firstLineChars="200"/>
      <w:outlineLvl w:val="9"/>
    </w:pPr>
    <w:rPr>
      <w:sz w:val="44"/>
    </w:rPr>
  </w:style>
  <w:style w:type="character" w:customStyle="1" w:styleId="39">
    <w:name w:val="页脚 字符"/>
    <w:basedOn w:val="23"/>
    <w:link w:val="12"/>
    <w:qFormat/>
    <w:uiPriority w:val="99"/>
    <w:rPr>
      <w:rFonts w:ascii="Times New Roman" w:hAnsi="Times New Roman" w:eastAsia="宋体"/>
      <w:sz w:val="18"/>
      <w:szCs w:val="18"/>
    </w:rPr>
  </w:style>
  <w:style w:type="paragraph" w:customStyle="1" w:styleId="40">
    <w:name w:val="标题1"/>
    <w:basedOn w:val="2"/>
    <w:link w:val="42"/>
    <w:qFormat/>
    <w:uiPriority w:val="0"/>
    <w:pPr>
      <w:spacing w:before="156" w:beforeLines="50" w:after="156" w:afterLines="50"/>
    </w:pPr>
    <w:rPr>
      <w:rFonts w:cs="Times New Roman"/>
      <w:sz w:val="21"/>
      <w:szCs w:val="21"/>
    </w:rPr>
  </w:style>
  <w:style w:type="paragraph" w:customStyle="1" w:styleId="41">
    <w:name w:val="标题2"/>
    <w:basedOn w:val="1"/>
    <w:link w:val="44"/>
    <w:qFormat/>
    <w:uiPriority w:val="0"/>
    <w:pPr>
      <w:keepNext/>
      <w:keepLines/>
      <w:spacing w:before="156" w:beforeLines="50" w:after="156" w:afterLines="50"/>
      <w:ind w:firstLine="0" w:firstLineChars="0"/>
      <w:outlineLvl w:val="1"/>
    </w:pPr>
    <w:rPr>
      <w:rFonts w:cs="Times New Roman"/>
      <w:b/>
      <w:bCs/>
      <w:kern w:val="0"/>
      <w:szCs w:val="21"/>
    </w:rPr>
  </w:style>
  <w:style w:type="character" w:customStyle="1" w:styleId="42">
    <w:name w:val="标题1 字符"/>
    <w:basedOn w:val="27"/>
    <w:link w:val="40"/>
    <w:qFormat/>
    <w:uiPriority w:val="0"/>
    <w:rPr>
      <w:rFonts w:ascii="Times New Roman" w:hAnsi="Times New Roman" w:eastAsia="宋体" w:cs="Times New Roman"/>
      <w:kern w:val="44"/>
      <w:sz w:val="30"/>
      <w:szCs w:val="21"/>
    </w:rPr>
  </w:style>
  <w:style w:type="paragraph" w:customStyle="1" w:styleId="43">
    <w:name w:val="标题3"/>
    <w:basedOn w:val="4"/>
    <w:link w:val="45"/>
    <w:qFormat/>
    <w:uiPriority w:val="0"/>
    <w:rPr>
      <w:rFonts w:cs="Times New Roman"/>
      <w:sz w:val="21"/>
      <w:szCs w:val="21"/>
    </w:rPr>
  </w:style>
  <w:style w:type="character" w:customStyle="1" w:styleId="44">
    <w:name w:val="标题2 字符"/>
    <w:basedOn w:val="23"/>
    <w:link w:val="41"/>
    <w:qFormat/>
    <w:uiPriority w:val="0"/>
    <w:rPr>
      <w:rFonts w:ascii="Times New Roman" w:hAnsi="Times New Roman" w:eastAsia="宋体" w:cs="Times New Roman"/>
      <w:b/>
      <w:bCs/>
      <w:kern w:val="0"/>
      <w:szCs w:val="21"/>
    </w:rPr>
  </w:style>
  <w:style w:type="character" w:customStyle="1" w:styleId="45">
    <w:name w:val="标题3 字符"/>
    <w:basedOn w:val="30"/>
    <w:link w:val="43"/>
    <w:qFormat/>
    <w:uiPriority w:val="0"/>
    <w:rPr>
      <w:rFonts w:ascii="Times New Roman" w:hAnsi="Times New Roman" w:eastAsia="宋体" w:cs="Times New Roman"/>
      <w:sz w:val="24"/>
      <w:szCs w:val="21"/>
    </w:rPr>
  </w:style>
  <w:style w:type="character" w:customStyle="1" w:styleId="46">
    <w:name w:val="标题 6 字符"/>
    <w:basedOn w:val="23"/>
    <w:link w:val="6"/>
    <w:semiHidden/>
    <w:qFormat/>
    <w:uiPriority w:val="9"/>
    <w:rPr>
      <w:rFonts w:asciiTheme="majorHAnsi" w:hAnsiTheme="majorHAnsi" w:eastAsiaTheme="majorEastAsia" w:cstheme="majorBidi"/>
      <w:b/>
      <w:bCs/>
      <w:sz w:val="24"/>
      <w:szCs w:val="24"/>
    </w:rPr>
  </w:style>
  <w:style w:type="paragraph" w:customStyle="1" w:styleId="47">
    <w:name w:val="WPSOffice手动目录 1"/>
    <w:qFormat/>
    <w:uiPriority w:val="0"/>
    <w:rPr>
      <w:rFonts w:asciiTheme="minorHAnsi" w:hAnsiTheme="minorHAnsi" w:eastAsiaTheme="minorEastAsia" w:cstheme="minorBidi"/>
      <w:lang w:val="en-US" w:eastAsia="zh-CN" w:bidi="ar-SA"/>
    </w:rPr>
  </w:style>
  <w:style w:type="paragraph" w:customStyle="1" w:styleId="48">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49">
    <w:name w:val="批注文字 字符"/>
    <w:basedOn w:val="23"/>
    <w:link w:val="8"/>
    <w:semiHidden/>
    <w:qFormat/>
    <w:uiPriority w:val="99"/>
    <w:rPr>
      <w:rFonts w:ascii="Times New Roman" w:hAnsi="Times New Roman" w:eastAsia="宋体"/>
      <w:kern w:val="2"/>
      <w:sz w:val="21"/>
      <w:szCs w:val="22"/>
    </w:rPr>
  </w:style>
  <w:style w:type="character" w:customStyle="1" w:styleId="50">
    <w:name w:val="批注主题 字符"/>
    <w:basedOn w:val="49"/>
    <w:link w:val="20"/>
    <w:semiHidden/>
    <w:qFormat/>
    <w:uiPriority w:val="99"/>
    <w:rPr>
      <w:rFonts w:ascii="Times New Roman" w:hAnsi="Times New Roman" w:eastAsia="宋体"/>
      <w:b/>
      <w:bCs/>
      <w:kern w:val="2"/>
      <w:sz w:val="21"/>
      <w:szCs w:val="22"/>
    </w:rPr>
  </w:style>
  <w:style w:type="character" w:styleId="51">
    <w:name w:val="Placeholder Text"/>
    <w:basedOn w:val="23"/>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0116-1285-4EAD-A79C-29AF2D15BA7F}">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15138</Words>
  <Characters>21612</Characters>
  <Lines>407</Lines>
  <Paragraphs>114</Paragraphs>
  <TotalTime>3</TotalTime>
  <ScaleCrop>false</ScaleCrop>
  <LinksUpToDate>false</LinksUpToDate>
  <CharactersWithSpaces>21985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2023-09-18T02:47:00Z</dcterms:created>
  <dc:creator>li wang</dc:creator>
  <cp:lastModifiedBy>三黍生物</cp:lastModifiedBy>
  <dcterms:modified xsi:type="dcterms:W3CDTF">2026-04-27T09:26:16Z</dcterms:modified>
  <cp:revision>467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5F6A934DF63B4A729B0A5852A2A9E59B_13</vt:lpwstr>
  </property>
  <property fmtid="{D5CDD505-2E9C-101B-9397-08002B2CF9AE}" pid="4" name="KSOTemplateDocerSaveRecord">
    <vt:lpwstr>eyJoZGlkIjoiMGI0ZjExODhlMGZjMmQyMWVlZDFjZGVkMjUxNTI5ZjMiLCJ1c2VySWQiOiIxNTE3NzgyMDMwIn0=</vt:lpwstr>
  </property>
</Properties>
</file>