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0FE43">
      <w:pPr>
        <w:ind w:firstLine="420"/>
        <w:rPr>
          <w:rFonts w:cs="Times New Roman"/>
          <w:szCs w:val="21"/>
        </w:rPr>
      </w:pPr>
      <w:bookmarkStart w:id="0" w:name="_Hlk79402829"/>
      <w:bookmarkEnd w:id="0"/>
    </w:p>
    <w:p w14:paraId="20472BFB">
      <w:pPr>
        <w:ind w:firstLine="420"/>
        <w:rPr>
          <w:rFonts w:cs="Times New Roman"/>
          <w:szCs w:val="21"/>
        </w:rPr>
      </w:pPr>
    </w:p>
    <w:p w14:paraId="656EF547">
      <w:pPr>
        <w:ind w:firstLine="420"/>
        <w:jc w:val="center"/>
        <w:rPr>
          <w:rFonts w:cs="Times New Roman"/>
          <w:szCs w:val="21"/>
        </w:rPr>
      </w:pPr>
      <w:r>
        <w:rPr>
          <w:rFonts w:cs="Times New Roman"/>
          <w:szCs w:val="21"/>
        </w:rPr>
        <w:drawing>
          <wp:inline distT="0" distB="0" distL="0" distR="0">
            <wp:extent cx="3124200" cy="1989455"/>
            <wp:effectExtent l="0" t="0" r="0" b="0"/>
            <wp:docPr id="1" name="图片 1" descr="sanshu logo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anshu logo - 副本"/>
                    <pic:cNvPicPr>
                      <a:picLocks noChangeAspect="1" noChangeArrowheads="1"/>
                    </pic:cNvPicPr>
                  </pic:nvPicPr>
                  <pic:blipFill>
                    <a:blip r:embed="rId15" cstate="print">
                      <a:extLst>
                        <a:ext uri="{28A0092B-C50C-407E-A947-70E740481C1C}">
                          <a14:useLocalDpi xmlns:a14="http://schemas.microsoft.com/office/drawing/2010/main" val="0"/>
                        </a:ext>
                      </a:extLst>
                    </a:blip>
                    <a:srcRect b="22156"/>
                    <a:stretch>
                      <a:fillRect/>
                    </a:stretch>
                  </pic:blipFill>
                  <pic:spPr>
                    <a:xfrm>
                      <a:off x="0" y="0"/>
                      <a:ext cx="3124200" cy="1989455"/>
                    </a:xfrm>
                    <a:prstGeom prst="rect">
                      <a:avLst/>
                    </a:prstGeom>
                    <a:noFill/>
                    <a:ln>
                      <a:noFill/>
                    </a:ln>
                  </pic:spPr>
                </pic:pic>
              </a:graphicData>
            </a:graphic>
          </wp:inline>
        </w:drawing>
      </w:r>
    </w:p>
    <w:p w14:paraId="6CC48E5D">
      <w:pPr>
        <w:ind w:firstLine="420"/>
        <w:jc w:val="center"/>
        <w:rPr>
          <w:rFonts w:cs="Times New Roman"/>
          <w:szCs w:val="21"/>
        </w:rPr>
      </w:pPr>
    </w:p>
    <w:p w14:paraId="4B96835D">
      <w:pPr>
        <w:ind w:firstLine="420"/>
        <w:rPr>
          <w:rFonts w:cs="Times New Roman"/>
          <w:szCs w:val="21"/>
        </w:rPr>
      </w:pPr>
    </w:p>
    <w:p w14:paraId="683A711B">
      <w:pPr>
        <w:ind w:firstLine="0" w:firstLineChars="0"/>
        <w:jc w:val="center"/>
        <w:outlineLvl w:val="0"/>
        <w:rPr>
          <w:rFonts w:cs="Times New Roman"/>
          <w:b/>
          <w:color w:val="0070C0"/>
          <w:kern w:val="0"/>
          <w:sz w:val="72"/>
          <w:szCs w:val="72"/>
        </w:rPr>
      </w:pPr>
      <w:bookmarkStart w:id="1" w:name="_Toc149655948"/>
      <w:bookmarkStart w:id="2" w:name="_Toc161219785"/>
      <w:bookmarkStart w:id="3" w:name="_Toc5272"/>
      <w:bookmarkStart w:id="4" w:name="_Toc12654"/>
      <w:bookmarkStart w:id="5" w:name="_Toc28989"/>
      <w:bookmarkStart w:id="6" w:name="_Toc145668912"/>
      <w:bookmarkStart w:id="7" w:name="_Toc10198"/>
      <w:bookmarkStart w:id="8" w:name="_Toc176436826"/>
      <w:bookmarkStart w:id="9" w:name="_Toc5409"/>
      <w:bookmarkStart w:id="10" w:name="_Toc175927247"/>
      <w:r>
        <w:rPr>
          <w:rFonts w:hint="eastAsia" w:cs="Times New Roman"/>
          <w:b/>
          <w:color w:val="0070C0"/>
          <w:kern w:val="0"/>
          <w:sz w:val="72"/>
          <w:szCs w:val="72"/>
        </w:rPr>
        <w:t>宏基因组</w:t>
      </w:r>
      <w:r>
        <w:rPr>
          <w:rFonts w:cs="Times New Roman"/>
          <w:b/>
          <w:color w:val="0070C0"/>
          <w:kern w:val="0"/>
          <w:sz w:val="72"/>
          <w:szCs w:val="72"/>
        </w:rPr>
        <w:t>检测报告</w:t>
      </w:r>
      <w:bookmarkEnd w:id="1"/>
      <w:bookmarkEnd w:id="2"/>
      <w:bookmarkEnd w:id="3"/>
      <w:bookmarkEnd w:id="4"/>
      <w:bookmarkEnd w:id="5"/>
      <w:bookmarkEnd w:id="6"/>
      <w:bookmarkEnd w:id="7"/>
      <w:bookmarkEnd w:id="8"/>
      <w:bookmarkEnd w:id="9"/>
      <w:bookmarkEnd w:id="10"/>
    </w:p>
    <w:p w14:paraId="25120F59">
      <w:pPr>
        <w:ind w:firstLine="422"/>
        <w:jc w:val="center"/>
        <w:rPr>
          <w:rFonts w:cs="Times New Roman"/>
          <w:b/>
          <w:color w:val="0070C0"/>
          <w:kern w:val="0"/>
          <w:szCs w:val="21"/>
        </w:rPr>
      </w:pPr>
    </w:p>
    <w:p w14:paraId="40E38A72">
      <w:pPr>
        <w:ind w:firstLine="420"/>
        <w:rPr>
          <w:rFonts w:cs="Times New Roman"/>
          <w:szCs w:val="21"/>
        </w:rPr>
      </w:pPr>
    </w:p>
    <w:tbl>
      <w:tblPr>
        <w:tblStyle w:val="3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51"/>
        <w:gridCol w:w="6287"/>
      </w:tblGrid>
      <w:tr w14:paraId="3EFE6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74430B55">
            <w:pPr>
              <w:ind w:firstLineChars="71"/>
              <w:rPr>
                <w:rFonts w:cs="Times New Roman"/>
                <w:b/>
                <w:bCs/>
                <w:kern w:val="0"/>
                <w:sz w:val="28"/>
                <w:szCs w:val="28"/>
              </w:rPr>
            </w:pPr>
            <w:r>
              <w:rPr>
                <w:rFonts w:cs="Times New Roman"/>
                <w:b/>
                <w:bCs/>
                <w:kern w:val="0"/>
                <w:sz w:val="28"/>
                <w:szCs w:val="28"/>
              </w:rPr>
              <w:t>项目名称：</w:t>
            </w:r>
          </w:p>
        </w:tc>
        <w:tc>
          <w:tcPr>
            <w:tcW w:w="6287" w:type="dxa"/>
            <w:tcBorders>
              <w:bottom w:val="single" w:color="auto" w:sz="4" w:space="0"/>
            </w:tcBorders>
            <w:vAlign w:val="center"/>
          </w:tcPr>
          <w:p w14:paraId="4B16A680">
            <w:pPr>
              <w:ind w:firstLine="0" w:firstLineChars="0"/>
              <w:jc w:val="center"/>
              <w:rPr>
                <w:rFonts w:cs="Times New Roman"/>
                <w:b/>
                <w:bCs/>
                <w:sz w:val="28"/>
                <w:szCs w:val="28"/>
              </w:rPr>
            </w:pPr>
            <w:r>
              <w:rPr>
                <w:rFonts w:hint="eastAsia" w:cs="Times New Roman"/>
                <w:b/>
                <w:bCs/>
                <w:sz w:val="28"/>
                <w:szCs w:val="28"/>
              </w:rPr>
              <w:t>宏基因组检测</w:t>
            </w:r>
          </w:p>
        </w:tc>
      </w:tr>
      <w:tr w14:paraId="270A5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410079B9">
            <w:pPr>
              <w:ind w:firstLineChars="71"/>
              <w:rPr>
                <w:rFonts w:cs="Times New Roman"/>
                <w:b/>
                <w:bCs/>
                <w:kern w:val="0"/>
                <w:sz w:val="28"/>
                <w:szCs w:val="28"/>
              </w:rPr>
            </w:pPr>
            <w:r>
              <w:rPr>
                <w:rFonts w:cs="Times New Roman"/>
                <w:b/>
                <w:bCs/>
                <w:kern w:val="0"/>
                <w:sz w:val="28"/>
                <w:szCs w:val="28"/>
              </w:rPr>
              <w:t>客户名称：</w:t>
            </w:r>
          </w:p>
        </w:tc>
        <w:tc>
          <w:tcPr>
            <w:tcW w:w="6287" w:type="dxa"/>
            <w:tcBorders>
              <w:top w:val="single" w:color="auto" w:sz="4" w:space="0"/>
              <w:bottom w:val="single" w:color="auto" w:sz="4" w:space="0"/>
            </w:tcBorders>
            <w:vAlign w:val="center"/>
          </w:tcPr>
          <w:p w14:paraId="4A4A7F81">
            <w:pPr>
              <w:ind w:firstLine="0" w:firstLineChars="0"/>
              <w:jc w:val="center"/>
              <w:rPr>
                <w:rFonts w:cs="Times New Roman"/>
                <w:b/>
                <w:bCs/>
                <w:sz w:val="28"/>
                <w:szCs w:val="28"/>
              </w:rPr>
            </w:pPr>
            <w:r>
              <w:rPr>
                <w:rFonts w:cs="Times New Roman"/>
                <w:b/>
                <w:bCs/>
                <w:sz w:val="28"/>
                <w:szCs w:val="28"/>
              </w:rPr>
              <w:t>姓名</w:t>
            </w:r>
          </w:p>
        </w:tc>
      </w:tr>
      <w:tr w14:paraId="77CA4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526312C2">
            <w:pPr>
              <w:ind w:firstLineChars="71"/>
              <w:rPr>
                <w:rFonts w:cs="Times New Roman"/>
                <w:b/>
                <w:bCs/>
                <w:kern w:val="0"/>
                <w:sz w:val="28"/>
                <w:szCs w:val="28"/>
              </w:rPr>
            </w:pPr>
            <w:r>
              <w:rPr>
                <w:rFonts w:cs="Times New Roman"/>
                <w:b/>
                <w:bCs/>
                <w:kern w:val="0"/>
                <w:sz w:val="28"/>
                <w:szCs w:val="28"/>
              </w:rPr>
              <w:t>单    位：</w:t>
            </w:r>
          </w:p>
        </w:tc>
        <w:tc>
          <w:tcPr>
            <w:tcW w:w="6287" w:type="dxa"/>
            <w:tcBorders>
              <w:top w:val="single" w:color="auto" w:sz="4" w:space="0"/>
              <w:bottom w:val="single" w:color="auto" w:sz="4" w:space="0"/>
            </w:tcBorders>
            <w:vAlign w:val="center"/>
          </w:tcPr>
          <w:p w14:paraId="3DD38CB8">
            <w:pPr>
              <w:ind w:firstLine="0" w:firstLineChars="0"/>
              <w:jc w:val="center"/>
              <w:rPr>
                <w:rFonts w:cs="Times New Roman"/>
                <w:b/>
                <w:bCs/>
                <w:sz w:val="28"/>
                <w:szCs w:val="28"/>
              </w:rPr>
            </w:pPr>
            <w:r>
              <w:rPr>
                <w:rFonts w:cs="Times New Roman"/>
                <w:b/>
                <w:bCs/>
                <w:sz w:val="28"/>
                <w:szCs w:val="28"/>
              </w:rPr>
              <w:t>检测部</w:t>
            </w:r>
          </w:p>
        </w:tc>
      </w:tr>
      <w:tr w14:paraId="770E0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26E2ECC8">
            <w:pPr>
              <w:ind w:firstLineChars="71"/>
              <w:rPr>
                <w:rFonts w:cs="Times New Roman"/>
                <w:b/>
                <w:bCs/>
                <w:kern w:val="0"/>
                <w:sz w:val="28"/>
                <w:szCs w:val="28"/>
              </w:rPr>
            </w:pPr>
            <w:r>
              <w:rPr>
                <w:rFonts w:cs="Times New Roman"/>
                <w:b/>
                <w:bCs/>
                <w:kern w:val="0"/>
                <w:sz w:val="28"/>
                <w:szCs w:val="28"/>
              </w:rPr>
              <w:t>项目编号：</w:t>
            </w:r>
          </w:p>
        </w:tc>
        <w:tc>
          <w:tcPr>
            <w:tcW w:w="6287" w:type="dxa"/>
            <w:tcBorders>
              <w:top w:val="single" w:color="auto" w:sz="4" w:space="0"/>
              <w:bottom w:val="single" w:color="auto" w:sz="4" w:space="0"/>
            </w:tcBorders>
            <w:vAlign w:val="center"/>
          </w:tcPr>
          <w:p w14:paraId="6AA27FCF">
            <w:pPr>
              <w:ind w:firstLine="0" w:firstLineChars="0"/>
              <w:jc w:val="center"/>
              <w:rPr>
                <w:rFonts w:cs="Times New Roman"/>
                <w:b/>
                <w:bCs/>
                <w:sz w:val="28"/>
                <w:szCs w:val="28"/>
              </w:rPr>
            </w:pPr>
            <w:r>
              <w:rPr>
                <w:rFonts w:cs="Times New Roman"/>
                <w:b/>
                <w:bCs/>
                <w:sz w:val="28"/>
                <w:szCs w:val="28"/>
              </w:rPr>
              <w:t>目号</w:t>
            </w:r>
          </w:p>
        </w:tc>
      </w:tr>
      <w:tr w14:paraId="7A9DB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70821F04">
            <w:pPr>
              <w:ind w:firstLineChars="71"/>
              <w:rPr>
                <w:rFonts w:cs="Times New Roman"/>
                <w:b/>
                <w:bCs/>
                <w:kern w:val="0"/>
                <w:sz w:val="28"/>
                <w:szCs w:val="28"/>
              </w:rPr>
            </w:pPr>
            <w:r>
              <w:rPr>
                <w:rFonts w:cs="Times New Roman"/>
                <w:b/>
                <w:bCs/>
                <w:kern w:val="0"/>
                <w:sz w:val="28"/>
                <w:szCs w:val="28"/>
              </w:rPr>
              <w:t>时    间：</w:t>
            </w:r>
          </w:p>
        </w:tc>
        <w:tc>
          <w:tcPr>
            <w:tcW w:w="6287" w:type="dxa"/>
            <w:tcBorders>
              <w:top w:val="single" w:color="auto" w:sz="4" w:space="0"/>
              <w:bottom w:val="single" w:color="auto" w:sz="4" w:space="0"/>
            </w:tcBorders>
            <w:vAlign w:val="center"/>
          </w:tcPr>
          <w:p w14:paraId="4AECD46A">
            <w:pPr>
              <w:ind w:firstLine="0" w:firstLineChars="0"/>
              <w:jc w:val="center"/>
              <w:rPr>
                <w:rFonts w:cs="Times New Roman"/>
                <w:b/>
                <w:bCs/>
                <w:sz w:val="28"/>
                <w:szCs w:val="28"/>
              </w:rPr>
            </w:pPr>
            <w:r>
              <w:rPr>
                <w:rFonts w:cs="Times New Roman"/>
                <w:b/>
                <w:bCs/>
                <w:sz w:val="28"/>
                <w:szCs w:val="28"/>
              </w:rPr>
              <w:t>时间</w:t>
            </w:r>
          </w:p>
        </w:tc>
      </w:tr>
    </w:tbl>
    <w:p w14:paraId="0FCF34AE">
      <w:pPr>
        <w:ind w:firstLine="420"/>
        <w:rPr>
          <w:rFonts w:cs="Times New Roman"/>
          <w:szCs w:val="21"/>
        </w:rPr>
      </w:pPr>
    </w:p>
    <w:p w14:paraId="1B24BE78">
      <w:pPr>
        <w:ind w:firstLine="420"/>
        <w:rPr>
          <w:rFonts w:cs="Times New Roman"/>
          <w:szCs w:val="21"/>
        </w:rPr>
      </w:pPr>
    </w:p>
    <w:p w14:paraId="6BABD177">
      <w:pPr>
        <w:ind w:firstLine="420"/>
        <w:rPr>
          <w:rFonts w:cs="Times New Roman"/>
          <w:szCs w:val="21"/>
        </w:rPr>
      </w:pPr>
    </w:p>
    <w:p w14:paraId="5900C6A4">
      <w:pPr>
        <w:ind w:firstLine="602"/>
        <w:jc w:val="center"/>
        <w:outlineLvl w:val="0"/>
        <w:rPr>
          <w:rFonts w:cs="Times New Roman"/>
          <w:sz w:val="30"/>
          <w:szCs w:val="30"/>
        </w:rPr>
      </w:pPr>
      <w:bookmarkStart w:id="11" w:name="_Toc149655949"/>
      <w:bookmarkStart w:id="12" w:name="_Toc161219786"/>
      <w:bookmarkStart w:id="13" w:name="_Toc5204"/>
      <w:bookmarkStart w:id="14" w:name="_Toc21806"/>
      <w:bookmarkStart w:id="15" w:name="_Toc175927248"/>
      <w:bookmarkStart w:id="16" w:name="_Toc2831"/>
      <w:bookmarkStart w:id="17" w:name="_Toc12938"/>
      <w:bookmarkStart w:id="18" w:name="_Toc176436827"/>
      <w:bookmarkStart w:id="19" w:name="_Toc145668913"/>
      <w:bookmarkStart w:id="20" w:name="_Toc4672"/>
      <w:r>
        <w:rPr>
          <w:rFonts w:cs="Times New Roman"/>
          <w:b/>
          <w:sz w:val="30"/>
          <w:szCs w:val="30"/>
        </w:rPr>
        <w:t>三黍生物编制</w:t>
      </w:r>
      <w:bookmarkEnd w:id="11"/>
      <w:bookmarkEnd w:id="12"/>
      <w:bookmarkEnd w:id="13"/>
      <w:bookmarkEnd w:id="14"/>
      <w:bookmarkEnd w:id="15"/>
      <w:bookmarkEnd w:id="16"/>
      <w:bookmarkEnd w:id="17"/>
      <w:bookmarkEnd w:id="18"/>
      <w:bookmarkEnd w:id="19"/>
      <w:bookmarkEnd w:id="20"/>
    </w:p>
    <w:p w14:paraId="158C374C">
      <w:pPr>
        <w:widowControl/>
        <w:ind w:firstLine="0" w:firstLineChars="0"/>
        <w:jc w:val="left"/>
        <w:rPr>
          <w:rFonts w:cs="Times New Roman"/>
          <w:szCs w:val="21"/>
        </w:rPr>
      </w:pPr>
    </w:p>
    <w:p w14:paraId="3702A322">
      <w:pPr>
        <w:widowControl/>
        <w:ind w:firstLine="0" w:firstLineChars="0"/>
        <w:jc w:val="left"/>
        <w:rPr>
          <w:rFonts w:hint="eastAsia" w:cs="Times New Roman"/>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440" w:right="1080" w:bottom="1440" w:left="1080" w:header="851" w:footer="992" w:gutter="0"/>
          <w:cols w:space="425" w:num="1"/>
          <w:docGrid w:type="lines" w:linePitch="312" w:charSpace="0"/>
        </w:sectPr>
      </w:pPr>
    </w:p>
    <w:p w14:paraId="2481868F">
      <w:pPr>
        <w:pStyle w:val="14"/>
        <w:tabs>
          <w:tab w:val="right" w:leader="dot" w:pos="8306"/>
        </w:tabs>
      </w:pPr>
      <w:bookmarkStart w:id="21" w:name="_Toc21614"/>
      <w:r>
        <w:rPr>
          <w:rFonts w:eastAsia="宋体" w:cs="Times New Roman"/>
          <w:caps w:val="0"/>
          <w:color w:val="000000" w:themeColor="text1"/>
          <w14:textFill>
            <w14:solidFill>
              <w14:schemeClr w14:val="tx1"/>
            </w14:solidFill>
          </w14:textFill>
        </w:rPr>
        <w:fldChar w:fldCharType="begin"/>
      </w:r>
      <w:r>
        <w:rPr>
          <w:rFonts w:eastAsia="宋体" w:cs="Times New Roman"/>
          <w:caps w:val="0"/>
          <w:color w:val="000000" w:themeColor="text1"/>
          <w14:textFill>
            <w14:solidFill>
              <w14:schemeClr w14:val="tx1"/>
            </w14:solidFill>
          </w14:textFill>
        </w:rPr>
        <w:instrText xml:space="preserve">TOC \o "1-2" \h \u </w:instrText>
      </w:r>
      <w:r>
        <w:rPr>
          <w:rFonts w:eastAsia="宋体" w:cs="Times New Roman"/>
          <w:caps w:val="0"/>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fldChar w:fldCharType="begin"/>
      </w:r>
      <w:r>
        <w:rPr>
          <w:rFonts w:cs="Times New Roman"/>
        </w:rPr>
        <w:instrText xml:space="preserve"> HYPERLINK \l _Toc19597 </w:instrText>
      </w:r>
      <w:r>
        <w:rPr>
          <w:rFonts w:cs="Times New Roman"/>
        </w:rPr>
        <w:fldChar w:fldCharType="separate"/>
      </w:r>
      <w:r>
        <w:rPr>
          <w:rFonts w:hint="eastAsia"/>
        </w:rPr>
        <w:t>1. 项目介绍</w:t>
      </w:r>
      <w:r>
        <w:tab/>
      </w:r>
      <w:r>
        <w:fldChar w:fldCharType="begin"/>
      </w:r>
      <w:r>
        <w:instrText xml:space="preserve"> PAGEREF _Toc19597 \h </w:instrText>
      </w:r>
      <w:r>
        <w:fldChar w:fldCharType="separate"/>
      </w:r>
      <w:r>
        <w:t>2</w:t>
      </w:r>
      <w:r>
        <w:fldChar w:fldCharType="end"/>
      </w:r>
      <w:r>
        <w:rPr>
          <w:rFonts w:cs="Times New Roman"/>
          <w:color w:val="000000" w:themeColor="text1"/>
          <w14:textFill>
            <w14:solidFill>
              <w14:schemeClr w14:val="tx1"/>
            </w14:solidFill>
          </w14:textFill>
        </w:rPr>
        <w:fldChar w:fldCharType="end"/>
      </w:r>
    </w:p>
    <w:p w14:paraId="626C0F84">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_Toc13482 </w:instrText>
      </w:r>
      <w:r>
        <w:rPr>
          <w:rFonts w:cs="Times New Roman"/>
        </w:rPr>
        <w:fldChar w:fldCharType="separate"/>
      </w:r>
      <w:r>
        <w:t>2.</w:t>
      </w:r>
      <w:r>
        <w:rPr>
          <w:rFonts w:hint="eastAsia"/>
        </w:rPr>
        <w:t xml:space="preserve"> </w:t>
      </w:r>
      <w:r>
        <w:t>数据分析流程</w:t>
      </w:r>
      <w:r>
        <w:tab/>
      </w:r>
      <w:r>
        <w:fldChar w:fldCharType="begin"/>
      </w:r>
      <w:r>
        <w:instrText xml:space="preserve"> PAGEREF _Toc13482 \h </w:instrText>
      </w:r>
      <w:r>
        <w:fldChar w:fldCharType="separate"/>
      </w:r>
      <w:r>
        <w:t>2</w:t>
      </w:r>
      <w:r>
        <w:fldChar w:fldCharType="end"/>
      </w:r>
      <w:r>
        <w:rPr>
          <w:rFonts w:cs="Times New Roman"/>
          <w:color w:val="000000" w:themeColor="text1"/>
          <w14:textFill>
            <w14:solidFill>
              <w14:schemeClr w14:val="tx1"/>
            </w14:solidFill>
          </w14:textFill>
        </w:rPr>
        <w:fldChar w:fldCharType="end"/>
      </w:r>
    </w:p>
    <w:p w14:paraId="4E8B42A7">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_Toc25809 </w:instrText>
      </w:r>
      <w:r>
        <w:rPr>
          <w:rFonts w:cs="Times New Roman"/>
        </w:rPr>
        <w:fldChar w:fldCharType="separate"/>
      </w:r>
      <w:r>
        <w:rPr>
          <w:rFonts w:hint="eastAsia"/>
        </w:rPr>
        <w:t>3</w:t>
      </w:r>
      <w:r>
        <w:t>. 数据</w:t>
      </w:r>
      <w:r>
        <w:rPr>
          <w:rFonts w:hint="eastAsia"/>
        </w:rPr>
        <w:t>质控</w:t>
      </w:r>
      <w:r>
        <w:tab/>
      </w:r>
      <w:r>
        <w:fldChar w:fldCharType="begin"/>
      </w:r>
      <w:r>
        <w:instrText xml:space="preserve"> PAGEREF _Toc25809 \h </w:instrText>
      </w:r>
      <w:r>
        <w:fldChar w:fldCharType="separate"/>
      </w:r>
      <w:r>
        <w:t>2</w:t>
      </w:r>
      <w:r>
        <w:fldChar w:fldCharType="end"/>
      </w:r>
      <w:r>
        <w:rPr>
          <w:rFonts w:cs="Times New Roman"/>
          <w:color w:val="000000" w:themeColor="text1"/>
          <w14:textFill>
            <w14:solidFill>
              <w14:schemeClr w14:val="tx1"/>
            </w14:solidFill>
          </w14:textFill>
        </w:rPr>
        <w:fldChar w:fldCharType="end"/>
      </w:r>
    </w:p>
    <w:p w14:paraId="04227AB2">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_Toc14867 </w:instrText>
      </w:r>
      <w:r>
        <w:rPr>
          <w:rFonts w:cs="Times New Roman"/>
        </w:rPr>
        <w:fldChar w:fldCharType="separate"/>
      </w:r>
      <w:r>
        <w:t>3.1</w:t>
      </w:r>
      <w:r>
        <w:rPr>
          <w:rFonts w:hint="eastAsia"/>
        </w:rPr>
        <w:t xml:space="preserve"> 测序结果格式介绍</w:t>
      </w:r>
      <w:r>
        <w:tab/>
      </w:r>
      <w:r>
        <w:fldChar w:fldCharType="begin"/>
      </w:r>
      <w:r>
        <w:instrText xml:space="preserve"> PAGEREF _Toc14867 \h </w:instrText>
      </w:r>
      <w:r>
        <w:fldChar w:fldCharType="separate"/>
      </w:r>
      <w:r>
        <w:t>2</w:t>
      </w:r>
      <w:r>
        <w:fldChar w:fldCharType="end"/>
      </w:r>
      <w:r>
        <w:rPr>
          <w:rFonts w:cs="Times New Roman"/>
          <w:color w:val="000000" w:themeColor="text1"/>
          <w14:textFill>
            <w14:solidFill>
              <w14:schemeClr w14:val="tx1"/>
            </w14:solidFill>
          </w14:textFill>
        </w:rPr>
        <w:fldChar w:fldCharType="end"/>
      </w:r>
    </w:p>
    <w:p w14:paraId="23A0D071">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_Toc27549 </w:instrText>
      </w:r>
      <w:r>
        <w:rPr>
          <w:rFonts w:cs="Times New Roman"/>
        </w:rPr>
        <w:fldChar w:fldCharType="separate"/>
      </w:r>
      <w:r>
        <w:rPr>
          <w:bCs w:val="0"/>
        </w:rPr>
        <w:t>3.2</w:t>
      </w:r>
      <w:r>
        <w:rPr>
          <w:rFonts w:hint="eastAsia"/>
          <w:bCs w:val="0"/>
        </w:rPr>
        <w:t xml:space="preserve"> </w:t>
      </w:r>
      <w:r>
        <w:rPr>
          <w:rFonts w:hint="eastAsia"/>
        </w:rPr>
        <w:t>测序碱基质量值</w:t>
      </w:r>
      <w:r>
        <w:tab/>
      </w:r>
      <w:r>
        <w:fldChar w:fldCharType="begin"/>
      </w:r>
      <w:r>
        <w:instrText xml:space="preserve"> PAGEREF _Toc27549 \h </w:instrText>
      </w:r>
      <w:r>
        <w:fldChar w:fldCharType="separate"/>
      </w:r>
      <w:r>
        <w:t>3</w:t>
      </w:r>
      <w:r>
        <w:fldChar w:fldCharType="end"/>
      </w:r>
      <w:r>
        <w:rPr>
          <w:rFonts w:cs="Times New Roman"/>
          <w:color w:val="000000" w:themeColor="text1"/>
          <w14:textFill>
            <w14:solidFill>
              <w14:schemeClr w14:val="tx1"/>
            </w14:solidFill>
          </w14:textFill>
        </w:rPr>
        <w:fldChar w:fldCharType="end"/>
      </w:r>
    </w:p>
    <w:p w14:paraId="168C8133">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_Toc23490 </w:instrText>
      </w:r>
      <w:r>
        <w:rPr>
          <w:rFonts w:cs="Times New Roman"/>
        </w:rPr>
        <w:fldChar w:fldCharType="separate"/>
      </w:r>
      <w:r>
        <w:rPr>
          <w:bCs w:val="0"/>
        </w:rPr>
        <w:t>3.3</w:t>
      </w:r>
      <w:r>
        <w:rPr>
          <w:rFonts w:hint="eastAsia"/>
          <w:bCs w:val="0"/>
        </w:rPr>
        <w:t xml:space="preserve"> 测序碱基含量分布</w:t>
      </w:r>
      <w:r>
        <w:tab/>
      </w:r>
      <w:r>
        <w:fldChar w:fldCharType="begin"/>
      </w:r>
      <w:r>
        <w:instrText xml:space="preserve"> PAGEREF _Toc23490 \h </w:instrText>
      </w:r>
      <w:r>
        <w:fldChar w:fldCharType="separate"/>
      </w:r>
      <w:r>
        <w:t>4</w:t>
      </w:r>
      <w:r>
        <w:fldChar w:fldCharType="end"/>
      </w:r>
      <w:r>
        <w:rPr>
          <w:rFonts w:cs="Times New Roman"/>
          <w:color w:val="000000" w:themeColor="text1"/>
          <w14:textFill>
            <w14:solidFill>
              <w14:schemeClr w14:val="tx1"/>
            </w14:solidFill>
          </w14:textFill>
        </w:rPr>
        <w:fldChar w:fldCharType="end"/>
      </w:r>
    </w:p>
    <w:p w14:paraId="0A3AD07E">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_Toc29429 </w:instrText>
      </w:r>
      <w:r>
        <w:rPr>
          <w:rFonts w:cs="Times New Roman"/>
        </w:rPr>
        <w:fldChar w:fldCharType="separate"/>
      </w:r>
      <w:r>
        <w:rPr>
          <w:bCs w:val="0"/>
        </w:rPr>
        <w:t>3.4</w:t>
      </w:r>
      <w:r>
        <w:rPr>
          <w:rFonts w:hint="eastAsia"/>
          <w:bCs w:val="0"/>
        </w:rPr>
        <w:t xml:space="preserve"> 数据处理过程和参数</w:t>
      </w:r>
      <w:r>
        <w:tab/>
      </w:r>
      <w:r>
        <w:fldChar w:fldCharType="begin"/>
      </w:r>
      <w:r>
        <w:instrText xml:space="preserve"> PAGEREF _Toc29429 \h </w:instrText>
      </w:r>
      <w:r>
        <w:fldChar w:fldCharType="separate"/>
      </w:r>
      <w:r>
        <w:t>5</w:t>
      </w:r>
      <w:r>
        <w:fldChar w:fldCharType="end"/>
      </w:r>
      <w:r>
        <w:rPr>
          <w:rFonts w:cs="Times New Roman"/>
          <w:color w:val="000000" w:themeColor="text1"/>
          <w14:textFill>
            <w14:solidFill>
              <w14:schemeClr w14:val="tx1"/>
            </w14:solidFill>
          </w14:textFill>
        </w:rPr>
        <w:fldChar w:fldCharType="end"/>
      </w:r>
    </w:p>
    <w:p w14:paraId="64091929">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_Toc21671 </w:instrText>
      </w:r>
      <w:r>
        <w:rPr>
          <w:rFonts w:cs="Times New Roman"/>
        </w:rPr>
        <w:fldChar w:fldCharType="separate"/>
      </w:r>
      <w:r>
        <w:t>3.5</w:t>
      </w:r>
      <w:r>
        <w:rPr>
          <w:rFonts w:hint="eastAsia"/>
        </w:rPr>
        <w:t xml:space="preserve"> </w:t>
      </w:r>
      <w:r>
        <w:t>数据质控与统计</w:t>
      </w:r>
      <w:r>
        <w:tab/>
      </w:r>
      <w:r>
        <w:fldChar w:fldCharType="begin"/>
      </w:r>
      <w:r>
        <w:instrText xml:space="preserve"> PAGEREF _Toc21671 \h </w:instrText>
      </w:r>
      <w:r>
        <w:fldChar w:fldCharType="separate"/>
      </w:r>
      <w:r>
        <w:t>5</w:t>
      </w:r>
      <w:r>
        <w:fldChar w:fldCharType="end"/>
      </w:r>
      <w:r>
        <w:rPr>
          <w:rFonts w:cs="Times New Roman"/>
          <w:color w:val="000000" w:themeColor="text1"/>
          <w14:textFill>
            <w14:solidFill>
              <w14:schemeClr w14:val="tx1"/>
            </w14:solidFill>
          </w14:textFill>
        </w:rPr>
        <w:fldChar w:fldCharType="end"/>
      </w:r>
    </w:p>
    <w:p w14:paraId="0E882427">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_Toc24352 </w:instrText>
      </w:r>
      <w:r>
        <w:rPr>
          <w:rFonts w:cs="Times New Roman"/>
        </w:rPr>
        <w:fldChar w:fldCharType="separate"/>
      </w:r>
      <w:r>
        <w:rPr>
          <w:rFonts w:hint="eastAsia"/>
        </w:rPr>
        <w:t>4.</w:t>
      </w:r>
      <w:r>
        <w:t xml:space="preserve"> </w:t>
      </w:r>
      <w:r>
        <w:rPr>
          <w:rFonts w:hint="eastAsia"/>
        </w:rPr>
        <w:t>数据组装</w:t>
      </w:r>
      <w:r>
        <w:tab/>
      </w:r>
      <w:r>
        <w:fldChar w:fldCharType="begin"/>
      </w:r>
      <w:r>
        <w:instrText xml:space="preserve"> PAGEREF _Toc24352 \h </w:instrText>
      </w:r>
      <w:r>
        <w:fldChar w:fldCharType="separate"/>
      </w:r>
      <w:r>
        <w:t>6</w:t>
      </w:r>
      <w:r>
        <w:fldChar w:fldCharType="end"/>
      </w:r>
      <w:r>
        <w:rPr>
          <w:rFonts w:cs="Times New Roman"/>
          <w:color w:val="000000" w:themeColor="text1"/>
          <w14:textFill>
            <w14:solidFill>
              <w14:schemeClr w14:val="tx1"/>
            </w14:solidFill>
          </w14:textFill>
        </w:rPr>
        <w:fldChar w:fldCharType="end"/>
      </w:r>
    </w:p>
    <w:p w14:paraId="0A23809B">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_Toc181 </w:instrText>
      </w:r>
      <w:r>
        <w:rPr>
          <w:rFonts w:cs="Times New Roman"/>
        </w:rPr>
        <w:fldChar w:fldCharType="separate"/>
      </w:r>
      <w:r>
        <w:t>5</w:t>
      </w:r>
      <w:r>
        <w:rPr>
          <w:rFonts w:hint="eastAsia"/>
        </w:rPr>
        <w:t>.</w:t>
      </w:r>
      <w:r>
        <w:t xml:space="preserve"> </w:t>
      </w:r>
      <w:r>
        <w:rPr>
          <w:rFonts w:hint="eastAsia"/>
        </w:rPr>
        <w:t>基因预测以及基因集构建</w:t>
      </w:r>
      <w:r>
        <w:tab/>
      </w:r>
      <w:r>
        <w:fldChar w:fldCharType="begin"/>
      </w:r>
      <w:r>
        <w:instrText xml:space="preserve"> PAGEREF _Toc181 \h </w:instrText>
      </w:r>
      <w:r>
        <w:fldChar w:fldCharType="separate"/>
      </w:r>
      <w:r>
        <w:t>7</w:t>
      </w:r>
      <w:r>
        <w:fldChar w:fldCharType="end"/>
      </w:r>
      <w:r>
        <w:rPr>
          <w:rFonts w:cs="Times New Roman"/>
          <w:color w:val="000000" w:themeColor="text1"/>
          <w14:textFill>
            <w14:solidFill>
              <w14:schemeClr w14:val="tx1"/>
            </w14:solidFill>
          </w14:textFill>
        </w:rPr>
        <w:fldChar w:fldCharType="end"/>
      </w:r>
    </w:p>
    <w:p w14:paraId="5BBEE988">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_Toc10728 </w:instrText>
      </w:r>
      <w:r>
        <w:rPr>
          <w:rFonts w:cs="Times New Roman"/>
        </w:rPr>
        <w:fldChar w:fldCharType="separate"/>
      </w:r>
      <w:r>
        <w:t xml:space="preserve">5.1 </w:t>
      </w:r>
      <w:r>
        <w:rPr>
          <w:rFonts w:hint="eastAsia"/>
        </w:rPr>
        <w:t>gene catalogue基本信息统计</w:t>
      </w:r>
      <w:r>
        <w:tab/>
      </w:r>
      <w:r>
        <w:fldChar w:fldCharType="begin"/>
      </w:r>
      <w:r>
        <w:instrText xml:space="preserve"> PAGEREF _Toc10728 \h </w:instrText>
      </w:r>
      <w:r>
        <w:fldChar w:fldCharType="separate"/>
      </w:r>
      <w:r>
        <w:t>7</w:t>
      </w:r>
      <w:r>
        <w:fldChar w:fldCharType="end"/>
      </w:r>
      <w:r>
        <w:rPr>
          <w:rFonts w:cs="Times New Roman"/>
          <w:color w:val="000000" w:themeColor="text1"/>
          <w14:textFill>
            <w14:solidFill>
              <w14:schemeClr w14:val="tx1"/>
            </w14:solidFill>
          </w14:textFill>
        </w:rPr>
        <w:fldChar w:fldCharType="end"/>
      </w:r>
    </w:p>
    <w:p w14:paraId="6ADD0E02">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_Toc20906 </w:instrText>
      </w:r>
      <w:r>
        <w:rPr>
          <w:rFonts w:cs="Times New Roman"/>
        </w:rPr>
        <w:fldChar w:fldCharType="separate"/>
      </w:r>
      <w:r>
        <w:t xml:space="preserve">5.2 </w:t>
      </w:r>
      <w:r>
        <w:rPr>
          <w:rFonts w:hint="eastAsia"/>
        </w:rPr>
        <w:t>基于基因丰度的样品间相关性和韦恩分析</w:t>
      </w:r>
      <w:r>
        <w:tab/>
      </w:r>
      <w:r>
        <w:fldChar w:fldCharType="begin"/>
      </w:r>
      <w:r>
        <w:instrText xml:space="preserve"> PAGEREF _Toc20906 \h </w:instrText>
      </w:r>
      <w:r>
        <w:fldChar w:fldCharType="separate"/>
      </w:r>
      <w:r>
        <w:t>8</w:t>
      </w:r>
      <w:r>
        <w:fldChar w:fldCharType="end"/>
      </w:r>
      <w:r>
        <w:rPr>
          <w:rFonts w:cs="Times New Roman"/>
          <w:color w:val="000000" w:themeColor="text1"/>
          <w14:textFill>
            <w14:solidFill>
              <w14:schemeClr w14:val="tx1"/>
            </w14:solidFill>
          </w14:textFill>
        </w:rPr>
        <w:fldChar w:fldCharType="end"/>
      </w:r>
    </w:p>
    <w:p w14:paraId="37B5DA83">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_Toc18625 </w:instrText>
      </w:r>
      <w:r>
        <w:rPr>
          <w:rFonts w:cs="Times New Roman"/>
        </w:rPr>
        <w:fldChar w:fldCharType="separate"/>
      </w:r>
      <w:r>
        <w:t>6</w:t>
      </w:r>
      <w:r>
        <w:rPr>
          <w:rFonts w:hint="eastAsia"/>
        </w:rPr>
        <w:t>.</w:t>
      </w:r>
      <w:r>
        <w:t xml:space="preserve"> </w:t>
      </w:r>
      <w:r>
        <w:rPr>
          <w:rFonts w:hint="eastAsia"/>
        </w:rPr>
        <w:t>物种组成及丰度分析</w:t>
      </w:r>
      <w:r>
        <w:tab/>
      </w:r>
      <w:r>
        <w:fldChar w:fldCharType="begin"/>
      </w:r>
      <w:r>
        <w:instrText xml:space="preserve"> PAGEREF _Toc18625 \h </w:instrText>
      </w:r>
      <w:r>
        <w:fldChar w:fldCharType="separate"/>
      </w:r>
      <w:r>
        <w:t>9</w:t>
      </w:r>
      <w:r>
        <w:fldChar w:fldCharType="end"/>
      </w:r>
      <w:r>
        <w:rPr>
          <w:rFonts w:cs="Times New Roman"/>
          <w:color w:val="000000" w:themeColor="text1"/>
          <w14:textFill>
            <w14:solidFill>
              <w14:schemeClr w14:val="tx1"/>
            </w14:solidFill>
          </w14:textFill>
        </w:rPr>
        <w:fldChar w:fldCharType="end"/>
      </w:r>
    </w:p>
    <w:p w14:paraId="4630250E">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_Toc20242 </w:instrText>
      </w:r>
      <w:r>
        <w:rPr>
          <w:rFonts w:cs="Times New Roman"/>
        </w:rPr>
        <w:fldChar w:fldCharType="separate"/>
      </w:r>
      <w:r>
        <w:t xml:space="preserve">6.1 </w:t>
      </w:r>
      <w:r>
        <w:rPr>
          <w:rFonts w:hint="eastAsia"/>
        </w:rPr>
        <w:t>物种组成分析</w:t>
      </w:r>
      <w:r>
        <w:tab/>
      </w:r>
      <w:r>
        <w:fldChar w:fldCharType="begin"/>
      </w:r>
      <w:r>
        <w:instrText xml:space="preserve"> PAGEREF _Toc20242 \h </w:instrText>
      </w:r>
      <w:r>
        <w:fldChar w:fldCharType="separate"/>
      </w:r>
      <w:r>
        <w:t>9</w:t>
      </w:r>
      <w:r>
        <w:fldChar w:fldCharType="end"/>
      </w:r>
      <w:r>
        <w:rPr>
          <w:rFonts w:cs="Times New Roman"/>
          <w:color w:val="000000" w:themeColor="text1"/>
          <w14:textFill>
            <w14:solidFill>
              <w14:schemeClr w14:val="tx1"/>
            </w14:solidFill>
          </w14:textFill>
        </w:rPr>
        <w:fldChar w:fldCharType="end"/>
      </w:r>
    </w:p>
    <w:p w14:paraId="7BFD74FF">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_Toc5453 </w:instrText>
      </w:r>
      <w:r>
        <w:rPr>
          <w:rFonts w:cs="Times New Roman"/>
        </w:rPr>
        <w:fldChar w:fldCharType="separate"/>
      </w:r>
      <w:r>
        <w:rPr>
          <w:rFonts w:hint="eastAsia"/>
          <w:lang w:val="en-US" w:eastAsia="zh-CN"/>
        </w:rPr>
        <w:t>7</w:t>
      </w:r>
      <w:r>
        <w:t xml:space="preserve">. </w:t>
      </w:r>
      <w:r>
        <w:rPr>
          <w:rFonts w:hint="eastAsia"/>
        </w:rPr>
        <w:t>功能预测</w:t>
      </w:r>
      <w:r>
        <w:tab/>
      </w:r>
      <w:r>
        <w:fldChar w:fldCharType="begin"/>
      </w:r>
      <w:r>
        <w:instrText xml:space="preserve"> PAGEREF _Toc5453 \h </w:instrText>
      </w:r>
      <w:r>
        <w:fldChar w:fldCharType="separate"/>
      </w:r>
      <w:r>
        <w:t>10</w:t>
      </w:r>
      <w:r>
        <w:fldChar w:fldCharType="end"/>
      </w:r>
      <w:r>
        <w:rPr>
          <w:rFonts w:cs="Times New Roman"/>
          <w:color w:val="000000" w:themeColor="text1"/>
          <w14:textFill>
            <w14:solidFill>
              <w14:schemeClr w14:val="tx1"/>
            </w14:solidFill>
          </w14:textFill>
        </w:rPr>
        <w:fldChar w:fldCharType="end"/>
      </w:r>
    </w:p>
    <w:p w14:paraId="7C931DE8">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_Toc9030 </w:instrText>
      </w:r>
      <w:r>
        <w:rPr>
          <w:rFonts w:cs="Times New Roman"/>
        </w:rPr>
        <w:fldChar w:fldCharType="separate"/>
      </w:r>
      <w:r>
        <w:rPr>
          <w:rFonts w:hint="eastAsia"/>
          <w:lang w:val="en-US" w:eastAsia="zh-CN"/>
        </w:rPr>
        <w:t>8</w:t>
      </w:r>
      <w:r>
        <w:t xml:space="preserve">. </w:t>
      </w:r>
      <w:r>
        <w:rPr>
          <w:rFonts w:hint="eastAsia"/>
        </w:rPr>
        <w:t>生物地球化学循环功能分析</w:t>
      </w:r>
      <w:r>
        <w:tab/>
      </w:r>
      <w:r>
        <w:fldChar w:fldCharType="begin"/>
      </w:r>
      <w:r>
        <w:instrText xml:space="preserve"> PAGEREF _Toc9030 \h </w:instrText>
      </w:r>
      <w:r>
        <w:fldChar w:fldCharType="separate"/>
      </w:r>
      <w:r>
        <w:t>11</w:t>
      </w:r>
      <w:r>
        <w:fldChar w:fldCharType="end"/>
      </w:r>
      <w:r>
        <w:rPr>
          <w:rFonts w:cs="Times New Roman"/>
          <w:color w:val="000000" w:themeColor="text1"/>
          <w14:textFill>
            <w14:solidFill>
              <w14:schemeClr w14:val="tx1"/>
            </w14:solidFill>
          </w14:textFill>
        </w:rPr>
        <w:fldChar w:fldCharType="end"/>
      </w:r>
    </w:p>
    <w:p w14:paraId="42BC2237">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_Toc21203 </w:instrText>
      </w:r>
      <w:r>
        <w:rPr>
          <w:rFonts w:cs="Times New Roman"/>
        </w:rPr>
        <w:fldChar w:fldCharType="separate"/>
      </w:r>
      <w:r>
        <w:rPr>
          <w:rFonts w:hint="eastAsia"/>
          <w:lang w:val="en-US" w:eastAsia="zh-CN"/>
        </w:rPr>
        <w:t>9</w:t>
      </w:r>
      <w:r>
        <w:t xml:space="preserve">. </w:t>
      </w:r>
      <w:r>
        <w:rPr>
          <w:rFonts w:hint="eastAsia"/>
        </w:rPr>
        <w:t>抗性基因注释</w:t>
      </w:r>
      <w:r>
        <w:tab/>
      </w:r>
      <w:r>
        <w:fldChar w:fldCharType="begin"/>
      </w:r>
      <w:r>
        <w:instrText xml:space="preserve"> PAGEREF _Toc21203 \h </w:instrText>
      </w:r>
      <w:r>
        <w:fldChar w:fldCharType="separate"/>
      </w:r>
      <w:r>
        <w:t>11</w:t>
      </w:r>
      <w:r>
        <w:fldChar w:fldCharType="end"/>
      </w:r>
      <w:r>
        <w:rPr>
          <w:rFonts w:cs="Times New Roman"/>
          <w:color w:val="000000" w:themeColor="text1"/>
          <w14:textFill>
            <w14:solidFill>
              <w14:schemeClr w14:val="tx1"/>
            </w14:solidFill>
          </w14:textFill>
        </w:rPr>
        <w:fldChar w:fldCharType="end"/>
      </w:r>
    </w:p>
    <w:p w14:paraId="299E1665">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_Toc1396 </w:instrText>
      </w:r>
      <w:r>
        <w:rPr>
          <w:rFonts w:cs="Times New Roman"/>
        </w:rPr>
        <w:fldChar w:fldCharType="separate"/>
      </w:r>
      <w:r>
        <w:rPr>
          <w:rFonts w:hint="eastAsia"/>
          <w:bCs w:val="0"/>
        </w:rPr>
        <w:t>1</w:t>
      </w:r>
      <w:r>
        <w:rPr>
          <w:rFonts w:hint="eastAsia"/>
          <w:bCs w:val="0"/>
          <w:lang w:val="en-US" w:eastAsia="zh-CN"/>
        </w:rPr>
        <w:t>0</w:t>
      </w:r>
      <w:r>
        <w:rPr>
          <w:bCs w:val="0"/>
        </w:rPr>
        <w:t xml:space="preserve">. </w:t>
      </w:r>
      <w:r>
        <w:rPr>
          <w:rFonts w:hint="eastAsia"/>
        </w:rPr>
        <w:t>毒力因子分析</w:t>
      </w:r>
      <w:r>
        <w:tab/>
      </w:r>
      <w:r>
        <w:fldChar w:fldCharType="begin"/>
      </w:r>
      <w:r>
        <w:instrText xml:space="preserve"> PAGEREF _Toc1396 \h </w:instrText>
      </w:r>
      <w:r>
        <w:fldChar w:fldCharType="separate"/>
      </w:r>
      <w:r>
        <w:t>12</w:t>
      </w:r>
      <w:r>
        <w:fldChar w:fldCharType="end"/>
      </w:r>
      <w:r>
        <w:rPr>
          <w:rFonts w:cs="Times New Roman"/>
          <w:color w:val="000000" w:themeColor="text1"/>
          <w14:textFill>
            <w14:solidFill>
              <w14:schemeClr w14:val="tx1"/>
            </w14:solidFill>
          </w14:textFill>
        </w:rPr>
        <w:fldChar w:fldCharType="end"/>
      </w:r>
    </w:p>
    <w:p w14:paraId="4B269C60">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_Toc166 </w:instrText>
      </w:r>
      <w:r>
        <w:rPr>
          <w:rFonts w:cs="Times New Roman"/>
        </w:rPr>
        <w:fldChar w:fldCharType="separate"/>
      </w:r>
      <w:r>
        <w:rPr>
          <w:bCs w:val="0"/>
        </w:rPr>
        <w:t xml:space="preserve">11. </w:t>
      </w:r>
      <w:r>
        <w:rPr>
          <w:rFonts w:hint="eastAsia"/>
          <w:bCs w:val="0"/>
        </w:rPr>
        <w:t>可移动遗传元件分析</w:t>
      </w:r>
      <w:r>
        <w:tab/>
      </w:r>
      <w:r>
        <w:fldChar w:fldCharType="begin"/>
      </w:r>
      <w:r>
        <w:instrText xml:space="preserve"> PAGEREF _Toc166 \h </w:instrText>
      </w:r>
      <w:r>
        <w:fldChar w:fldCharType="separate"/>
      </w:r>
      <w:r>
        <w:t>12</w:t>
      </w:r>
      <w:r>
        <w:fldChar w:fldCharType="end"/>
      </w:r>
      <w:r>
        <w:rPr>
          <w:rFonts w:cs="Times New Roman"/>
          <w:color w:val="000000" w:themeColor="text1"/>
          <w14:textFill>
            <w14:solidFill>
              <w14:schemeClr w14:val="tx1"/>
            </w14:solidFill>
          </w14:textFill>
        </w:rPr>
        <w:fldChar w:fldCharType="end"/>
      </w:r>
    </w:p>
    <w:p w14:paraId="7A0B10E9">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_Toc4351 </w:instrText>
      </w:r>
      <w:r>
        <w:rPr>
          <w:rFonts w:cs="Times New Roman"/>
        </w:rPr>
        <w:fldChar w:fldCharType="separate"/>
      </w:r>
      <w:r>
        <w:rPr>
          <w:rFonts w:ascii="Times New Roman" w:hAnsi="Times New Roman" w:eastAsia="宋体" w:cs="Times New Roman"/>
          <w:bCs w:val="0"/>
          <w:kern w:val="44"/>
          <w:szCs w:val="21"/>
          <w:lang w:val="en-US" w:eastAsia="zh-CN" w:bidi="ar-SA"/>
        </w:rPr>
        <w:t>1</w:t>
      </w:r>
      <w:r>
        <w:rPr>
          <w:rFonts w:hint="eastAsia" w:cs="Times New Roman"/>
          <w:bCs w:val="0"/>
          <w:kern w:val="44"/>
          <w:szCs w:val="21"/>
          <w:lang w:val="en-US" w:eastAsia="zh-CN" w:bidi="ar-SA"/>
        </w:rPr>
        <w:t>2</w:t>
      </w:r>
      <w:r>
        <w:rPr>
          <w:rFonts w:ascii="Times New Roman" w:hAnsi="Times New Roman" w:eastAsia="宋体" w:cs="Times New Roman"/>
          <w:bCs w:val="0"/>
          <w:kern w:val="44"/>
          <w:szCs w:val="21"/>
          <w:lang w:val="en-US" w:eastAsia="zh-CN" w:bidi="ar-SA"/>
        </w:rPr>
        <w:t>.</w:t>
      </w:r>
      <w:r>
        <w:rPr>
          <w:rFonts w:hint="eastAsia"/>
          <w:bCs w:val="0"/>
        </w:rPr>
        <w:t>重金属抗性基因注释</w:t>
      </w:r>
      <w:r>
        <w:tab/>
      </w:r>
      <w:r>
        <w:fldChar w:fldCharType="begin"/>
      </w:r>
      <w:r>
        <w:instrText xml:space="preserve"> PAGEREF _Toc4351 \h </w:instrText>
      </w:r>
      <w:r>
        <w:fldChar w:fldCharType="separate"/>
      </w:r>
      <w:r>
        <w:t>13</w:t>
      </w:r>
      <w:r>
        <w:fldChar w:fldCharType="end"/>
      </w:r>
      <w:r>
        <w:rPr>
          <w:rFonts w:cs="Times New Roman"/>
          <w:color w:val="000000" w:themeColor="text1"/>
          <w14:textFill>
            <w14:solidFill>
              <w14:schemeClr w14:val="tx1"/>
            </w14:solidFill>
          </w14:textFill>
        </w:rPr>
        <w:fldChar w:fldCharType="end"/>
      </w:r>
    </w:p>
    <w:p w14:paraId="4D259D69">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_Toc26770 </w:instrText>
      </w:r>
      <w:r>
        <w:rPr>
          <w:rFonts w:cs="Times New Roman"/>
        </w:rPr>
        <w:fldChar w:fldCharType="separate"/>
      </w:r>
      <w:r>
        <w:rPr>
          <w:rFonts w:ascii="Times New Roman" w:hAnsi="Times New Roman" w:eastAsia="宋体" w:cs="Times New Roman"/>
          <w:bCs w:val="0"/>
          <w:kern w:val="44"/>
          <w:szCs w:val="21"/>
          <w:lang w:val="en-US" w:eastAsia="zh-CN" w:bidi="ar-SA"/>
        </w:rPr>
        <w:t>1</w:t>
      </w:r>
      <w:r>
        <w:rPr>
          <w:rFonts w:hint="eastAsia" w:cs="Times New Roman"/>
          <w:bCs w:val="0"/>
          <w:kern w:val="44"/>
          <w:szCs w:val="21"/>
          <w:lang w:val="en-US" w:eastAsia="zh-CN" w:bidi="ar-SA"/>
        </w:rPr>
        <w:t>3</w:t>
      </w:r>
      <w:r>
        <w:rPr>
          <w:rFonts w:ascii="Times New Roman" w:hAnsi="Times New Roman" w:eastAsia="宋体" w:cs="Times New Roman"/>
          <w:bCs w:val="0"/>
          <w:kern w:val="44"/>
          <w:szCs w:val="21"/>
          <w:lang w:val="en-US" w:eastAsia="zh-CN" w:bidi="ar-SA"/>
        </w:rPr>
        <w:t>.</w:t>
      </w:r>
      <w:r>
        <w:rPr>
          <w:rFonts w:hint="eastAsia"/>
          <w:bCs w:val="0"/>
        </w:rPr>
        <w:t>群体感应基因注释</w:t>
      </w:r>
      <w:r>
        <w:tab/>
      </w:r>
      <w:r>
        <w:fldChar w:fldCharType="begin"/>
      </w:r>
      <w:r>
        <w:instrText xml:space="preserve"> PAGEREF _Toc26770 \h </w:instrText>
      </w:r>
      <w:r>
        <w:fldChar w:fldCharType="separate"/>
      </w:r>
      <w:r>
        <w:t>13</w:t>
      </w:r>
      <w:r>
        <w:fldChar w:fldCharType="end"/>
      </w:r>
      <w:r>
        <w:rPr>
          <w:rFonts w:cs="Times New Roman"/>
          <w:color w:val="000000" w:themeColor="text1"/>
          <w14:textFill>
            <w14:solidFill>
              <w14:schemeClr w14:val="tx1"/>
            </w14:solidFill>
          </w14:textFill>
        </w:rPr>
        <w:fldChar w:fldCharType="end"/>
      </w:r>
    </w:p>
    <w:p w14:paraId="63A7B308">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_Toc23729 </w:instrText>
      </w:r>
      <w:r>
        <w:rPr>
          <w:rFonts w:cs="Times New Roman"/>
        </w:rPr>
        <w:fldChar w:fldCharType="separate"/>
      </w:r>
      <w:r>
        <w:rPr>
          <w:rFonts w:hint="eastAsia"/>
          <w:bCs w:val="0"/>
        </w:rPr>
        <w:t>1</w:t>
      </w:r>
      <w:r>
        <w:rPr>
          <w:rFonts w:hint="eastAsia"/>
          <w:bCs w:val="0"/>
          <w:lang w:val="en-US" w:eastAsia="zh-CN"/>
        </w:rPr>
        <w:t>4</w:t>
      </w:r>
      <w:r>
        <w:rPr>
          <w:bCs w:val="0"/>
        </w:rPr>
        <w:t xml:space="preserve">. </w:t>
      </w:r>
      <w:r>
        <w:rPr>
          <w:rFonts w:hint="eastAsia"/>
        </w:rPr>
        <w:t>软件列表</w:t>
      </w:r>
      <w:r>
        <w:tab/>
      </w:r>
      <w:r>
        <w:fldChar w:fldCharType="begin"/>
      </w:r>
      <w:r>
        <w:instrText xml:space="preserve"> PAGEREF _Toc23729 \h </w:instrText>
      </w:r>
      <w:r>
        <w:fldChar w:fldCharType="separate"/>
      </w:r>
      <w:r>
        <w:t>14</w:t>
      </w:r>
      <w:r>
        <w:fldChar w:fldCharType="end"/>
      </w:r>
      <w:r>
        <w:rPr>
          <w:rFonts w:cs="Times New Roman"/>
          <w:color w:val="000000" w:themeColor="text1"/>
          <w14:textFill>
            <w14:solidFill>
              <w14:schemeClr w14:val="tx1"/>
            </w14:solidFill>
          </w14:textFill>
        </w:rPr>
        <w:fldChar w:fldCharType="end"/>
      </w:r>
    </w:p>
    <w:p w14:paraId="1731FD7E">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_Toc4541 </w:instrText>
      </w:r>
      <w:r>
        <w:rPr>
          <w:rFonts w:cs="Times New Roman"/>
        </w:rPr>
        <w:fldChar w:fldCharType="separate"/>
      </w:r>
      <w:r>
        <w:rPr>
          <w:rFonts w:hint="eastAsia"/>
          <w:bCs w:val="0"/>
        </w:rPr>
        <w:t>1</w:t>
      </w:r>
      <w:r>
        <w:rPr>
          <w:rFonts w:hint="eastAsia"/>
          <w:bCs w:val="0"/>
          <w:lang w:val="en-US" w:eastAsia="zh-CN"/>
        </w:rPr>
        <w:t>5</w:t>
      </w:r>
      <w:r>
        <w:rPr>
          <w:bCs w:val="0"/>
        </w:rPr>
        <w:t xml:space="preserve">. </w:t>
      </w:r>
      <w:r>
        <w:rPr>
          <w:rFonts w:hint="eastAsia"/>
        </w:rPr>
        <w:t>文件位置</w:t>
      </w:r>
      <w:r>
        <w:tab/>
      </w:r>
      <w:r>
        <w:fldChar w:fldCharType="begin"/>
      </w:r>
      <w:r>
        <w:instrText xml:space="preserve"> PAGEREF _Toc4541 \h </w:instrText>
      </w:r>
      <w:r>
        <w:fldChar w:fldCharType="separate"/>
      </w:r>
      <w:r>
        <w:t>15</w:t>
      </w:r>
      <w:r>
        <w:fldChar w:fldCharType="end"/>
      </w:r>
      <w:r>
        <w:rPr>
          <w:rFonts w:cs="Times New Roman"/>
          <w:color w:val="000000" w:themeColor="text1"/>
          <w14:textFill>
            <w14:solidFill>
              <w14:schemeClr w14:val="tx1"/>
            </w14:solidFill>
          </w14:textFill>
        </w:rPr>
        <w:fldChar w:fldCharType="end"/>
      </w:r>
    </w:p>
    <w:p w14:paraId="639A2F58">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_Toc30862 </w:instrText>
      </w:r>
      <w:r>
        <w:rPr>
          <w:rFonts w:cs="Times New Roman"/>
        </w:rPr>
        <w:fldChar w:fldCharType="separate"/>
      </w:r>
      <w:r>
        <w:rPr>
          <w:rFonts w:hint="eastAsia"/>
          <w:bCs w:val="0"/>
        </w:rPr>
        <w:t>1</w:t>
      </w:r>
      <w:r>
        <w:rPr>
          <w:rFonts w:hint="eastAsia"/>
          <w:bCs w:val="0"/>
          <w:lang w:val="en-US" w:eastAsia="zh-CN"/>
        </w:rPr>
        <w:t>6</w:t>
      </w:r>
      <w:r>
        <w:rPr>
          <w:bCs w:val="0"/>
        </w:rPr>
        <w:t xml:space="preserve">. </w:t>
      </w:r>
      <w:r>
        <w:t>参考文献</w:t>
      </w:r>
      <w:r>
        <w:tab/>
      </w:r>
      <w:r>
        <w:fldChar w:fldCharType="begin"/>
      </w:r>
      <w:r>
        <w:instrText xml:space="preserve"> PAGEREF _Toc30862 \h </w:instrText>
      </w:r>
      <w:r>
        <w:fldChar w:fldCharType="separate"/>
      </w:r>
      <w:r>
        <w:t>15</w:t>
      </w:r>
      <w:r>
        <w:fldChar w:fldCharType="end"/>
      </w:r>
      <w:r>
        <w:rPr>
          <w:rFonts w:cs="Times New Roman"/>
          <w:color w:val="000000" w:themeColor="text1"/>
          <w14:textFill>
            <w14:solidFill>
              <w14:schemeClr w14:val="tx1"/>
            </w14:solidFill>
          </w14:textFill>
        </w:rPr>
        <w:fldChar w:fldCharType="end"/>
      </w:r>
    </w:p>
    <w:p w14:paraId="5C456CD5">
      <w:pPr>
        <w:ind w:firstLine="0" w:firstLineChars="0"/>
      </w:pPr>
      <w:r>
        <w:rPr>
          <w:rFonts w:cs="Times New Roman"/>
          <w:color w:val="000000" w:themeColor="text1"/>
          <w14:textFill>
            <w14:solidFill>
              <w14:schemeClr w14:val="tx1"/>
            </w14:solidFill>
          </w14:textFill>
        </w:rPr>
        <w:fldChar w:fldCharType="end"/>
      </w:r>
      <w:r>
        <w:rPr>
          <w:b/>
          <w:szCs w:val="21"/>
        </w:rPr>
        <w:br w:type="page"/>
      </w:r>
    </w:p>
    <w:p w14:paraId="6E6D17C5">
      <w:pPr>
        <w:pStyle w:val="40"/>
      </w:pPr>
      <w:bookmarkStart w:id="22" w:name="_Toc19597"/>
      <w:r>
        <w:rPr>
          <w:rFonts w:hint="eastAsia"/>
        </w:rPr>
        <w:t>1. 项目介绍</w:t>
      </w:r>
      <w:bookmarkEnd w:id="21"/>
      <w:bookmarkEnd w:id="22"/>
    </w:p>
    <w:p w14:paraId="6A35CC16">
      <w:pPr>
        <w:ind w:firstLine="420"/>
        <w:rPr>
          <w:b/>
          <w:bCs/>
        </w:rPr>
      </w:pPr>
      <w:bookmarkStart w:id="23" w:name="_Toc5664"/>
      <w:bookmarkStart w:id="24" w:name="_Toc1041"/>
      <w:bookmarkStart w:id="25" w:name="_Toc16130"/>
      <w:bookmarkStart w:id="26" w:name="_Toc12468"/>
      <w:r>
        <w:rPr>
          <w:rFonts w:hint="eastAsia"/>
        </w:rPr>
        <w:t>宏基因组（Metagenomics），也称元基因组，利用新一代高通量测序技术（NGS）以特定环境下微生物群体基因组为研究对象，在分析微生物多样性、种群结构、进化关系的基础上，可进一步探究微生物群体功能活性、相互协作关系及与环境之间的关系，发掘潜在的生物学意义。与传统微生物研究方法相比，宏基因组测序技术规避了绝大部分微生物不能培养、痕量菌无法检测的缺点，因此近年来在环境微生物学研究中得到了广泛应用。</w:t>
      </w:r>
      <w:bookmarkEnd w:id="23"/>
      <w:bookmarkEnd w:id="24"/>
      <w:bookmarkEnd w:id="25"/>
      <w:bookmarkEnd w:id="26"/>
    </w:p>
    <w:p w14:paraId="2CE35B02">
      <w:pPr>
        <w:pStyle w:val="40"/>
      </w:pPr>
      <w:bookmarkStart w:id="27" w:name="_Toc21927"/>
      <w:bookmarkStart w:id="28" w:name="_Toc13482"/>
      <w:bookmarkStart w:id="29" w:name="_Toc5477"/>
      <w:bookmarkStart w:id="30" w:name="_Toc8162"/>
      <w:bookmarkStart w:id="31" w:name="_Toc1690"/>
      <w:r>
        <w:t>2.</w:t>
      </w:r>
      <w:r>
        <w:rPr>
          <w:rFonts w:hint="eastAsia"/>
        </w:rPr>
        <w:t xml:space="preserve"> </w:t>
      </w:r>
      <w:r>
        <w:t>数据分析流程</w:t>
      </w:r>
      <w:bookmarkEnd w:id="27"/>
      <w:bookmarkEnd w:id="28"/>
      <w:bookmarkEnd w:id="29"/>
      <w:bookmarkEnd w:id="30"/>
      <w:bookmarkEnd w:id="31"/>
    </w:p>
    <w:p w14:paraId="29272E99">
      <w:pPr>
        <w:ind w:firstLine="420"/>
        <w:jc w:val="left"/>
      </w:pPr>
      <w:r>
        <w:rPr>
          <w:rFonts w:hint="eastAsia"/>
        </w:rPr>
        <w:t>原始下机数据为fastq格式，首先对原始数据即raw data进行拆分、质量剪切等操作，如果为宿主内或宿主体表微生物同时进行去除宿主污染等操作。得到的序列为优质序列即valid data，使用拼接软件对优质序列进行拼接组装，并进行基因预测。对预测出的基因进行物种以及功能上的注释分类，包括NR、KEGG、eggNOG等。同时得到各样本中物种的相对丰度，在此基础上，进行样本相似性聚类、排序检验以及差异统计比较等分析。整个分析流程参照下图：</w:t>
      </w:r>
    </w:p>
    <w:p w14:paraId="5F337960">
      <w:pPr>
        <w:ind w:firstLine="199" w:firstLineChars="95"/>
        <w:jc w:val="left"/>
      </w:pPr>
      <w:r>
        <w:drawing>
          <wp:inline distT="0" distB="0" distL="0" distR="0">
            <wp:extent cx="5274310" cy="291719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274310" cy="2917190"/>
                    </a:xfrm>
                    <a:prstGeom prst="rect">
                      <a:avLst/>
                    </a:prstGeom>
                  </pic:spPr>
                </pic:pic>
              </a:graphicData>
            </a:graphic>
          </wp:inline>
        </w:drawing>
      </w:r>
    </w:p>
    <w:p w14:paraId="54C430E4">
      <w:pPr>
        <w:pStyle w:val="40"/>
      </w:pPr>
      <w:bookmarkStart w:id="32" w:name="_Toc14568"/>
      <w:bookmarkStart w:id="33" w:name="_Toc23315"/>
      <w:bookmarkStart w:id="34" w:name="_Toc25809"/>
      <w:bookmarkStart w:id="35" w:name="_Toc202"/>
      <w:r>
        <w:rPr>
          <w:rFonts w:hint="eastAsia"/>
        </w:rPr>
        <w:t>3</w:t>
      </w:r>
      <w:r>
        <w:t>. 数据</w:t>
      </w:r>
      <w:r>
        <w:rPr>
          <w:rFonts w:hint="eastAsia"/>
        </w:rPr>
        <w:t>质控</w:t>
      </w:r>
      <w:bookmarkEnd w:id="32"/>
      <w:bookmarkEnd w:id="33"/>
      <w:bookmarkEnd w:id="34"/>
      <w:bookmarkEnd w:id="35"/>
    </w:p>
    <w:p w14:paraId="05946C94">
      <w:pPr>
        <w:pStyle w:val="41"/>
      </w:pPr>
      <w:bookmarkStart w:id="36" w:name="_Toc18673"/>
      <w:bookmarkStart w:id="37" w:name="_Toc7828"/>
      <w:bookmarkStart w:id="38" w:name="_Toc72"/>
      <w:bookmarkStart w:id="39" w:name="_Toc20984"/>
      <w:bookmarkStart w:id="40" w:name="_Toc14867"/>
      <w:r>
        <w:t>3.1</w:t>
      </w:r>
      <w:r>
        <w:rPr>
          <w:rFonts w:hint="eastAsia"/>
        </w:rPr>
        <w:t xml:space="preserve"> </w:t>
      </w:r>
      <w:bookmarkEnd w:id="36"/>
      <w:bookmarkEnd w:id="37"/>
      <w:bookmarkEnd w:id="38"/>
      <w:bookmarkEnd w:id="39"/>
      <w:r>
        <w:rPr>
          <w:rFonts w:hint="eastAsia"/>
        </w:rPr>
        <w:t>测序结果格式介绍</w:t>
      </w:r>
      <w:bookmarkEnd w:id="40"/>
    </w:p>
    <w:p w14:paraId="2A1623C3">
      <w:pPr>
        <w:ind w:firstLine="420"/>
        <w:jc w:val="left"/>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二代高通量测序结果最初以原始图像数据文件存在，经CASAVA碱基识别后转化为原始测序读段（Sequenced Reads），称为Raw Reads，以FASTQ（简称为fq）文件格式存储。FASTQ是一种存储生物序列及相应质量值的常用文本格式，每条测序读段由四行组成，第一行为测序读段的标识信息，通常以@开头，随后是测序标识别符和描述信息。第二行为测序读段的碱基序列。第三行通常以+开头，存储与第一行相同的信息或为缺省值。第四行为对应碱基的测序质量值，该行字符为第二行对应碱基的质量值加上33后转换为ASCII码，逆向转化即可直观得到每个碱基的质量信息，如下图所示：</w:t>
      </w:r>
    </w:p>
    <w:p w14:paraId="2E66B9F2">
      <w:pPr>
        <w:ind w:firstLine="420"/>
        <w:jc w:val="left"/>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drawing>
          <wp:inline distT="0" distB="0" distL="0" distR="0">
            <wp:extent cx="4666615" cy="1917065"/>
            <wp:effectExtent l="0" t="0" r="635" b="6985"/>
            <wp:docPr id="10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图片 4"/>
                    <pic:cNvPicPr>
                      <a:picLocks noChangeAspect="1" noChangeArrowheads="1"/>
                    </pic:cNvPicPr>
                  </pic:nvPicPr>
                  <pic:blipFill>
                    <a:blip r:embed="rId17">
                      <a:extLst>
                        <a:ext uri="{28A0092B-C50C-407E-A947-70E740481C1C}">
                          <a14:useLocalDpi xmlns:a14="http://schemas.microsoft.com/office/drawing/2010/main" val="0"/>
                        </a:ext>
                      </a:extLst>
                    </a:blip>
                    <a:srcRect l="4667" t="15550" r="2550" b="16717"/>
                    <a:stretch>
                      <a:fillRect/>
                    </a:stretch>
                  </pic:blipFill>
                  <pic:spPr>
                    <a:xfrm>
                      <a:off x="0" y="0"/>
                      <a:ext cx="4675754" cy="1920804"/>
                    </a:xfrm>
                    <a:prstGeom prst="rect">
                      <a:avLst/>
                    </a:prstGeom>
                    <a:noFill/>
                    <a:ln>
                      <a:noFill/>
                    </a:ln>
                  </pic:spPr>
                </pic:pic>
              </a:graphicData>
            </a:graphic>
          </wp:inline>
        </w:drawing>
      </w:r>
    </w:p>
    <w:p w14:paraId="35F8450B">
      <w:pPr>
        <w:ind w:firstLine="420"/>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FASTQ格式文件示意图</w:t>
      </w:r>
    </w:p>
    <w:p w14:paraId="107D7F74">
      <w:pPr>
        <w:pStyle w:val="41"/>
        <w:rPr>
          <w:bCs w:val="0"/>
        </w:rPr>
      </w:pPr>
      <w:bookmarkStart w:id="41" w:name="_Toc27549"/>
      <w:r>
        <w:rPr>
          <w:bCs w:val="0"/>
        </w:rPr>
        <w:t>3.2</w:t>
      </w:r>
      <w:r>
        <w:rPr>
          <w:rFonts w:hint="eastAsia"/>
          <w:bCs w:val="0"/>
        </w:rPr>
        <w:t xml:space="preserve"> </w:t>
      </w:r>
      <w:r>
        <w:rPr>
          <w:rFonts w:hint="eastAsia"/>
          <w:color w:val="000000" w:themeColor="text1"/>
          <w14:textFill>
            <w14:solidFill>
              <w14:schemeClr w14:val="tx1"/>
            </w14:solidFill>
          </w14:textFill>
        </w:rPr>
        <w:t>测序碱基质量值</w:t>
      </w:r>
      <w:bookmarkEnd w:id="41"/>
    </w:p>
    <w:p w14:paraId="398F516B">
      <w:pPr>
        <w:ind w:firstLine="420"/>
      </w:pPr>
      <w:r>
        <w:rPr>
          <w:rFonts w:hint="eastAsia"/>
        </w:rPr>
        <w:t>碱基质量值（Quality Score或Q-score）是碱基识别（Base Calling）出错的概率的整数映射。通常使用的Phred碱基质量值公式为：Q</w:t>
      </w:r>
      <w:r>
        <w:rPr>
          <w:vertAlign w:val="subscript"/>
        </w:rPr>
        <w:t>-</w:t>
      </w:r>
      <w:r>
        <w:rPr>
          <w:rFonts w:hint="eastAsia"/>
          <w:vertAlign w:val="subscript"/>
        </w:rPr>
        <w:t>s</w:t>
      </w:r>
      <w:r>
        <w:rPr>
          <w:vertAlign w:val="subscript"/>
        </w:rPr>
        <w:t xml:space="preserve">core </w:t>
      </w:r>
      <w:r>
        <w:t>= -10*log</w:t>
      </w:r>
      <w:r>
        <w:rPr>
          <w:vertAlign w:val="subscript"/>
        </w:rPr>
        <w:t>10</w:t>
      </w:r>
      <w:r>
        <w:t>P</w:t>
      </w:r>
      <w:r>
        <w:rPr>
          <w:rFonts w:hint="eastAsia"/>
        </w:rPr>
        <w:t>，其中，P为碱基识别出错的概率。</w:t>
      </w:r>
    </w:p>
    <w:p w14:paraId="4A334C43">
      <w:pPr>
        <w:ind w:firstLine="420"/>
      </w:pPr>
      <w:r>
        <w:rPr>
          <w:rFonts w:hint="eastAsia"/>
        </w:rPr>
        <w:t>下表给出了碱基质量值与碱基识别出错的概率的对应关系：</w:t>
      </w:r>
    </w:p>
    <w:p w14:paraId="2D0190BD">
      <w:pPr>
        <w:ind w:firstLine="0" w:firstLineChars="0"/>
        <w:jc w:val="center"/>
      </w:pPr>
      <w:r>
        <w:rPr>
          <w:rFonts w:hint="eastAsia"/>
        </w:rPr>
        <w:t>表1 碱基质量值与碱基识别出错的概率的对应关系表</w:t>
      </w:r>
    </w:p>
    <w:tbl>
      <w:tblPr>
        <w:tblStyle w:val="22"/>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1EBA62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301A79CE">
            <w:pPr>
              <w:ind w:firstLine="0" w:firstLineChars="0"/>
              <w:jc w:val="center"/>
            </w:pPr>
            <w:r>
              <w:rPr>
                <w:rFonts w:hint="eastAsia"/>
              </w:rPr>
              <w:t>碱基质量值</w:t>
            </w:r>
          </w:p>
        </w:tc>
        <w:tc>
          <w:tcPr>
            <w:tcW w:w="2765" w:type="dxa"/>
          </w:tcPr>
          <w:p w14:paraId="02BF90D5">
            <w:pPr>
              <w:ind w:firstLine="0" w:firstLineChars="0"/>
              <w:jc w:val="center"/>
            </w:pPr>
            <w:r>
              <w:rPr>
                <w:rFonts w:hint="eastAsia"/>
              </w:rPr>
              <w:t>碱基识别出错的概率</w:t>
            </w:r>
          </w:p>
        </w:tc>
        <w:tc>
          <w:tcPr>
            <w:tcW w:w="2766" w:type="dxa"/>
          </w:tcPr>
          <w:p w14:paraId="0A23E950">
            <w:pPr>
              <w:ind w:firstLine="0" w:firstLineChars="0"/>
              <w:jc w:val="center"/>
            </w:pPr>
            <w:r>
              <w:rPr>
                <w:rFonts w:hint="eastAsia"/>
              </w:rPr>
              <w:t>碱基识别精度</w:t>
            </w:r>
          </w:p>
        </w:tc>
      </w:tr>
      <w:tr w14:paraId="5C3874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4" w:space="0"/>
            </w:tcBorders>
          </w:tcPr>
          <w:p w14:paraId="6F6D40E8">
            <w:pPr>
              <w:ind w:firstLine="0" w:firstLineChars="0"/>
              <w:jc w:val="center"/>
            </w:pPr>
            <w:r>
              <w:t>Q10</w:t>
            </w:r>
          </w:p>
        </w:tc>
        <w:tc>
          <w:tcPr>
            <w:tcW w:w="2765" w:type="dxa"/>
            <w:tcBorders>
              <w:top w:val="single" w:color="auto" w:sz="4" w:space="0"/>
            </w:tcBorders>
          </w:tcPr>
          <w:p w14:paraId="4D5FEB32">
            <w:pPr>
              <w:ind w:firstLine="0" w:firstLineChars="0"/>
              <w:jc w:val="center"/>
            </w:pPr>
            <w:r>
              <w:t>1/10</w:t>
            </w:r>
          </w:p>
        </w:tc>
        <w:tc>
          <w:tcPr>
            <w:tcW w:w="2766" w:type="dxa"/>
            <w:tcBorders>
              <w:top w:val="single" w:color="auto" w:sz="4" w:space="0"/>
            </w:tcBorders>
          </w:tcPr>
          <w:p w14:paraId="73CEB667">
            <w:pPr>
              <w:ind w:firstLine="0" w:firstLineChars="0"/>
              <w:jc w:val="center"/>
            </w:pPr>
            <w:r>
              <w:t>90%</w:t>
            </w:r>
          </w:p>
        </w:tc>
      </w:tr>
      <w:tr w14:paraId="493A65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7CC9AAAE">
            <w:pPr>
              <w:ind w:firstLine="0" w:firstLineChars="0"/>
              <w:jc w:val="center"/>
            </w:pPr>
            <w:r>
              <w:t>Q20</w:t>
            </w:r>
          </w:p>
        </w:tc>
        <w:tc>
          <w:tcPr>
            <w:tcW w:w="2765" w:type="dxa"/>
          </w:tcPr>
          <w:p w14:paraId="5FA5D4BD">
            <w:pPr>
              <w:ind w:firstLine="0" w:firstLineChars="0"/>
              <w:jc w:val="center"/>
            </w:pPr>
            <w:r>
              <w:t>1/100</w:t>
            </w:r>
          </w:p>
        </w:tc>
        <w:tc>
          <w:tcPr>
            <w:tcW w:w="2766" w:type="dxa"/>
          </w:tcPr>
          <w:p w14:paraId="77DF367E">
            <w:pPr>
              <w:ind w:firstLine="0" w:firstLineChars="0"/>
              <w:jc w:val="center"/>
            </w:pPr>
            <w:r>
              <w:t>99%</w:t>
            </w:r>
          </w:p>
        </w:tc>
      </w:tr>
      <w:tr w14:paraId="5C276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606138C6">
            <w:pPr>
              <w:ind w:firstLine="0" w:firstLineChars="0"/>
              <w:jc w:val="center"/>
            </w:pPr>
            <w:r>
              <w:t>Q30</w:t>
            </w:r>
          </w:p>
        </w:tc>
        <w:tc>
          <w:tcPr>
            <w:tcW w:w="2765" w:type="dxa"/>
          </w:tcPr>
          <w:p w14:paraId="0CCBFE11">
            <w:pPr>
              <w:ind w:firstLine="0" w:firstLineChars="0"/>
              <w:jc w:val="center"/>
            </w:pPr>
            <w:r>
              <w:t>1/1000</w:t>
            </w:r>
          </w:p>
        </w:tc>
        <w:tc>
          <w:tcPr>
            <w:tcW w:w="2766" w:type="dxa"/>
          </w:tcPr>
          <w:p w14:paraId="08DE8881">
            <w:pPr>
              <w:ind w:firstLine="0" w:firstLineChars="0"/>
              <w:jc w:val="center"/>
            </w:pPr>
            <w:r>
              <w:t>99.9%</w:t>
            </w:r>
          </w:p>
        </w:tc>
      </w:tr>
      <w:tr w14:paraId="7B3A02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6E447FD6">
            <w:pPr>
              <w:ind w:firstLine="0" w:firstLineChars="0"/>
              <w:jc w:val="center"/>
            </w:pPr>
            <w:r>
              <w:t>Q40</w:t>
            </w:r>
          </w:p>
        </w:tc>
        <w:tc>
          <w:tcPr>
            <w:tcW w:w="2765" w:type="dxa"/>
          </w:tcPr>
          <w:p w14:paraId="54E93791">
            <w:pPr>
              <w:ind w:firstLine="0" w:firstLineChars="0"/>
              <w:jc w:val="center"/>
            </w:pPr>
            <w:r>
              <w:t>1/10000</w:t>
            </w:r>
          </w:p>
        </w:tc>
        <w:tc>
          <w:tcPr>
            <w:tcW w:w="2766" w:type="dxa"/>
          </w:tcPr>
          <w:p w14:paraId="12059536">
            <w:pPr>
              <w:ind w:firstLine="0" w:firstLineChars="0"/>
              <w:jc w:val="center"/>
            </w:pPr>
            <w:r>
              <w:t>99.99%</w:t>
            </w:r>
          </w:p>
        </w:tc>
      </w:tr>
    </w:tbl>
    <w:p w14:paraId="7B8A1F34">
      <w:pPr>
        <w:ind w:firstLine="420"/>
      </w:pPr>
      <w:r>
        <w:rPr>
          <w:rFonts w:hint="eastAsia"/>
        </w:rPr>
        <w:t>样品原始数据碱基质量值分布图见下图：</w:t>
      </w:r>
    </w:p>
    <w:p w14:paraId="7CDBF8A9">
      <w:pPr>
        <w:ind w:firstLine="420"/>
        <w:jc w:val="center"/>
      </w:pPr>
      <w:r>
        <w:rPr>
          <w:rFonts w:cs="Times New Roman"/>
          <w:szCs w:val="21"/>
        </w:rPr>
        <w:drawing>
          <wp:inline distT="0" distB="0" distL="0" distR="0">
            <wp:extent cx="3999230" cy="2207260"/>
            <wp:effectExtent l="0" t="0" r="1270" b="254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1DDF6575">
      <w:pPr>
        <w:pStyle w:val="32"/>
      </w:pPr>
      <w:r>
        <w:rPr>
          <w:rFonts w:hint="eastAsia"/>
        </w:rPr>
        <w:t>注：横坐标为Reads的碱基位置，纵坐标为单碱基错误率。测序错误率受测序仪本身、测序试剂、样品等多个因素共同影响。由于测序过程中化学试剂的消耗，测序错误率会随着测序序列(Sequenced Reads)长度的增加而升高。此特征是Illumina高通量测序平台所具有的</w:t>
      </w:r>
    </w:p>
    <w:p w14:paraId="1E43E8F0">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Result/group*/1-data_quality/*/error_rate.</w:t>
      </w:r>
      <w:r>
        <w:rPr>
          <w:rFonts w:hint="eastAsia" w:cs="Times New Roman"/>
          <w:color w:val="000000" w:themeColor="text1"/>
          <w14:textFill>
            <w14:solidFill>
              <w14:schemeClr w14:val="tx1"/>
            </w14:solidFill>
          </w14:textFill>
        </w:rPr>
        <w:t>png</w:t>
      </w:r>
    </w:p>
    <w:p w14:paraId="2E4BF1D7">
      <w:pPr>
        <w:pStyle w:val="41"/>
        <w:rPr>
          <w:bCs w:val="0"/>
        </w:rPr>
      </w:pPr>
      <w:bookmarkStart w:id="42" w:name="_Toc23490"/>
      <w:r>
        <w:rPr>
          <w:bCs w:val="0"/>
        </w:rPr>
        <w:t>3.3</w:t>
      </w:r>
      <w:r>
        <w:rPr>
          <w:rFonts w:hint="eastAsia"/>
          <w:bCs w:val="0"/>
        </w:rPr>
        <w:t xml:space="preserve"> 测序碱基含量分布</w:t>
      </w:r>
      <w:bookmarkEnd w:id="42"/>
    </w:p>
    <w:p w14:paraId="328996DA">
      <w:pPr>
        <w:ind w:firstLine="420"/>
      </w:pPr>
      <w:r>
        <w:rPr>
          <w:rFonts w:hint="eastAsia"/>
        </w:rPr>
        <w:t>碱基类型分布检查用于检测有无AT、GC分离现象,由于所测的序列为随机打断的DNA片段，因随机性打断及碱基互补配对原则，理论上，G和C、A和T的含量每个测序循环上应分别相等，且整个测序过程稳定不变，呈水平线。由于Reads 5’端的前几个碱基为随机引物序列存在一定的偏好性，因此会在碱基分布图中出现前端波动较大的现象。</w:t>
      </w:r>
    </w:p>
    <w:p w14:paraId="636D098D">
      <w:pPr>
        <w:ind w:firstLine="420"/>
      </w:pPr>
      <w:r>
        <w:rPr>
          <w:rFonts w:hint="eastAsia"/>
        </w:rPr>
        <w:t>碱基含量分布图如下所示：</w:t>
      </w:r>
    </w:p>
    <w:p w14:paraId="691456B0">
      <w:pPr>
        <w:ind w:firstLine="420"/>
        <w:jc w:val="center"/>
      </w:pPr>
      <w:r>
        <w:rPr>
          <w:rFonts w:cs="Times New Roman"/>
          <w:szCs w:val="21"/>
        </w:rPr>
        <w:drawing>
          <wp:inline distT="0" distB="0" distL="0" distR="0">
            <wp:extent cx="3999230" cy="2207260"/>
            <wp:effectExtent l="0" t="0" r="1270" b="254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4C4E906D">
      <w:pPr>
        <w:pStyle w:val="32"/>
      </w:pPr>
      <w:r>
        <w:rPr>
          <w:rFonts w:hint="eastAsia"/>
        </w:rPr>
        <w:t>注：横坐标为Reads的碱基位置，纵坐标为单碱基所占比例。</w:t>
      </w:r>
    </w:p>
    <w:p w14:paraId="7D07946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Result/group*/1-data_quality/*/ATGC_content.</w:t>
      </w:r>
      <w:r>
        <w:rPr>
          <w:rFonts w:hint="eastAsia" w:cs="Times New Roman"/>
          <w:color w:val="000000" w:themeColor="text1"/>
          <w14:textFill>
            <w14:solidFill>
              <w14:schemeClr w14:val="tx1"/>
            </w14:solidFill>
          </w14:textFill>
        </w:rPr>
        <w:t>png</w:t>
      </w:r>
    </w:p>
    <w:p w14:paraId="26D59926">
      <w:pPr>
        <w:pStyle w:val="41"/>
        <w:rPr>
          <w:bCs w:val="0"/>
        </w:rPr>
      </w:pPr>
      <w:bookmarkStart w:id="43" w:name="_Toc3267"/>
      <w:bookmarkStart w:id="44" w:name="_Toc29429"/>
      <w:bookmarkStart w:id="45" w:name="_Toc24347"/>
      <w:bookmarkStart w:id="46" w:name="_Toc12145"/>
      <w:bookmarkStart w:id="47" w:name="_Toc30154"/>
      <w:r>
        <w:rPr>
          <w:bCs w:val="0"/>
        </w:rPr>
        <w:t>3.4</w:t>
      </w:r>
      <w:r>
        <w:rPr>
          <w:rFonts w:hint="eastAsia"/>
          <w:bCs w:val="0"/>
        </w:rPr>
        <w:t xml:space="preserve"> 数据处理过程和参数</w:t>
      </w:r>
      <w:bookmarkEnd w:id="43"/>
      <w:bookmarkEnd w:id="44"/>
      <w:bookmarkEnd w:id="45"/>
      <w:bookmarkEnd w:id="46"/>
      <w:bookmarkEnd w:id="47"/>
    </w:p>
    <w:p w14:paraId="6B611D58">
      <w:pPr>
        <w:ind w:firstLine="420"/>
        <w:rPr>
          <w:rFonts w:cs="Times New Roman"/>
        </w:rPr>
      </w:pPr>
      <w:r>
        <w:rPr>
          <w:rFonts w:hint="eastAsia" w:cs="Times New Roman"/>
        </w:rPr>
        <w:t>二代高通量测序平台测序得到的是Pair-End（PE）双端序列数据，对测得的Fastq数据进行质控处理后得到优质的Fasta数据：</w:t>
      </w:r>
    </w:p>
    <w:p w14:paraId="07AFB14F">
      <w:pPr>
        <w:ind w:firstLine="420"/>
      </w:pPr>
      <w:r>
        <w:rPr>
          <w:rFonts w:hint="eastAsia"/>
        </w:rPr>
        <w:t>具体参数如下：</w:t>
      </w:r>
    </w:p>
    <w:p w14:paraId="7A31CC62">
      <w:pPr>
        <w:pStyle w:val="31"/>
        <w:numPr>
          <w:ilvl w:val="0"/>
          <w:numId w:val="1"/>
        </w:numPr>
        <w:ind w:firstLineChars="0"/>
      </w:pPr>
      <w:r>
        <w:rPr>
          <w:rFonts w:hint="eastAsia"/>
        </w:rPr>
        <w:t>利用fast</w:t>
      </w:r>
      <w:r>
        <w:t>p</w:t>
      </w:r>
      <w:r>
        <w:rPr>
          <w:rFonts w:hint="eastAsia"/>
        </w:rPr>
        <w:t>对Fastq数据进行质控。采用滑动窗口策略,窗口大小设置</w:t>
      </w:r>
      <w:r>
        <w:t>4</w:t>
      </w:r>
      <w:r>
        <w:rPr>
          <w:rFonts w:hint="eastAsia"/>
        </w:rPr>
        <w:t>，平均质量值为20，最小保留序列长度为1</w:t>
      </w:r>
      <w:r>
        <w:t>0</w:t>
      </w:r>
      <w:r>
        <w:rPr>
          <w:rFonts w:hint="eastAsia"/>
        </w:rPr>
        <w:t>0，fastq自动去除接头序列；</w:t>
      </w:r>
    </w:p>
    <w:p w14:paraId="637ABDA4">
      <w:pPr>
        <w:pStyle w:val="31"/>
        <w:numPr>
          <w:ilvl w:val="0"/>
          <w:numId w:val="1"/>
        </w:numPr>
        <w:ind w:firstLineChars="0"/>
      </w:pPr>
      <w:r>
        <w:rPr>
          <w:rFonts w:hint="eastAsia"/>
        </w:rPr>
        <w:t>如果为宿主内或宿主体表微生物同时进行去除宿主污染操作，利用</w:t>
      </w:r>
      <w:r>
        <w:t>bowtie2</w:t>
      </w:r>
      <w:r>
        <w:rPr>
          <w:rFonts w:hint="eastAsia"/>
        </w:rPr>
        <w:t>比对去宿主序列。</w:t>
      </w:r>
    </w:p>
    <w:p w14:paraId="76CA2819">
      <w:pPr>
        <w:ind w:firstLine="420"/>
      </w:pPr>
      <w:r>
        <w:rPr>
          <w:rFonts w:hint="eastAsia"/>
        </w:rPr>
        <w:t>软件：</w:t>
      </w:r>
      <w:r>
        <w:t>fastp</w:t>
      </w:r>
      <w:r>
        <w:rPr>
          <w:rFonts w:hint="eastAsia"/>
        </w:rPr>
        <w:t>（v</w:t>
      </w:r>
      <w:r>
        <w:t>0.12.4</w:t>
      </w:r>
      <w:r>
        <w:rPr>
          <w:rFonts w:hint="eastAsia"/>
        </w:rPr>
        <w:t>）；</w:t>
      </w:r>
      <w:r>
        <w:t>bowtie2</w:t>
      </w:r>
      <w:r>
        <w:rPr>
          <w:rFonts w:hint="eastAsia"/>
        </w:rPr>
        <w:t>（</w:t>
      </w:r>
      <w:r>
        <w:t>v2.5.2）</w:t>
      </w:r>
    </w:p>
    <w:p w14:paraId="44713A06">
      <w:pPr>
        <w:pStyle w:val="41"/>
      </w:pPr>
      <w:bookmarkStart w:id="48" w:name="_Toc143847364"/>
      <w:bookmarkStart w:id="49" w:name="_Toc21671"/>
      <w:r>
        <w:t>3.5</w:t>
      </w:r>
      <w:r>
        <w:rPr>
          <w:rFonts w:hint="eastAsia"/>
        </w:rPr>
        <w:t xml:space="preserve"> </w:t>
      </w:r>
      <w:r>
        <w:t>数据质控与统计</w:t>
      </w:r>
      <w:bookmarkEnd w:id="48"/>
      <w:bookmarkEnd w:id="49"/>
    </w:p>
    <w:p w14:paraId="46CBC43B">
      <w:pPr>
        <w:ind w:firstLine="420"/>
      </w:pPr>
      <w:r>
        <w:t>测序得到的原始数据（Raw Data），存在一定的干扰数据（Dirty Data），为了得到高质量的测序数据，以提高后续生物信息分析准确性，首先需要对原始下机数据进行质控和过滤，得到有效数据（Clean Data）。</w:t>
      </w:r>
      <w:r>
        <w:rPr>
          <w:rFonts w:hint="eastAsia"/>
        </w:rPr>
        <w:t>使用</w:t>
      </w:r>
      <w:r>
        <w:t>fastp</w:t>
      </w:r>
      <w:r>
        <w:rPr>
          <w:rFonts w:hint="eastAsia"/>
        </w:rPr>
        <w:t>对原始数据进行过滤，去除低质量碱基。</w:t>
      </w:r>
    </w:p>
    <w:p w14:paraId="1233F34A">
      <w:pPr>
        <w:ind w:firstLine="420"/>
      </w:pPr>
      <w:r>
        <w:rPr>
          <w:rFonts w:hint="eastAsia"/>
        </w:rPr>
        <w:t>原始数据组成图如下所示：</w:t>
      </w:r>
    </w:p>
    <w:p w14:paraId="6E0907EA">
      <w:pPr>
        <w:ind w:firstLine="420"/>
        <w:jc w:val="center"/>
      </w:pPr>
      <w:r>
        <w:rPr>
          <w:rFonts w:cs="Times New Roman"/>
          <w:szCs w:val="21"/>
        </w:rPr>
        <w:drawing>
          <wp:inline distT="0" distB="0" distL="0" distR="0">
            <wp:extent cx="3999230" cy="2207260"/>
            <wp:effectExtent l="0" t="0" r="1270" b="254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6B819863">
      <w:pPr>
        <w:pStyle w:val="32"/>
      </w:pPr>
      <w:r>
        <w:rPr>
          <w:rFonts w:hint="eastAsia"/>
        </w:rPr>
        <w:t>注：Host reads：属于宿主的Reads数的比例。Low quality：过滤掉的低质量Reads数占总Raw Reads数的比例。Clean Reads：经过过滤得到的Clean Reads 数占总Raw Reads数的比例。</w:t>
      </w:r>
    </w:p>
    <w:p w14:paraId="65BFFBE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Result/group*/1-data_quality/*/reads_quality_summary.</w:t>
      </w:r>
      <w:r>
        <w:rPr>
          <w:rFonts w:hint="eastAsia" w:cs="Times New Roman"/>
          <w:color w:val="000000" w:themeColor="text1"/>
          <w14:textFill>
            <w14:solidFill>
              <w14:schemeClr w14:val="tx1"/>
            </w14:solidFill>
          </w14:textFill>
        </w:rPr>
        <w:t>png</w:t>
      </w:r>
    </w:p>
    <w:p w14:paraId="112EF8ED">
      <w:pPr>
        <w:ind w:firstLine="420"/>
        <w:rPr>
          <w:rFonts w:cs="Times New Roman"/>
        </w:rPr>
      </w:pPr>
      <w:r>
        <w:rPr>
          <w:rFonts w:cs="Times New Roman"/>
        </w:rPr>
        <w:t>测序数据量及质量统计</w:t>
      </w:r>
      <w:r>
        <w:rPr>
          <w:rFonts w:hint="eastAsia" w:cs="Times New Roman"/>
        </w:rPr>
        <w:t>说明信息表如下</w:t>
      </w:r>
      <w:r>
        <w:rPr>
          <w:rFonts w:cs="Times New Roman"/>
        </w:rPr>
        <w:t>：</w:t>
      </w:r>
    </w:p>
    <w:p w14:paraId="52105E2F">
      <w:pPr>
        <w:ind w:firstLine="420"/>
        <w:jc w:val="center"/>
        <w:rPr>
          <w:rFonts w:cs="Times New Roman"/>
        </w:rPr>
      </w:pPr>
      <w:r>
        <w:rPr>
          <w:rFonts w:hint="eastAsia" w:cs="Times New Roman"/>
        </w:rPr>
        <w:t>表</w:t>
      </w:r>
      <w:r>
        <w:rPr>
          <w:rFonts w:cs="Times New Roman"/>
        </w:rPr>
        <w:t>1</w:t>
      </w:r>
      <w:r>
        <w:rPr>
          <w:rFonts w:hint="eastAsia" w:cs="Times New Roman"/>
        </w:rPr>
        <w:t xml:space="preserve"> </w:t>
      </w:r>
      <w:r>
        <w:rPr>
          <w:rFonts w:cs="Times New Roman"/>
        </w:rPr>
        <w:t>测序数据量及质量统计</w:t>
      </w:r>
      <w:r>
        <w:rPr>
          <w:rFonts w:hint="eastAsia" w:cs="Times New Roman"/>
        </w:rPr>
        <w:t>说明信息表</w:t>
      </w:r>
    </w:p>
    <w:tbl>
      <w:tblPr>
        <w:tblStyle w:val="22"/>
        <w:tblW w:w="8589"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93"/>
        <w:gridCol w:w="5596"/>
      </w:tblGrid>
      <w:tr w14:paraId="2BF3B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50" w:type="dxa"/>
            <w:tcBorders>
              <w:bottom w:val="single" w:color="000000" w:sz="6" w:space="0"/>
            </w:tcBorders>
            <w:shd w:val="clear" w:color="auto" w:fill="FFFFFF"/>
          </w:tcPr>
          <w:p w14:paraId="58FA12DB">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表头</w:t>
            </w:r>
          </w:p>
        </w:tc>
        <w:tc>
          <w:tcPr>
            <w:tcW w:w="6339" w:type="dxa"/>
            <w:tcBorders>
              <w:bottom w:val="single" w:color="000000" w:sz="6" w:space="0"/>
            </w:tcBorders>
            <w:shd w:val="clear" w:color="auto" w:fill="FFFFFF"/>
          </w:tcPr>
          <w:p w14:paraId="0CB236F9">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描述</w:t>
            </w:r>
          </w:p>
        </w:tc>
      </w:tr>
      <w:tr w14:paraId="2C3F9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50" w:type="dxa"/>
            <w:tcBorders>
              <w:top w:val="single" w:color="000000" w:sz="6" w:space="0"/>
              <w:tl2br w:val="nil"/>
              <w:tr2bl w:val="nil"/>
            </w:tcBorders>
            <w:shd w:val="clear" w:color="auto" w:fill="FFFFFF"/>
          </w:tcPr>
          <w:p w14:paraId="400D77AA">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Sample_name</w:t>
            </w:r>
          </w:p>
        </w:tc>
        <w:tc>
          <w:tcPr>
            <w:tcW w:w="6339" w:type="dxa"/>
            <w:tcBorders>
              <w:top w:val="single" w:color="000000" w:sz="6" w:space="0"/>
              <w:tl2br w:val="nil"/>
              <w:tr2bl w:val="nil"/>
            </w:tcBorders>
            <w:shd w:val="clear" w:color="auto" w:fill="FFFFFF"/>
          </w:tcPr>
          <w:p w14:paraId="5FB48AD9">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样本名称</w:t>
            </w:r>
          </w:p>
        </w:tc>
      </w:tr>
      <w:tr w14:paraId="145238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50" w:type="dxa"/>
            <w:tcBorders>
              <w:tl2br w:val="nil"/>
              <w:tr2bl w:val="nil"/>
            </w:tcBorders>
            <w:shd w:val="clear" w:color="auto" w:fill="FFFFFF"/>
          </w:tcPr>
          <w:p w14:paraId="1F45C979">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Raw_reads</w:t>
            </w:r>
          </w:p>
        </w:tc>
        <w:tc>
          <w:tcPr>
            <w:tcW w:w="6339" w:type="dxa"/>
            <w:tcBorders>
              <w:tl2br w:val="nil"/>
              <w:tr2bl w:val="nil"/>
            </w:tcBorders>
            <w:shd w:val="clear" w:color="auto" w:fill="FFFFFF"/>
          </w:tcPr>
          <w:p w14:paraId="534EE273">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原始数据reads数</w:t>
            </w:r>
          </w:p>
        </w:tc>
      </w:tr>
      <w:tr w14:paraId="103150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4" w:hRule="atLeast"/>
        </w:trPr>
        <w:tc>
          <w:tcPr>
            <w:tcW w:w="2250" w:type="dxa"/>
            <w:tcBorders>
              <w:tl2br w:val="nil"/>
              <w:tr2bl w:val="nil"/>
            </w:tcBorders>
            <w:shd w:val="clear" w:color="auto" w:fill="FFFFFF"/>
          </w:tcPr>
          <w:p w14:paraId="31414354">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Raw_bases（G）</w:t>
            </w:r>
          </w:p>
        </w:tc>
        <w:tc>
          <w:tcPr>
            <w:tcW w:w="6339" w:type="dxa"/>
            <w:tcBorders>
              <w:tl2br w:val="nil"/>
              <w:tr2bl w:val="nil"/>
            </w:tcBorders>
            <w:shd w:val="clear" w:color="auto" w:fill="FFFFFF"/>
          </w:tcPr>
          <w:p w14:paraId="2FC0BD77">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原始数据碱基数，测序序列的个数乘以测序序列的长度，并转化为以G为单位</w:t>
            </w:r>
          </w:p>
        </w:tc>
      </w:tr>
      <w:tr w14:paraId="62DDA0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2250" w:type="dxa"/>
            <w:tcBorders>
              <w:tl2br w:val="nil"/>
              <w:tr2bl w:val="nil"/>
            </w:tcBorders>
            <w:shd w:val="clear" w:color="auto" w:fill="FFFFFF"/>
          </w:tcPr>
          <w:p w14:paraId="4EF5A8C1">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Removed_low_quality_Reads</w:t>
            </w:r>
          </w:p>
        </w:tc>
        <w:tc>
          <w:tcPr>
            <w:tcW w:w="6339" w:type="dxa"/>
            <w:tcBorders>
              <w:tl2br w:val="nil"/>
              <w:tr2bl w:val="nil"/>
            </w:tcBorders>
            <w:shd w:val="clear" w:color="auto" w:fill="FFFFFF"/>
          </w:tcPr>
          <w:p w14:paraId="4157DD9D">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去除低质量之后的reads数</w:t>
            </w:r>
          </w:p>
        </w:tc>
      </w:tr>
      <w:tr w14:paraId="4EB073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2250" w:type="dxa"/>
            <w:tcBorders>
              <w:tl2br w:val="nil"/>
              <w:tr2bl w:val="nil"/>
            </w:tcBorders>
            <w:shd w:val="clear" w:color="auto" w:fill="FFFFFF"/>
          </w:tcPr>
          <w:p w14:paraId="6B5AD899">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Removed_Low_Qualitybases(G)</w:t>
            </w:r>
          </w:p>
        </w:tc>
        <w:tc>
          <w:tcPr>
            <w:tcW w:w="6339" w:type="dxa"/>
            <w:tcBorders>
              <w:tl2br w:val="nil"/>
              <w:tr2bl w:val="nil"/>
            </w:tcBorders>
            <w:shd w:val="clear" w:color="auto" w:fill="FFFFFF"/>
          </w:tcPr>
          <w:p w14:paraId="17345BBF">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原始数据过滤后的碱基数，测序序列的个数乘以测序序列的长度，并转化为以G为单位</w:t>
            </w:r>
          </w:p>
        </w:tc>
      </w:tr>
      <w:tr w14:paraId="27CADB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2250" w:type="dxa"/>
            <w:tcBorders>
              <w:tl2br w:val="nil"/>
              <w:tr2bl w:val="nil"/>
            </w:tcBorders>
            <w:shd w:val="clear" w:color="auto" w:fill="FFFFFF"/>
          </w:tcPr>
          <w:p w14:paraId="623C4F36">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Removed_host_Reads</w:t>
            </w:r>
          </w:p>
        </w:tc>
        <w:tc>
          <w:tcPr>
            <w:tcW w:w="6339" w:type="dxa"/>
            <w:tcBorders>
              <w:tl2br w:val="nil"/>
              <w:tr2bl w:val="nil"/>
            </w:tcBorders>
            <w:shd w:val="clear" w:color="auto" w:fill="FFFFFF"/>
          </w:tcPr>
          <w:p w14:paraId="3EB7AF3F">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过滤掉宿主之后的reads总数</w:t>
            </w:r>
          </w:p>
        </w:tc>
      </w:tr>
      <w:tr w14:paraId="3305CA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2250" w:type="dxa"/>
            <w:tcBorders>
              <w:tl2br w:val="nil"/>
              <w:tr2bl w:val="nil"/>
            </w:tcBorders>
            <w:shd w:val="clear" w:color="auto" w:fill="FFFFFF"/>
          </w:tcPr>
          <w:p w14:paraId="2C559DFE">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Removed_host_bases(G)</w:t>
            </w:r>
          </w:p>
        </w:tc>
        <w:tc>
          <w:tcPr>
            <w:tcW w:w="6339" w:type="dxa"/>
            <w:tcBorders>
              <w:tl2br w:val="nil"/>
              <w:tr2bl w:val="nil"/>
            </w:tcBorders>
            <w:shd w:val="clear" w:color="auto" w:fill="FFFFFF"/>
          </w:tcPr>
          <w:p w14:paraId="6B9AF715">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Clean Data总碱基数</w:t>
            </w:r>
          </w:p>
        </w:tc>
      </w:tr>
      <w:tr w14:paraId="495874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50" w:type="dxa"/>
            <w:tcBorders>
              <w:tl2br w:val="nil"/>
              <w:tr2bl w:val="nil"/>
            </w:tcBorders>
            <w:shd w:val="clear" w:color="auto" w:fill="FFFFFF"/>
          </w:tcPr>
          <w:p w14:paraId="0030C3ED">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Q20（%）</w:t>
            </w:r>
          </w:p>
        </w:tc>
        <w:tc>
          <w:tcPr>
            <w:tcW w:w="6339" w:type="dxa"/>
            <w:tcBorders>
              <w:tl2br w:val="nil"/>
              <w:tr2bl w:val="nil"/>
            </w:tcBorders>
            <w:shd w:val="clear" w:color="auto" w:fill="FFFFFF"/>
          </w:tcPr>
          <w:p w14:paraId="69D91DC8">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Phred数值大于20的碱基占总碱基的百分比，一般&gt;90%</w:t>
            </w:r>
          </w:p>
        </w:tc>
      </w:tr>
      <w:tr w14:paraId="39A08C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7" w:hRule="atLeast"/>
        </w:trPr>
        <w:tc>
          <w:tcPr>
            <w:tcW w:w="2250" w:type="dxa"/>
            <w:tcBorders>
              <w:tl2br w:val="nil"/>
              <w:tr2bl w:val="nil"/>
            </w:tcBorders>
            <w:shd w:val="clear" w:color="auto" w:fill="FFFFFF"/>
          </w:tcPr>
          <w:p w14:paraId="61868B7B">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Q30（%）</w:t>
            </w:r>
          </w:p>
        </w:tc>
        <w:tc>
          <w:tcPr>
            <w:tcW w:w="6339" w:type="dxa"/>
            <w:tcBorders>
              <w:tl2br w:val="nil"/>
              <w:tr2bl w:val="nil"/>
            </w:tcBorders>
            <w:shd w:val="clear" w:color="auto" w:fill="FFFFFF"/>
          </w:tcPr>
          <w:p w14:paraId="01A1DCCE">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Phred数值大于30的碱基占总碱基的百分比，一般&gt;80%</w:t>
            </w:r>
          </w:p>
        </w:tc>
      </w:tr>
      <w:tr w14:paraId="2C95D6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0" w:hRule="atLeast"/>
        </w:trPr>
        <w:tc>
          <w:tcPr>
            <w:tcW w:w="2250" w:type="dxa"/>
            <w:tcBorders>
              <w:tl2br w:val="nil"/>
              <w:tr2bl w:val="nil"/>
            </w:tcBorders>
            <w:shd w:val="clear" w:color="auto" w:fill="FFFFFF"/>
          </w:tcPr>
          <w:p w14:paraId="5F3F9C08">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GC_content（%）</w:t>
            </w:r>
          </w:p>
        </w:tc>
        <w:tc>
          <w:tcPr>
            <w:tcW w:w="6339" w:type="dxa"/>
            <w:tcBorders>
              <w:tl2br w:val="nil"/>
              <w:tr2bl w:val="nil"/>
            </w:tcBorders>
            <w:shd w:val="clear" w:color="auto" w:fill="FFFFFF"/>
          </w:tcPr>
          <w:p w14:paraId="2651D645">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clean reads中G与C占四种碱基的百分比</w:t>
            </w:r>
          </w:p>
        </w:tc>
      </w:tr>
    </w:tbl>
    <w:p w14:paraId="0B4396C3">
      <w:pPr>
        <w:ind w:firstLine="420"/>
      </w:pPr>
      <w:r>
        <w:rPr>
          <w:rFonts w:hint="eastAsia"/>
        </w:rPr>
        <w:t>结果目录：</w:t>
      </w:r>
      <w:r>
        <w:t>Result/01.clean_data/qc_stats.xlsx</w:t>
      </w:r>
    </w:p>
    <w:p w14:paraId="3AFB7F39">
      <w:pPr>
        <w:pStyle w:val="40"/>
      </w:pPr>
      <w:bookmarkStart w:id="50" w:name="_Toc24352"/>
      <w:r>
        <w:rPr>
          <w:rFonts w:hint="eastAsia"/>
        </w:rPr>
        <w:t>4.</w:t>
      </w:r>
      <w:r>
        <w:t xml:space="preserve"> </w:t>
      </w:r>
      <w:r>
        <w:rPr>
          <w:rFonts w:hint="eastAsia"/>
        </w:rPr>
        <w:t>数据组装</w:t>
      </w:r>
      <w:bookmarkEnd w:id="50"/>
    </w:p>
    <w:p w14:paraId="5D4C7304">
      <w:pPr>
        <w:ind w:firstLine="420"/>
      </w:pPr>
      <w:r>
        <w:rPr>
          <w:rFonts w:hint="eastAsia"/>
        </w:rPr>
        <w:t>序列经过质控后，为了得到更为有效的基因组信息，并对序列进行更为准确的功能注释分析，需要进行宏基因组的组装分析。</w:t>
      </w:r>
    </w:p>
    <w:p w14:paraId="58E53AF7">
      <w:pPr>
        <w:ind w:firstLine="420"/>
      </w:pPr>
      <w:r>
        <w:rPr>
          <w:rFonts w:hint="eastAsia"/>
        </w:rPr>
        <w:t>分析方法和软件：基于单个样本的reads，使用基于De-Brujin graph原理的拼接软件MEGAHIT对其进行拼接组装，根据kmer间的重叠（overlap）关系，构建De-Brujin graph，获得contigs，筛选500 bp以上的Contigs进行</w:t>
      </w:r>
      <w:bookmarkStart w:id="79" w:name="_GoBack"/>
      <w:bookmarkEnd w:id="79"/>
      <w:r>
        <w:rPr>
          <w:rFonts w:hint="eastAsia"/>
        </w:rPr>
        <w:t>统计并用于后续分析。</w:t>
      </w:r>
    </w:p>
    <w:p w14:paraId="6D13FFC0">
      <w:pPr>
        <w:ind w:firstLine="420"/>
      </w:pPr>
      <w:r>
        <w:rPr>
          <w:rFonts w:hint="eastAsia"/>
        </w:rPr>
        <w:t>从组装结果出发，统计每个样品中Contigs长度的分布，并绘制成图，Contigs长度分布如下所示：</w:t>
      </w:r>
    </w:p>
    <w:p w14:paraId="334769C7">
      <w:pPr>
        <w:ind w:firstLine="420"/>
        <w:jc w:val="center"/>
      </w:pPr>
      <w:r>
        <w:rPr>
          <w:rFonts w:cs="Times New Roman"/>
          <w:szCs w:val="21"/>
        </w:rPr>
        <w:drawing>
          <wp:inline distT="0" distB="0" distL="0" distR="0">
            <wp:extent cx="3999230" cy="2207260"/>
            <wp:effectExtent l="0" t="0" r="1270" b="254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55B1C90A">
      <w:pPr>
        <w:pStyle w:val="32"/>
      </w:pPr>
      <w:r>
        <w:rPr>
          <w:rFonts w:hint="eastAsia"/>
        </w:rPr>
        <w:t>注：横坐标为不同样本，不同颜色代表不同Contigs长度区间，纵坐标为不同长度区间Contigs的数量</w:t>
      </w:r>
    </w:p>
    <w:p w14:paraId="207A64F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Result/group*/2-Assembly/contig_length.</w:t>
      </w:r>
      <w:r>
        <w:rPr>
          <w:rFonts w:hint="eastAsia" w:cs="Times New Roman"/>
          <w:color w:val="000000" w:themeColor="text1"/>
          <w14:textFill>
            <w14:solidFill>
              <w14:schemeClr w14:val="tx1"/>
            </w14:solidFill>
          </w14:textFill>
        </w:rPr>
        <w:t>png</w:t>
      </w:r>
    </w:p>
    <w:p w14:paraId="12812E61">
      <w:pPr>
        <w:pStyle w:val="40"/>
      </w:pPr>
      <w:bookmarkStart w:id="51" w:name="_Toc181"/>
      <w:r>
        <w:t>5</w:t>
      </w:r>
      <w:r>
        <w:rPr>
          <w:rFonts w:hint="eastAsia"/>
        </w:rPr>
        <w:t>.</w:t>
      </w:r>
      <w:r>
        <w:t xml:space="preserve"> </w:t>
      </w:r>
      <w:r>
        <w:rPr>
          <w:rFonts w:hint="eastAsia"/>
        </w:rPr>
        <w:t>基因预测以及基因集构建</w:t>
      </w:r>
      <w:bookmarkEnd w:id="51"/>
    </w:p>
    <w:p w14:paraId="00DD0B5F">
      <w:pPr>
        <w:ind w:firstLine="420"/>
      </w:pPr>
      <w:r>
        <w:rPr>
          <w:rFonts w:hint="eastAsia"/>
        </w:rPr>
        <w:t>在基因组组装的基础上，进行基因的预测分析，并对预测出来的基因进行后续的基因集构建以及功能注释分析等。</w:t>
      </w:r>
    </w:p>
    <w:p w14:paraId="3B09DD9B">
      <w:pPr>
        <w:ind w:firstLine="420"/>
      </w:pPr>
      <w:r>
        <w:rPr>
          <w:rFonts w:hint="eastAsia"/>
        </w:rPr>
        <w:t>（1）使用Prodigal软件对拼接的Contigs序列进行ORF预测，并将其翻译为氨基酸序列。</w:t>
      </w:r>
    </w:p>
    <w:p w14:paraId="04874F97">
      <w:pPr>
        <w:ind w:firstLine="420"/>
      </w:pPr>
      <w:r>
        <w:rPr>
          <w:rFonts w:hint="eastAsia"/>
        </w:rPr>
        <w:t>（2）对各样品组装的ORF预测结果，采用CD-HIT软件进行去冗余，以获得非冗余的初始gene catalogue（此处，操作上，将非冗余的连续基因编码的核酸序列称之为genes），默认以identity 95%，coverage 90%进行聚类，并选取最长的序列为代表性序列。</w:t>
      </w:r>
    </w:p>
    <w:p w14:paraId="56050F59">
      <w:pPr>
        <w:ind w:firstLine="420"/>
      </w:pPr>
      <w:r>
        <w:rPr>
          <w:rFonts w:hint="eastAsia"/>
        </w:rPr>
        <w:t>（</w:t>
      </w:r>
      <w:r>
        <w:t>3</w:t>
      </w:r>
      <w:r>
        <w:rPr>
          <w:rFonts w:hint="eastAsia"/>
        </w:rPr>
        <w:t>）使用bowtie2软件，分别将每个样本的clean reads与非冗余基因集进行比对（95 %</w:t>
      </w:r>
      <w:r>
        <w:t xml:space="preserve"> </w:t>
      </w:r>
      <w:r>
        <w:rPr>
          <w:rFonts w:hint="eastAsia"/>
        </w:rPr>
        <w:t>identity），统计基因在对应样本中的丰度信息。</w:t>
      </w:r>
    </w:p>
    <w:p w14:paraId="1B2AABB7">
      <w:pPr>
        <w:ind w:firstLine="420"/>
      </w:pPr>
      <w:r>
        <w:rPr>
          <w:rFonts w:hint="eastAsia"/>
        </w:rPr>
        <w:t>（4）从比对上的reads数目及基因长度出发，计算得到各基因在各样品中的丰度信息，计算公式如下所示：r为比对上基因的reads数目，L为基因的长度。</w:t>
      </w:r>
    </w:p>
    <w:p w14:paraId="4F0A51EA">
      <w:pPr>
        <w:ind w:firstLine="420"/>
        <w:jc w:val="center"/>
      </w:pPr>
      <w:r>
        <w:drawing>
          <wp:inline distT="0" distB="0" distL="0" distR="0">
            <wp:extent cx="1354455" cy="490220"/>
            <wp:effectExtent l="0" t="0" r="0"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9"/>
                    <a:stretch>
                      <a:fillRect/>
                    </a:stretch>
                  </pic:blipFill>
                  <pic:spPr>
                    <a:xfrm>
                      <a:off x="0" y="0"/>
                      <a:ext cx="1371550" cy="496938"/>
                    </a:xfrm>
                    <a:prstGeom prst="rect">
                      <a:avLst/>
                    </a:prstGeom>
                  </pic:spPr>
                </pic:pic>
              </a:graphicData>
            </a:graphic>
          </wp:inline>
        </w:drawing>
      </w:r>
    </w:p>
    <w:p w14:paraId="59F54DF4">
      <w:pPr>
        <w:pStyle w:val="41"/>
      </w:pPr>
      <w:bookmarkStart w:id="52" w:name="_Toc10728"/>
      <w:r>
        <w:t xml:space="preserve">5.1 </w:t>
      </w:r>
      <w:r>
        <w:rPr>
          <w:rFonts w:hint="eastAsia"/>
        </w:rPr>
        <w:t>gene catalogue基本信息统计</w:t>
      </w:r>
      <w:bookmarkEnd w:id="52"/>
    </w:p>
    <w:p w14:paraId="32BC8293">
      <w:pPr>
        <w:ind w:firstLine="420"/>
      </w:pPr>
      <w:r>
        <w:rPr>
          <w:rFonts w:hint="eastAsia"/>
        </w:rPr>
        <w:t>使用python对gene catalogue的长度进行统计，gene catalogue长度分布图如下：</w:t>
      </w:r>
    </w:p>
    <w:p w14:paraId="04EA21B0">
      <w:pPr>
        <w:ind w:firstLine="420"/>
        <w:jc w:val="center"/>
      </w:pPr>
      <w:r>
        <w:rPr>
          <w:rFonts w:cs="Times New Roman"/>
          <w:szCs w:val="21"/>
        </w:rPr>
        <w:drawing>
          <wp:inline distT="0" distB="0" distL="0" distR="0">
            <wp:extent cx="3999230" cy="2207260"/>
            <wp:effectExtent l="0" t="0" r="1270" b="254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251B2013">
      <w:pPr>
        <w:pStyle w:val="32"/>
      </w:pPr>
      <w:r>
        <w:rPr>
          <w:rFonts w:hint="eastAsia"/>
        </w:rPr>
        <w:t>注：横坐标为序列长度，纵坐标表示该长度的序列有多少条</w:t>
      </w:r>
    </w:p>
    <w:p w14:paraId="1CAA492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Result/group*/3-GenePredict/gene_length.png</w:t>
      </w:r>
    </w:p>
    <w:p w14:paraId="4BC52540">
      <w:pPr>
        <w:pStyle w:val="41"/>
      </w:pPr>
      <w:bookmarkStart w:id="53" w:name="_Toc20906"/>
      <w:r>
        <w:t xml:space="preserve">5.2 </w:t>
      </w:r>
      <w:r>
        <w:rPr>
          <w:rFonts w:hint="eastAsia"/>
        </w:rPr>
        <w:t>基于基因丰度的样品间相关性和韦恩分析</w:t>
      </w:r>
      <w:bookmarkEnd w:id="53"/>
    </w:p>
    <w:p w14:paraId="6532D80C">
      <w:pPr>
        <w:ind w:firstLine="420"/>
      </w:pPr>
      <w:r>
        <w:rPr>
          <w:rFonts w:hint="eastAsia"/>
        </w:rPr>
        <w:t>样品间基因丰度相关性是检验实验样本选择是否合理性的重要指标。相关系数越接近1，表明样品之间基因丰度模式的相似度越高。</w:t>
      </w:r>
    </w:p>
    <w:p w14:paraId="6A972F5B">
      <w:pPr>
        <w:ind w:firstLine="420"/>
      </w:pPr>
      <w:r>
        <w:rPr>
          <w:rFonts w:hint="eastAsia"/>
        </w:rPr>
        <w:t>样品间相关系数热图如下：</w:t>
      </w:r>
    </w:p>
    <w:p w14:paraId="45009E95">
      <w:pPr>
        <w:ind w:firstLine="420"/>
        <w:jc w:val="cente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3" name="图片 5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3D0A2E1">
      <w:pPr>
        <w:pStyle w:val="32"/>
      </w:pPr>
      <w:r>
        <w:rPr>
          <w:rFonts w:hint="eastAsia"/>
        </w:rPr>
        <w:t>注：不同颜色代表spearman相关系数的高低；相关系数与颜色间的关系见右侧图例说明；颜色越深代表样品间相关系数越大。</w:t>
      </w:r>
    </w:p>
    <w:p w14:paraId="3605690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Result/group*/4-GeneAbundance/Sample_correlation/sample.corr_heatmap.png</w:t>
      </w:r>
    </w:p>
    <w:p w14:paraId="089B22D7">
      <w:pPr>
        <w:ind w:firstLine="420"/>
      </w:pPr>
      <w:r>
        <w:rPr>
          <w:rFonts w:hint="eastAsia"/>
        </w:rPr>
        <w:t>为了考察指定样品间的基因数目分布情况，分析不同样品之间的基因共有、特有信息，绘制了韦恩图(Venn Graph)或者upset图，如下：</w:t>
      </w:r>
    </w:p>
    <w:p w14:paraId="429437CB">
      <w:pPr>
        <w:ind w:firstLine="420"/>
        <w:jc w:val="cente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0" name="图片 5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B2D4E99">
      <w:pPr>
        <w:pStyle w:val="32"/>
      </w:pPr>
      <w:r>
        <w:rPr>
          <w:rFonts w:hint="eastAsia"/>
        </w:rPr>
        <w:t>注：venn图中圆圈相交部分代表样本之间的共有基因，圆圈未相交部分代表各样本的特有元素。upset图中左侧柱状图展示各原始数据集中包含的元素总量。下方交集点的部分，通过横向的对应关系，用点指代左侧的对应数据集名称。通过纵向实现点与点之间的连接，来表示对应数据集之间存在交集的情况。即，通过点与点之间的连接，对应传统韦恩图中圈与圈的重叠。通过纵向的对应关系，对应上方柱状图，表示该交集情况下的交集元素数量。</w:t>
      </w:r>
    </w:p>
    <w:p w14:paraId="242D13F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Result/group*/4-GeneAbundance/Venn/upset.png</w:t>
      </w:r>
    </w:p>
    <w:p w14:paraId="70645A33">
      <w:pPr>
        <w:pStyle w:val="40"/>
      </w:pPr>
      <w:bookmarkStart w:id="54" w:name="_Toc27566"/>
      <w:bookmarkStart w:id="55" w:name="_Toc25884"/>
      <w:bookmarkStart w:id="56" w:name="_Toc18625"/>
      <w:bookmarkStart w:id="57" w:name="_Toc14195"/>
      <w:bookmarkStart w:id="58" w:name="_Toc20388"/>
      <w:r>
        <w:t>6</w:t>
      </w:r>
      <w:r>
        <w:rPr>
          <w:rFonts w:hint="eastAsia"/>
        </w:rPr>
        <w:t>.</w:t>
      </w:r>
      <w:r>
        <w:t xml:space="preserve"> </w:t>
      </w:r>
      <w:r>
        <w:rPr>
          <w:rFonts w:hint="eastAsia"/>
        </w:rPr>
        <w:t>物种组成及丰度分析</w:t>
      </w:r>
      <w:bookmarkEnd w:id="54"/>
      <w:bookmarkEnd w:id="55"/>
      <w:bookmarkEnd w:id="56"/>
      <w:bookmarkEnd w:id="57"/>
      <w:bookmarkEnd w:id="58"/>
    </w:p>
    <w:p w14:paraId="54E54472">
      <w:pPr>
        <w:ind w:firstLine="420"/>
      </w:pPr>
      <w:r>
        <w:rPr>
          <w:rFonts w:hint="eastAsia"/>
        </w:rPr>
        <w:t>1）使用genes与各功能数据库进行比对。DIAMOND软件将Unigenes与从NCBI的NR数据库中抽提出的细菌(Bacteria)、真菌(Fungi)、古菌(Archaea)和病毒(Viruses)序列进行比对（evalue≤1e-5）；</w:t>
      </w:r>
    </w:p>
    <w:p w14:paraId="7A7FB53C">
      <w:pPr>
        <w:ind w:firstLine="420"/>
      </w:pPr>
      <w:r>
        <w:t>2</w:t>
      </w:r>
      <w:r>
        <w:rPr>
          <w:rFonts w:hint="eastAsia"/>
        </w:rPr>
        <w:t>）由于每一条序列可能会有多个比对结果，得到多个不同的物种分类信息，为了保证其生物意义，采取LCA算法(应用于MEGAN软件的系统分类)，将出现第一个分支前的分类级别，作为该序列的物种注释信息；</w:t>
      </w:r>
    </w:p>
    <w:p w14:paraId="1058A740">
      <w:pPr>
        <w:ind w:firstLine="420"/>
      </w:pPr>
      <w:r>
        <w:t>3</w:t>
      </w:r>
      <w:r>
        <w:rPr>
          <w:rFonts w:hint="eastAsia"/>
        </w:rPr>
        <w:t>）从LCA注释结果及基因丰度表出发，获得各个样品在各个分类层级（界门纲目科属种）上的丰度信息，对于某个物种在某个样品中的丰度，等于注释为该物种的基因丰度的加和；</w:t>
      </w:r>
    </w:p>
    <w:p w14:paraId="3414FDD2">
      <w:pPr>
        <w:ind w:firstLine="420"/>
      </w:pPr>
      <w:r>
        <w:t>4</w:t>
      </w:r>
      <w:r>
        <w:rPr>
          <w:rFonts w:hint="eastAsia"/>
        </w:rPr>
        <w:t>）从各个分类层级（界门纲目科属种）上的丰度表出发，进行Krona分析，相对丰度概况展示，丰度聚类热图展示，PCA和NMDS降维分析，Anosim组间（内）差异分析，组间差异物种的Metastat和LEfSe多元统计分析。</w:t>
      </w:r>
    </w:p>
    <w:p w14:paraId="245A2447">
      <w:pPr>
        <w:pStyle w:val="41"/>
      </w:pPr>
      <w:bookmarkStart w:id="59" w:name="_Toc20242"/>
      <w:r>
        <w:t xml:space="preserve">6.1 </w:t>
      </w:r>
      <w:r>
        <w:rPr>
          <w:rFonts w:hint="eastAsia"/>
        </w:rPr>
        <w:t>物种组成分析</w:t>
      </w:r>
      <w:bookmarkEnd w:id="59"/>
    </w:p>
    <w:p w14:paraId="312E7A1B">
      <w:pPr>
        <w:ind w:firstLine="420"/>
        <w:rPr>
          <w:rFonts w:hint="eastAsia"/>
        </w:rPr>
      </w:pPr>
      <w:r>
        <w:rPr>
          <w:rFonts w:hint="eastAsia"/>
        </w:rPr>
        <w:t>根据分类结果，将分类结果归为4类：古细菌（Archaea）、细菌（Bacteria）、真菌（Fungi）和病毒（Virus）；所有分类的信息在All中。</w:t>
      </w:r>
    </w:p>
    <w:p w14:paraId="52EBB410">
      <w:pPr>
        <w:ind w:firstLine="420"/>
        <w:rPr>
          <w:rFonts w:hint="eastAsia" w:eastAsia="宋体"/>
          <w:lang w:val="en-US" w:eastAsia="zh-CN"/>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14:textFill>
            <w14:solidFill>
              <w14:schemeClr w14:val="tx1"/>
            </w14:solidFill>
          </w14:textFill>
        </w:rPr>
        <w:t>5-TaxAnnotation</w:t>
      </w:r>
      <w:r>
        <w:rPr>
          <w:rFonts w:hint="eastAsia" w:cs="Times New Roman"/>
          <w:color w:val="000000" w:themeColor="text1"/>
          <w:lang w:val="en-US" w:eastAsia="zh-CN"/>
          <w14:textFill>
            <w14:solidFill>
              <w14:schemeClr w14:val="tx1"/>
            </w14:solidFill>
          </w14:textFill>
        </w:rPr>
        <w:t>/1.Tables</w:t>
      </w:r>
    </w:p>
    <w:p w14:paraId="059F60FA">
      <w:pPr>
        <w:pStyle w:val="40"/>
      </w:pPr>
      <w:bookmarkStart w:id="60" w:name="_Toc18761"/>
      <w:bookmarkStart w:id="61" w:name="_Toc30417"/>
      <w:bookmarkStart w:id="62" w:name="_Toc5453"/>
      <w:bookmarkStart w:id="63" w:name="_Toc13804"/>
      <w:bookmarkStart w:id="64" w:name="_Toc8462"/>
      <w:r>
        <w:rPr>
          <w:rFonts w:hint="eastAsia"/>
          <w:lang w:val="en-US" w:eastAsia="zh-CN"/>
        </w:rPr>
        <w:t>7</w:t>
      </w:r>
      <w:r>
        <w:t xml:space="preserve">. </w:t>
      </w:r>
      <w:r>
        <w:rPr>
          <w:rFonts w:hint="eastAsia"/>
        </w:rPr>
        <w:t>功能预测</w:t>
      </w:r>
      <w:bookmarkEnd w:id="60"/>
      <w:bookmarkEnd w:id="61"/>
      <w:bookmarkEnd w:id="62"/>
      <w:bookmarkEnd w:id="63"/>
      <w:bookmarkEnd w:id="64"/>
    </w:p>
    <w:p w14:paraId="4E58178F">
      <w:pPr>
        <w:ind w:firstLine="420"/>
      </w:pPr>
      <w:r>
        <w:rPr>
          <w:rFonts w:hint="eastAsia"/>
        </w:rPr>
        <w:t>目前常用的功能数据库主要有：</w:t>
      </w:r>
    </w:p>
    <w:p w14:paraId="248CA064">
      <w:pPr>
        <w:ind w:firstLine="420"/>
      </w:pPr>
      <w:r>
        <w:rPr>
          <w:rFonts w:hint="eastAsia"/>
        </w:rPr>
        <w:t>Kyoto Encyclopedia of Genes and Genomes（KEGG）；</w:t>
      </w:r>
    </w:p>
    <w:p w14:paraId="41F1F531">
      <w:pPr>
        <w:ind w:firstLine="420"/>
      </w:pPr>
      <w:r>
        <w:rPr>
          <w:rFonts w:hint="eastAsia"/>
        </w:rPr>
        <w:t>Evolutionary genealogy of genes: Non-supervised Orthologous Groups（eggNOG）；</w:t>
      </w:r>
    </w:p>
    <w:p w14:paraId="7A5842F9">
      <w:pPr>
        <w:ind w:firstLine="420"/>
      </w:pPr>
      <w:r>
        <w:t>Carbohydrate-Active enzymes Database (CAZy)</w:t>
      </w:r>
    </w:p>
    <w:p w14:paraId="66C98FCD">
      <w:pPr>
        <w:ind w:firstLine="420"/>
      </w:pPr>
      <w:r>
        <w:rPr>
          <w:rFonts w:hint="eastAsia"/>
        </w:rPr>
        <w:t>Gene Ontology (GO)</w:t>
      </w:r>
    </w:p>
    <w:p w14:paraId="5D9EA501">
      <w:pPr>
        <w:ind w:firstLine="420"/>
      </w:pPr>
      <w:r>
        <w:rPr>
          <w:rFonts w:hint="eastAsia"/>
        </w:rPr>
        <w:t>KEGG数据库于1995年由Kanehisa Laboratories推出0.1版，目前发展为一个综合性数据库，其中最核心的为KEGG PATHWAY和KEGG ORTHOLOGY数据库。在KEGG ORTHOLOGY数据库中，将行使相同功能的基因聚在一起，称为Ortholog Groups（KO entries），每个KO包含多个基因信息，并在一至多个pathway中发挥作用。而在KEGG PATHWAY数据库中，将生物代谢通路划分为7类，分别为：细胞过程（Cellular Processes）、环境信息处理（Environmental Information Processing）、遗传信息处理（Genetic Information Processing）、人类疾病（Human Diseases）、新陈代谢（Metabolism）、生物体系统（Organismal Systems）、药物发展（Drug Development），其中每类又被系统分类为二、三、四层。第二层目前包括有43种子pathway；第三层即为其代谢通路图；第四层为每个代谢通路图的具体注释信息。</w:t>
      </w:r>
    </w:p>
    <w:p w14:paraId="2A2D0908">
      <w:pPr>
        <w:ind w:firstLine="420"/>
      </w:pPr>
      <w:r>
        <w:rPr>
          <w:rFonts w:hint="eastAsia"/>
        </w:rPr>
        <w:t>eggNOG数据库是利用Smith-Waterman比对算法对构建的基因直系同源簇（Orthologous Groups）进行功能注释，eggNOG V4.1涵盖了2031个物种的基因，构建了约19万个Orthologous Groups。</w:t>
      </w:r>
    </w:p>
    <w:p w14:paraId="1CC04070">
      <w:pPr>
        <w:ind w:firstLine="420"/>
      </w:pPr>
      <w:r>
        <w:rPr>
          <w:rFonts w:hint="eastAsia"/>
        </w:rPr>
        <w:t>CAZy数据库是研究碳水化合物酶的专业级数据库，主要涵盖6大功能类：糖苷水解酶（Glycoside Hydrolases，GHs），糖基转移酶（Glycosyl Transferases，GTs），多糖裂合酶（Polysaccharide Lyases，PLs），碳水化合物酯酶（Carbohydrate Esterases，CEs），辅助氧化还原酶(Auxiliary Activities，AAs)和碳水化合物结合模块（Carbohydrate-Binding Modules，CBMs）。</w:t>
      </w:r>
    </w:p>
    <w:p w14:paraId="1C263219">
      <w:pPr>
        <w:ind w:firstLine="420"/>
      </w:pPr>
      <w:r>
        <w:rPr>
          <w:rFonts w:hint="eastAsia"/>
        </w:rPr>
        <w:t>GO是基因本体联合会（Gene Ontology Consortium）所建立的数据库，旨在建立一个适用于各种物种的，对基因和蛋白功能进行限定和描述的，并能随着研究不断深入而更新的语义词汇标准，适用于各物种。GO按照生物过程（Biology Process），分子功能（Molecular Function）和细胞组成（Celular component）对基因进行注释和分类。通过GO富集分析可以粗略了解差异基因富集在哪些生物学功能、途径或者细胞定位。</w:t>
      </w:r>
    </w:p>
    <w:p w14:paraId="005CAD7F">
      <w:pPr>
        <w:ind w:firstLine="420"/>
      </w:pPr>
      <w:r>
        <w:rPr>
          <w:rFonts w:hint="eastAsia"/>
        </w:rPr>
        <w:t>功能注释基本步骤：</w:t>
      </w:r>
    </w:p>
    <w:p w14:paraId="7E788E64">
      <w:pPr>
        <w:ind w:firstLine="420"/>
      </w:pPr>
      <w:r>
        <w:rPr>
          <w:rFonts w:hint="eastAsia"/>
        </w:rPr>
        <w:t>[1].</w:t>
      </w:r>
      <w:r>
        <w:t xml:space="preserve"> </w:t>
      </w:r>
      <w:r>
        <w:rPr>
          <w:rFonts w:hint="eastAsia"/>
        </w:rPr>
        <w:t>使用</w:t>
      </w:r>
      <w:r>
        <w:t>eggNOG-mapper</w:t>
      </w:r>
      <w:r>
        <w:rPr>
          <w:rFonts w:hint="eastAsia"/>
        </w:rPr>
        <w:t>软件将非冗余基因与各功能数据库进行比对，取e&lt;1e-5的注释，筛选具有最高序列相似性的蛋白，从而得到功能注释信息；</w:t>
      </w:r>
    </w:p>
    <w:p w14:paraId="71FB8771">
      <w:pPr>
        <w:ind w:firstLine="420"/>
      </w:pPr>
      <w:r>
        <w:rPr>
          <w:rFonts w:hint="eastAsia"/>
        </w:rPr>
        <w:t>[</w:t>
      </w:r>
      <w:r>
        <w:t>2</w:t>
      </w:r>
      <w:r>
        <w:rPr>
          <w:rFonts w:hint="eastAsia"/>
        </w:rPr>
        <w:t>].</w:t>
      </w:r>
      <w:r>
        <w:t xml:space="preserve"> </w:t>
      </w:r>
      <w:r>
        <w:rPr>
          <w:rFonts w:hint="eastAsia"/>
        </w:rPr>
        <w:t>从比对结果出发，统计不同功能层级的相对丰度（各功能层级的相对丰度等于注释为该功能层级的基因的相对丰度之和）。</w:t>
      </w:r>
    </w:p>
    <w:p w14:paraId="42131FC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7</w:t>
      </w:r>
      <w:r>
        <w:rPr>
          <w:rFonts w:cs="Times New Roman"/>
          <w:color w:val="000000" w:themeColor="text1"/>
          <w14:textFill>
            <w14:solidFill>
              <w14:schemeClr w14:val="tx1"/>
            </w14:solidFill>
          </w14:textFill>
        </w:rPr>
        <w:t>-FunctionAnnotation</w:t>
      </w:r>
    </w:p>
    <w:p w14:paraId="7496B86B">
      <w:pPr>
        <w:pStyle w:val="40"/>
      </w:pPr>
      <w:bookmarkStart w:id="65" w:name="_Toc9030"/>
      <w:r>
        <w:rPr>
          <w:rFonts w:hint="eastAsia"/>
          <w:lang w:val="en-US" w:eastAsia="zh-CN"/>
        </w:rPr>
        <w:t>8</w:t>
      </w:r>
      <w:r>
        <w:t xml:space="preserve">. </w:t>
      </w:r>
      <w:r>
        <w:rPr>
          <w:rFonts w:hint="eastAsia"/>
        </w:rPr>
        <w:t>生物地球化学循环功能分析</w:t>
      </w:r>
      <w:bookmarkEnd w:id="65"/>
    </w:p>
    <w:p w14:paraId="552DE139">
      <w:pPr>
        <w:ind w:firstLine="420"/>
      </w:pPr>
      <w:r>
        <w:rPr>
          <w:rFonts w:hint="eastAsia"/>
        </w:rPr>
        <w:t>生物地球化学循环（biogeochemical cycle），即在地球表层生物圈中，生物有机体经由生命活动，从其生存环境的介质中吸取元素及其化合物（常称矿物质），通过生物化学作用转化为生命物质，同时排泄部分物质返回环境，并在其死亡之后又被分解成为元素或化合物（亦称矿物质）返回环境介质中。这一个循环往复的过程，称为生物地球化学循环。生物地球化学循环还包括从一种生物体（初级生产者）到另一种生物体（消费者）的转移或食物链的传递及效应。生物地球化学循环是地球系统科学的核心研究方向之一，对碳（C）、氮（N）、磷（P）、硫（S）及重金属等元素在地球圈层中的循环过程进行描述、示踪和预测是生物地球化学循环研究的重要内容。</w:t>
      </w:r>
    </w:p>
    <w:p w14:paraId="5C262764">
      <w:pPr>
        <w:ind w:firstLine="420"/>
      </w:pPr>
      <w:r>
        <w:rPr>
          <w:rFonts w:hint="eastAsia"/>
        </w:rPr>
        <w:t>基于KEGG和已发表的文献资料信息，构建了碳固定、氮循环、磷循环、硫循环和甲烷代谢标记基因集。通过从数据库功能注释结果中提取上述信息，基于TPM丰度计算方法，进行功能组成分析，差异分析和相关性分析。</w:t>
      </w:r>
    </w:p>
    <w:p w14:paraId="51B26E60">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Result/group*/9-METABOLIC</w:t>
      </w:r>
    </w:p>
    <w:p w14:paraId="3F35D100">
      <w:pPr>
        <w:pStyle w:val="40"/>
      </w:pPr>
      <w:bookmarkStart w:id="66" w:name="_Toc21203"/>
      <w:r>
        <w:rPr>
          <w:rFonts w:hint="eastAsia"/>
          <w:lang w:val="en-US" w:eastAsia="zh-CN"/>
        </w:rPr>
        <w:t>9</w:t>
      </w:r>
      <w:r>
        <w:t xml:space="preserve">. </w:t>
      </w:r>
      <w:r>
        <w:rPr>
          <w:rFonts w:hint="eastAsia"/>
        </w:rPr>
        <w:t>抗性基因注释</w:t>
      </w:r>
      <w:bookmarkEnd w:id="66"/>
    </w:p>
    <w:p w14:paraId="0E9FB516">
      <w:pPr>
        <w:ind w:firstLine="420"/>
      </w:pPr>
      <w:r>
        <w:rPr>
          <w:rFonts w:hint="eastAsia"/>
        </w:rPr>
        <w:t>不管是人肠道微生物还是其他环境微生物中，抗性基因是普遍存在的。抗生素的滥用导致人体和环境中微生物群落发生不可逆的变化，对人体健康和生态环境造成风险，因此抗性基因的相关研究受到了研究者的广泛关注。</w:t>
      </w:r>
    </w:p>
    <w:p w14:paraId="1FF2B66E">
      <w:pPr>
        <w:ind w:firstLine="420"/>
      </w:pPr>
      <w:r>
        <w:rPr>
          <w:rFonts w:hint="eastAsia"/>
        </w:rPr>
        <w:t>通过</w:t>
      </w:r>
      <w:r>
        <w:t>ARGs-OAP</w:t>
      </w:r>
      <w:r>
        <w:rPr>
          <w:rFonts w:hint="eastAsia"/>
        </w:rPr>
        <w:t>对抗性基因进行注释。常见的抗性基因数据库包括ARDB（Antibiotic Resistance Genes Database）和CARD（Comprehensive Antibiotic Resistance Database）数据库，ARGs-OAP proto整合了两种抗性数据库，并结合NCBI-NR数据库中的ARG序列整合为SARGfam（structured antibiotic resistance genes database）数据库，基于隐马尔可夫模型（HMM）来鉴定组装序列，对ARGs基因进行定性定量，及subtype分类。</w:t>
      </w:r>
    </w:p>
    <w:p w14:paraId="076AD07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Result/group*/10-ARG</w:t>
      </w:r>
    </w:p>
    <w:p w14:paraId="4D81B745">
      <w:pPr>
        <w:pStyle w:val="40"/>
      </w:pPr>
      <w:bookmarkStart w:id="67" w:name="_Toc1396"/>
      <w:r>
        <w:rPr>
          <w:rFonts w:hint="eastAsia"/>
          <w:bCs w:val="0"/>
        </w:rPr>
        <w:t>1</w:t>
      </w:r>
      <w:r>
        <w:rPr>
          <w:rFonts w:hint="eastAsia"/>
          <w:bCs w:val="0"/>
          <w:lang w:val="en-US" w:eastAsia="zh-CN"/>
        </w:rPr>
        <w:t>0</w:t>
      </w:r>
      <w:r>
        <w:rPr>
          <w:bCs w:val="0"/>
        </w:rPr>
        <w:t xml:space="preserve">. </w:t>
      </w:r>
      <w:r>
        <w:rPr>
          <w:rFonts w:hint="eastAsia"/>
        </w:rPr>
        <w:t>毒力因子分析</w:t>
      </w:r>
      <w:bookmarkEnd w:id="67"/>
    </w:p>
    <w:p w14:paraId="0460BCC5">
      <w:pPr>
        <w:ind w:firstLine="420"/>
      </w:pPr>
      <w:r>
        <w:rPr>
          <w:rFonts w:hint="eastAsia"/>
        </w:rPr>
        <w:t>来源于微生物，并对微生物自身侵染和引起特定宿主疾病具有促进作用的物质称为毒力因子（virulent factor），主要包括细菌毒素、调节细菌粘附作用的细胞表面蛋白、对细菌本身具有保护作用的蛋白、细胞表面碳水化合物以及具有细菌致病性的水解酶等。毒力因子数据库VFDB（http://www.mgc.ac.cn/VFs/），是一个可靠的一体化的病原菌毒力因子信息管理网络数据库。</w:t>
      </w:r>
    </w:p>
    <w:p w14:paraId="7AC5183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Result/group*/11-VFDB</w:t>
      </w:r>
    </w:p>
    <w:p w14:paraId="4F15F888">
      <w:pPr>
        <w:pStyle w:val="40"/>
        <w:numPr>
          <w:ilvl w:val="0"/>
          <w:numId w:val="2"/>
        </w:numPr>
        <w:ind w:left="360" w:leftChars="0" w:hanging="360" w:firstLineChars="0"/>
        <w:rPr>
          <w:bCs w:val="0"/>
          <w:color w:val="000000" w:themeColor="text1"/>
          <w14:textFill>
            <w14:solidFill>
              <w14:schemeClr w14:val="tx1"/>
            </w14:solidFill>
          </w14:textFill>
        </w:rPr>
      </w:pPr>
      <w:bookmarkStart w:id="68" w:name="_Toc166"/>
      <w:bookmarkStart w:id="69" w:name="_Toc16111"/>
      <w:bookmarkStart w:id="70" w:name="_Toc7328"/>
      <w:bookmarkStart w:id="71" w:name="_Toc4159"/>
      <w:bookmarkStart w:id="72" w:name="_Toc5464"/>
      <w:r>
        <w:rPr>
          <w:rFonts w:hint="eastAsia"/>
          <w:bCs w:val="0"/>
          <w:color w:val="000000" w:themeColor="text1"/>
          <w14:textFill>
            <w14:solidFill>
              <w14:schemeClr w14:val="tx1"/>
            </w14:solidFill>
          </w14:textFill>
        </w:rPr>
        <w:t>可移动遗传元件分析</w:t>
      </w:r>
      <w:bookmarkEnd w:id="68"/>
    </w:p>
    <w:p w14:paraId="02A72DB5">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可</w:t>
      </w:r>
      <w:r>
        <w:rPr>
          <w:color w:val="000000" w:themeColor="text1"/>
          <w14:textFill>
            <w14:solidFill>
              <w14:schemeClr w14:val="tx1"/>
            </w14:solidFill>
          </w14:textFill>
        </w:rPr>
        <w:t>移动</w:t>
      </w:r>
      <w:r>
        <w:rPr>
          <w:rFonts w:hint="eastAsia"/>
          <w:color w:val="000000" w:themeColor="text1"/>
          <w14:textFill>
            <w14:solidFill>
              <w14:schemeClr w14:val="tx1"/>
            </w14:solidFill>
          </w14:textFill>
        </w:rPr>
        <w:t>遗传</w:t>
      </w:r>
      <w:r>
        <w:rPr>
          <w:color w:val="000000" w:themeColor="text1"/>
          <w14:textFill>
            <w14:solidFill>
              <w14:schemeClr w14:val="tx1"/>
            </w14:solidFill>
          </w14:textFill>
        </w:rPr>
        <w:t>元件</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Mobile genetic elements, MGEs</w:t>
      </w:r>
      <w:r>
        <w:rPr>
          <w:rFonts w:hint="eastAsia"/>
          <w:color w:val="000000" w:themeColor="text1"/>
          <w14:textFill>
            <w14:solidFill>
              <w14:schemeClr w14:val="tx1"/>
            </w14:solidFill>
          </w14:textFill>
        </w:rPr>
        <w:t>）包含了超过</w:t>
      </w:r>
      <w:r>
        <w:rPr>
          <w:color w:val="000000" w:themeColor="text1"/>
          <w14:textFill>
            <w14:solidFill>
              <w14:schemeClr w14:val="tx1"/>
            </w14:solidFill>
          </w14:textFill>
        </w:rPr>
        <w:t>70w</w:t>
      </w:r>
      <w:r>
        <w:rPr>
          <w:rFonts w:hint="eastAsia"/>
          <w:color w:val="000000" w:themeColor="text1"/>
          <w14:textFill>
            <w14:solidFill>
              <w14:schemeClr w14:val="tx1"/>
            </w14:solidFill>
          </w14:textFill>
        </w:rPr>
        <w:t>条参考序列，涵盖了各种可移动基因元件，如质粒、噬菌体、基因组岛、转座子和插入序列等。MGE能够在细胞内外移动、携带编码特定功能基因的基因组片段，在生物体基因转移和基因重组方面以及物种进化方面起着重要作用。MGE也是横向基因转移事件的指示物，代表着生物体对不同环境的主要适应性机制。在</w:t>
      </w:r>
      <w:r>
        <w:rPr>
          <w:color w:val="000000" w:themeColor="text1"/>
          <w14:textFill>
            <w14:solidFill>
              <w14:schemeClr w14:val="tx1"/>
            </w14:solidFill>
          </w14:textFill>
        </w:rPr>
        <w:t>mobileOG-db</w:t>
      </w:r>
      <w:r>
        <w:rPr>
          <w:rFonts w:hint="eastAsia"/>
          <w:color w:val="000000" w:themeColor="text1"/>
          <w14:textFill>
            <w14:solidFill>
              <w14:schemeClr w14:val="tx1"/>
            </w14:solidFill>
          </w14:textFill>
        </w:rPr>
        <w:t>数据库中，主要分以下几个类别：</w:t>
      </w:r>
      <w:r>
        <w:rPr>
          <w:color w:val="000000" w:themeColor="text1"/>
          <w14:textFill>
            <w14:solidFill>
              <w14:schemeClr w14:val="tx1"/>
            </w14:solidFill>
          </w14:textFill>
        </w:rPr>
        <w:t>Replication/Recombination/Repair (RRR), Integration/Excision (IE), Stability/transfer/defense (STD), inter-organism Transfer (T) and Phage related biological processes (P)</w:t>
      </w:r>
    </w:p>
    <w:p w14:paraId="629127BB">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可移动元件</w:t>
      </w:r>
      <w:r>
        <w:rPr>
          <w:color w:val="000000" w:themeColor="text1"/>
          <w14:textFill>
            <w14:solidFill>
              <w14:schemeClr w14:val="tx1"/>
            </w14:solidFill>
          </w14:textFill>
        </w:rPr>
        <w:t>mobileOG.xlsx</w:t>
      </w:r>
      <w:r>
        <w:rPr>
          <w:rFonts w:hint="eastAsia"/>
          <w:color w:val="000000" w:themeColor="text1"/>
          <w14:textFill>
            <w14:solidFill>
              <w14:schemeClr w14:val="tx1"/>
            </w14:solidFill>
          </w14:textFill>
        </w:rPr>
        <w:t>结果表头说明信息如下：</w:t>
      </w:r>
    </w:p>
    <w:tbl>
      <w:tblPr>
        <w:tblStyle w:val="22"/>
        <w:tblW w:w="893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2"/>
        <w:gridCol w:w="5529"/>
      </w:tblGrid>
      <w:tr w14:paraId="23C1DC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bottom w:val="single" w:color="000000" w:sz="8" w:space="0"/>
            </w:tcBorders>
            <w:shd w:val="clear" w:color="auto" w:fill="FFFFFF"/>
            <w:vAlign w:val="center"/>
          </w:tcPr>
          <w:p w14:paraId="75AE2CDD">
            <w:pPr>
              <w:ind w:firstLine="420"/>
              <w:jc w:val="center"/>
              <w:rPr>
                <w:rFonts w:cs="Times New Roman"/>
                <w:bCs/>
                <w:color w:val="000000"/>
                <w:kern w:val="0"/>
                <w:szCs w:val="20"/>
              </w:rPr>
            </w:pPr>
            <w:r>
              <w:rPr>
                <w:rFonts w:hint="eastAsia" w:cs="Times New Roman"/>
                <w:bCs/>
                <w:color w:val="000000"/>
                <w:kern w:val="0"/>
                <w:szCs w:val="20"/>
              </w:rPr>
              <w:t>表头</w:t>
            </w:r>
          </w:p>
        </w:tc>
        <w:tc>
          <w:tcPr>
            <w:tcW w:w="5529" w:type="dxa"/>
            <w:tcBorders>
              <w:bottom w:val="single" w:color="000000" w:sz="8" w:space="0"/>
            </w:tcBorders>
            <w:shd w:val="clear" w:color="auto" w:fill="FFFFFF"/>
            <w:vAlign w:val="center"/>
          </w:tcPr>
          <w:p w14:paraId="35FC1BC3">
            <w:pPr>
              <w:ind w:firstLine="420"/>
              <w:jc w:val="center"/>
              <w:rPr>
                <w:rFonts w:cs="Times New Roman"/>
                <w:bCs/>
                <w:color w:val="000000"/>
                <w:kern w:val="0"/>
                <w:szCs w:val="20"/>
              </w:rPr>
            </w:pPr>
            <w:r>
              <w:rPr>
                <w:rFonts w:hint="eastAsia" w:cs="Times New Roman"/>
                <w:bCs/>
                <w:color w:val="000000"/>
                <w:kern w:val="0"/>
                <w:szCs w:val="20"/>
              </w:rPr>
              <w:t>描述</w:t>
            </w:r>
          </w:p>
        </w:tc>
      </w:tr>
      <w:tr w14:paraId="589C87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op w:val="single" w:color="000000" w:sz="8" w:space="0"/>
              <w:tl2br w:val="nil"/>
              <w:tr2bl w:val="nil"/>
            </w:tcBorders>
            <w:shd w:val="clear" w:color="auto" w:fill="FFFFFF"/>
            <w:vAlign w:val="center"/>
          </w:tcPr>
          <w:p w14:paraId="5F43AA28">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mobileOG Entry Name</w:t>
            </w:r>
          </w:p>
        </w:tc>
        <w:tc>
          <w:tcPr>
            <w:tcW w:w="5529" w:type="dxa"/>
            <w:tcBorders>
              <w:top w:val="single" w:color="000000" w:sz="8" w:space="0"/>
              <w:tl2br w:val="nil"/>
              <w:tr2bl w:val="nil"/>
            </w:tcBorders>
            <w:shd w:val="clear" w:color="auto" w:fill="FFFFFF"/>
            <w:vAlign w:val="center"/>
          </w:tcPr>
          <w:p w14:paraId="41E3BB7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mobileOG</w:t>
            </w:r>
            <w:r>
              <w:rPr>
                <w:rFonts w:hint="eastAsia" w:cs="Times New Roman"/>
                <w:color w:val="000000"/>
                <w:kern w:val="0"/>
                <w:szCs w:val="20"/>
                <w:shd w:val="clear" w:color="auto" w:fill="FFFFFF"/>
              </w:rPr>
              <w:t>数据库的I</w:t>
            </w:r>
            <w:r>
              <w:rPr>
                <w:rFonts w:cs="Times New Roman"/>
                <w:color w:val="000000"/>
                <w:kern w:val="0"/>
                <w:szCs w:val="20"/>
                <w:shd w:val="clear" w:color="auto" w:fill="FFFFFF"/>
              </w:rPr>
              <w:t>D</w:t>
            </w:r>
          </w:p>
        </w:tc>
      </w:tr>
      <w:tr w14:paraId="535568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07F4B824">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Best Hit ID</w:t>
            </w:r>
          </w:p>
        </w:tc>
        <w:tc>
          <w:tcPr>
            <w:tcW w:w="5529" w:type="dxa"/>
            <w:tcBorders>
              <w:tl2br w:val="nil"/>
              <w:tr2bl w:val="nil"/>
            </w:tcBorders>
            <w:shd w:val="clear" w:color="auto" w:fill="FFFFFF"/>
            <w:vAlign w:val="center"/>
          </w:tcPr>
          <w:p w14:paraId="5248F114">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最佳匹配的蛋白质ID</w:t>
            </w:r>
          </w:p>
        </w:tc>
      </w:tr>
      <w:tr w14:paraId="7DCFB8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0E91279B">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mobileOG Cluster</w:t>
            </w:r>
          </w:p>
        </w:tc>
        <w:tc>
          <w:tcPr>
            <w:tcW w:w="5529" w:type="dxa"/>
            <w:tcBorders>
              <w:tl2br w:val="nil"/>
              <w:tr2bl w:val="nil"/>
            </w:tcBorders>
            <w:shd w:val="clear" w:color="auto" w:fill="FFFFFF"/>
            <w:vAlign w:val="center"/>
          </w:tcPr>
          <w:p w14:paraId="71A90FCA">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mobileOG数据库中的聚类ID</w:t>
            </w:r>
          </w:p>
        </w:tc>
      </w:tr>
      <w:tr w14:paraId="0B2529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24DAC4F6">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Name</w:t>
            </w:r>
          </w:p>
        </w:tc>
        <w:tc>
          <w:tcPr>
            <w:tcW w:w="5529" w:type="dxa"/>
            <w:tcBorders>
              <w:tl2br w:val="nil"/>
              <w:tr2bl w:val="nil"/>
            </w:tcBorders>
            <w:shd w:val="clear" w:color="auto" w:fill="FFFFFF"/>
            <w:vAlign w:val="center"/>
          </w:tcPr>
          <w:p w14:paraId="77C2E702">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基因/蛋白质名称</w:t>
            </w:r>
          </w:p>
        </w:tc>
      </w:tr>
      <w:tr w14:paraId="35965F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2BA930C3">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Manual Annotation</w:t>
            </w:r>
          </w:p>
        </w:tc>
        <w:tc>
          <w:tcPr>
            <w:tcW w:w="5529" w:type="dxa"/>
            <w:tcBorders>
              <w:tl2br w:val="nil"/>
              <w:tr2bl w:val="nil"/>
            </w:tcBorders>
            <w:shd w:val="clear" w:color="auto" w:fill="FFFFFF"/>
            <w:vAlign w:val="center"/>
          </w:tcPr>
          <w:p w14:paraId="14C07006">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人工注释，描述了该基因或蛋白质的功能和特征</w:t>
            </w:r>
          </w:p>
        </w:tc>
      </w:tr>
      <w:tr w14:paraId="106185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64CA9EB7">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Major mobileOG Category</w:t>
            </w:r>
          </w:p>
        </w:tc>
        <w:tc>
          <w:tcPr>
            <w:tcW w:w="5529" w:type="dxa"/>
            <w:tcBorders>
              <w:tl2br w:val="nil"/>
              <w:tr2bl w:val="nil"/>
            </w:tcBorders>
            <w:shd w:val="clear" w:color="auto" w:fill="FFFFFF"/>
            <w:vAlign w:val="center"/>
          </w:tcPr>
          <w:p w14:paraId="4C37B682">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主要的mobileOG分类</w:t>
            </w:r>
          </w:p>
        </w:tc>
      </w:tr>
      <w:tr w14:paraId="28CF65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0859A464">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Minor mobileOG Categories</w:t>
            </w:r>
          </w:p>
        </w:tc>
        <w:tc>
          <w:tcPr>
            <w:tcW w:w="5529" w:type="dxa"/>
            <w:tcBorders>
              <w:tl2br w:val="nil"/>
              <w:tr2bl w:val="nil"/>
            </w:tcBorders>
            <w:shd w:val="clear" w:color="auto" w:fill="FFFFFF"/>
            <w:vAlign w:val="center"/>
          </w:tcPr>
          <w:p w14:paraId="720444C6">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次要的mobileOG分类</w:t>
            </w:r>
          </w:p>
        </w:tc>
      </w:tr>
      <w:tr w14:paraId="6248E5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37824045">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Reference(s)</w:t>
            </w:r>
          </w:p>
        </w:tc>
        <w:tc>
          <w:tcPr>
            <w:tcW w:w="5529" w:type="dxa"/>
            <w:tcBorders>
              <w:tl2br w:val="nil"/>
              <w:tr2bl w:val="nil"/>
            </w:tcBorders>
            <w:shd w:val="clear" w:color="auto" w:fill="FFFFFF"/>
            <w:vAlign w:val="center"/>
          </w:tcPr>
          <w:p w14:paraId="1AE87122">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相关的参考文献</w:t>
            </w:r>
          </w:p>
        </w:tc>
      </w:tr>
      <w:tr w14:paraId="02685A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219BB8B4">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Evidence</w:t>
            </w:r>
          </w:p>
        </w:tc>
        <w:tc>
          <w:tcPr>
            <w:tcW w:w="5529" w:type="dxa"/>
            <w:tcBorders>
              <w:tl2br w:val="nil"/>
              <w:tr2bl w:val="nil"/>
            </w:tcBorders>
            <w:shd w:val="clear" w:color="auto" w:fill="FFFFFF"/>
            <w:vAlign w:val="center"/>
          </w:tcPr>
          <w:p w14:paraId="6E09A0BD">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依据类型</w:t>
            </w:r>
          </w:p>
        </w:tc>
      </w:tr>
    </w:tbl>
    <w:p w14:paraId="0B0E46A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Result/group*/12-mobileOG</w:t>
      </w:r>
    </w:p>
    <w:p w14:paraId="2EB3E5A1">
      <w:pPr>
        <w:pStyle w:val="40"/>
        <w:numPr>
          <w:ilvl w:val="0"/>
          <w:numId w:val="0"/>
        </w:numPr>
        <w:ind w:left="360" w:leftChars="0" w:hanging="360" w:firstLineChars="0"/>
        <w:rPr>
          <w:bCs w:val="0"/>
          <w:color w:val="000000" w:themeColor="text1"/>
          <w14:textFill>
            <w14:solidFill>
              <w14:schemeClr w14:val="tx1"/>
            </w14:solidFill>
          </w14:textFill>
        </w:rPr>
      </w:pPr>
      <w:bookmarkStart w:id="73" w:name="_Toc4351"/>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1</w:t>
      </w:r>
      <w:r>
        <w:rPr>
          <w:rFonts w:hint="eastAsia" w:cs="Times New Roman"/>
          <w:b/>
          <w:bCs w:val="0"/>
          <w:color w:val="000000" w:themeColor="text1"/>
          <w:kern w:val="44"/>
          <w:sz w:val="21"/>
          <w:szCs w:val="21"/>
          <w:lang w:val="en-US" w:eastAsia="zh-CN" w:bidi="ar-SA"/>
          <w14:textFill>
            <w14:solidFill>
              <w14:schemeClr w14:val="tx1"/>
            </w14:solidFill>
          </w14:textFill>
        </w:rPr>
        <w:t>2</w:t>
      </w:r>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w:t>
      </w:r>
      <w:r>
        <w:rPr>
          <w:rFonts w:hint="eastAsia"/>
          <w:bCs w:val="0"/>
          <w:color w:val="000000" w:themeColor="text1"/>
          <w14:textFill>
            <w14:solidFill>
              <w14:schemeClr w14:val="tx1"/>
            </w14:solidFill>
          </w14:textFill>
        </w:rPr>
        <w:t>重金属抗性基因注释</w:t>
      </w:r>
      <w:bookmarkEnd w:id="73"/>
    </w:p>
    <w:p w14:paraId="467D1C7E">
      <w:pPr>
        <w:ind w:firstLine="420"/>
        <w:rPr>
          <w:color w:val="000000" w:themeColor="text1"/>
          <w14:textFill>
            <w14:solidFill>
              <w14:schemeClr w14:val="tx1"/>
            </w14:solidFill>
          </w14:textFill>
        </w:rPr>
      </w:pPr>
      <w:r>
        <w:rPr>
          <w:color w:val="000000" w:themeColor="text1"/>
          <w14:textFill>
            <w14:solidFill>
              <w14:schemeClr w14:val="tx1"/>
            </w14:solidFill>
          </w14:textFill>
        </w:rPr>
        <w:t>BacMet</w:t>
      </w:r>
      <w:r>
        <w:rPr>
          <w:rFonts w:hint="eastAsia"/>
          <w:color w:val="000000" w:themeColor="text1"/>
          <w14:textFill>
            <w14:solidFill>
              <w14:schemeClr w14:val="tx1"/>
            </w14:solidFill>
          </w14:textFill>
        </w:rPr>
        <w:t>（antibacterial biocide and metal resistance genes database）</w:t>
      </w:r>
      <w:r>
        <w:rPr>
          <w:color w:val="000000" w:themeColor="text1"/>
          <w14:textFill>
            <w14:solidFill>
              <w14:schemeClr w14:val="tx1"/>
            </w14:solidFill>
          </w14:textFill>
        </w:rPr>
        <w:t>数据库全称为抗菌杀菌剂与金属抗性基因数据库。数据库包含了抗金属离子的基因（metal resistance genes, MRGs）和抗杀菌剂的基因（biocide resistance genes, BRGs）两大类，共计753个</w:t>
      </w:r>
      <w:r>
        <w:rPr>
          <w:rFonts w:hint="eastAsia"/>
          <w:color w:val="000000" w:themeColor="text1"/>
          <w14:textFill>
            <w14:solidFill>
              <w14:schemeClr w14:val="tx1"/>
            </w14:solidFill>
          </w14:textFill>
        </w:rPr>
        <w:t>实验验证</w:t>
      </w:r>
      <w:r>
        <w:rPr>
          <w:color w:val="000000" w:themeColor="text1"/>
          <w14:textFill>
            <w14:solidFill>
              <w14:schemeClr w14:val="tx1"/>
            </w14:solidFill>
          </w14:textFill>
        </w:rPr>
        <w:t>基因</w:t>
      </w:r>
      <w:r>
        <w:rPr>
          <w:rFonts w:hint="eastAsia"/>
          <w:color w:val="000000" w:themeColor="text1"/>
          <w14:textFill>
            <w14:solidFill>
              <w14:schemeClr w14:val="tx1"/>
            </w14:solidFill>
          </w14:textFill>
        </w:rPr>
        <w:t>和</w:t>
      </w:r>
      <w:r>
        <w:rPr>
          <w:color w:val="000000" w:themeColor="text1"/>
          <w14:textFill>
            <w14:solidFill>
              <w14:schemeClr w14:val="tx1"/>
            </w14:solidFill>
          </w14:textFill>
        </w:rPr>
        <w:t>155512</w:t>
      </w:r>
      <w:r>
        <w:rPr>
          <w:rFonts w:hint="eastAsia"/>
          <w:color w:val="000000" w:themeColor="text1"/>
          <w14:textFill>
            <w14:solidFill>
              <w14:schemeClr w14:val="tx1"/>
            </w14:solidFill>
          </w14:textFill>
        </w:rPr>
        <w:t>个预测基因</w:t>
      </w:r>
      <w:r>
        <w:rPr>
          <w:color w:val="000000" w:themeColor="text1"/>
          <w14:textFill>
            <w14:solidFill>
              <w14:schemeClr w14:val="tx1"/>
            </w14:solidFill>
          </w14:textFill>
        </w:rPr>
        <w:t>。</w:t>
      </w:r>
    </w:p>
    <w:p w14:paraId="3DD6B199">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重金属抗性丰度结果表表头信息如下：</w:t>
      </w:r>
    </w:p>
    <w:tbl>
      <w:tblPr>
        <w:tblStyle w:val="22"/>
        <w:tblW w:w="893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2"/>
        <w:gridCol w:w="5529"/>
      </w:tblGrid>
      <w:tr w14:paraId="62AE96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bottom w:val="single" w:color="000000" w:sz="8" w:space="0"/>
            </w:tcBorders>
            <w:shd w:val="clear" w:color="auto" w:fill="FFFFFF"/>
            <w:vAlign w:val="center"/>
          </w:tcPr>
          <w:p w14:paraId="70681817">
            <w:pPr>
              <w:ind w:firstLine="420"/>
              <w:jc w:val="center"/>
              <w:rPr>
                <w:rFonts w:cs="Times New Roman"/>
                <w:bCs/>
                <w:color w:val="000000"/>
                <w:kern w:val="0"/>
                <w:szCs w:val="20"/>
              </w:rPr>
            </w:pPr>
            <w:r>
              <w:rPr>
                <w:rFonts w:hint="eastAsia" w:cs="Times New Roman"/>
                <w:bCs/>
                <w:color w:val="000000"/>
                <w:kern w:val="0"/>
                <w:szCs w:val="20"/>
              </w:rPr>
              <w:t>表头</w:t>
            </w:r>
          </w:p>
        </w:tc>
        <w:tc>
          <w:tcPr>
            <w:tcW w:w="5529" w:type="dxa"/>
            <w:tcBorders>
              <w:bottom w:val="single" w:color="000000" w:sz="8" w:space="0"/>
            </w:tcBorders>
            <w:shd w:val="clear" w:color="auto" w:fill="FFFFFF"/>
            <w:vAlign w:val="center"/>
          </w:tcPr>
          <w:p w14:paraId="64711E91">
            <w:pPr>
              <w:ind w:firstLine="420"/>
              <w:jc w:val="center"/>
              <w:rPr>
                <w:rFonts w:cs="Times New Roman"/>
                <w:bCs/>
                <w:color w:val="000000"/>
                <w:kern w:val="0"/>
                <w:szCs w:val="20"/>
              </w:rPr>
            </w:pPr>
            <w:r>
              <w:rPr>
                <w:rFonts w:hint="eastAsia" w:cs="Times New Roman"/>
                <w:bCs/>
                <w:color w:val="000000"/>
                <w:kern w:val="0"/>
                <w:szCs w:val="20"/>
              </w:rPr>
              <w:t>描述</w:t>
            </w:r>
          </w:p>
        </w:tc>
      </w:tr>
      <w:tr w14:paraId="08FD4B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op w:val="single" w:color="000000" w:sz="8" w:space="0"/>
              <w:tl2br w:val="nil"/>
              <w:tr2bl w:val="nil"/>
            </w:tcBorders>
            <w:shd w:val="clear" w:color="auto" w:fill="FFFFFF"/>
            <w:vAlign w:val="center"/>
          </w:tcPr>
          <w:p w14:paraId="5ECC3B84">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GeneID</w:t>
            </w:r>
          </w:p>
        </w:tc>
        <w:tc>
          <w:tcPr>
            <w:tcW w:w="5529" w:type="dxa"/>
            <w:tcBorders>
              <w:top w:val="single" w:color="000000" w:sz="8" w:space="0"/>
              <w:tl2br w:val="nil"/>
              <w:tr2bl w:val="nil"/>
            </w:tcBorders>
            <w:shd w:val="clear" w:color="auto" w:fill="FFFFFF"/>
            <w:vAlign w:val="center"/>
          </w:tcPr>
          <w:p w14:paraId="5C1411D7">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组装预测到的基因序列</w:t>
            </w:r>
            <w:r>
              <w:rPr>
                <w:rFonts w:cs="Times New Roman"/>
                <w:color w:val="000000"/>
                <w:kern w:val="0"/>
                <w:szCs w:val="20"/>
                <w:shd w:val="clear" w:color="auto" w:fill="FFFFFF"/>
              </w:rPr>
              <w:t>ID</w:t>
            </w:r>
          </w:p>
        </w:tc>
      </w:tr>
      <w:tr w14:paraId="432378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784A65BA">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taxonomy</w:t>
            </w:r>
          </w:p>
        </w:tc>
        <w:tc>
          <w:tcPr>
            <w:tcW w:w="5529" w:type="dxa"/>
            <w:tcBorders>
              <w:tl2br w:val="nil"/>
              <w:tr2bl w:val="nil"/>
            </w:tcBorders>
            <w:shd w:val="clear" w:color="auto" w:fill="FFFFFF"/>
            <w:vAlign w:val="center"/>
          </w:tcPr>
          <w:p w14:paraId="592D8A67">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对应注释到的物种</w:t>
            </w:r>
          </w:p>
        </w:tc>
      </w:tr>
      <w:tr w14:paraId="22B848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42DBFD5F">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Gene_name</w:t>
            </w:r>
          </w:p>
        </w:tc>
        <w:tc>
          <w:tcPr>
            <w:tcW w:w="5529" w:type="dxa"/>
            <w:tcBorders>
              <w:tl2br w:val="nil"/>
              <w:tr2bl w:val="nil"/>
            </w:tcBorders>
            <w:shd w:val="clear" w:color="auto" w:fill="FFFFFF"/>
            <w:vAlign w:val="center"/>
          </w:tcPr>
          <w:p w14:paraId="0C93F204">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基因名称</w:t>
            </w:r>
          </w:p>
        </w:tc>
      </w:tr>
      <w:tr w14:paraId="5D4F3D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12BDDC01">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Accession/GenBank_ID</w:t>
            </w:r>
          </w:p>
        </w:tc>
        <w:tc>
          <w:tcPr>
            <w:tcW w:w="5529" w:type="dxa"/>
            <w:tcBorders>
              <w:tl2br w:val="nil"/>
              <w:tr2bl w:val="nil"/>
            </w:tcBorders>
            <w:shd w:val="clear" w:color="auto" w:fill="FFFFFF"/>
            <w:vAlign w:val="center"/>
          </w:tcPr>
          <w:p w14:paraId="18ADC445">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在数据库中的序列I</w:t>
            </w:r>
            <w:r>
              <w:rPr>
                <w:rFonts w:cs="Times New Roman"/>
                <w:color w:val="000000"/>
                <w:kern w:val="0"/>
                <w:szCs w:val="20"/>
                <w:shd w:val="clear" w:color="auto" w:fill="FFFFFF"/>
              </w:rPr>
              <w:t>D</w:t>
            </w:r>
          </w:p>
        </w:tc>
      </w:tr>
      <w:tr w14:paraId="73FAA9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43F6EDFB">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Compound</w:t>
            </w:r>
          </w:p>
        </w:tc>
        <w:tc>
          <w:tcPr>
            <w:tcW w:w="5529" w:type="dxa"/>
            <w:tcBorders>
              <w:tl2br w:val="nil"/>
              <w:tr2bl w:val="nil"/>
            </w:tcBorders>
            <w:shd w:val="clear" w:color="auto" w:fill="FFFFFF"/>
            <w:vAlign w:val="center"/>
          </w:tcPr>
          <w:p w14:paraId="73147C8A">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与基因相关的重金属或化合物</w:t>
            </w:r>
          </w:p>
        </w:tc>
      </w:tr>
      <w:tr w14:paraId="0F0545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72448429">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Source</w:t>
            </w:r>
          </w:p>
        </w:tc>
        <w:tc>
          <w:tcPr>
            <w:tcW w:w="5529" w:type="dxa"/>
            <w:tcBorders>
              <w:tl2br w:val="nil"/>
              <w:tr2bl w:val="nil"/>
            </w:tcBorders>
            <w:shd w:val="clear" w:color="auto" w:fill="FFFFFF"/>
            <w:vAlign w:val="center"/>
          </w:tcPr>
          <w:p w14:paraId="498F06D0">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依据来源，分为预测/实验验证</w:t>
            </w:r>
          </w:p>
        </w:tc>
      </w:tr>
      <w:tr w14:paraId="7ADFE5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5843A90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NCBI_annotation</w:t>
            </w:r>
          </w:p>
        </w:tc>
        <w:tc>
          <w:tcPr>
            <w:tcW w:w="5529" w:type="dxa"/>
            <w:tcBorders>
              <w:tl2br w:val="nil"/>
              <w:tr2bl w:val="nil"/>
            </w:tcBorders>
            <w:shd w:val="clear" w:color="auto" w:fill="FFFFFF"/>
            <w:vAlign w:val="center"/>
          </w:tcPr>
          <w:p w14:paraId="36B93981">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NCBI 数据库中对该基因的注释信息</w:t>
            </w:r>
          </w:p>
        </w:tc>
      </w:tr>
    </w:tbl>
    <w:p w14:paraId="2EC39E6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Result/group*/13-BacMet2</w:t>
      </w:r>
    </w:p>
    <w:p w14:paraId="0E345820">
      <w:pPr>
        <w:pStyle w:val="40"/>
        <w:numPr>
          <w:ilvl w:val="0"/>
          <w:numId w:val="0"/>
        </w:numPr>
        <w:ind w:firstLine="0" w:firstLineChars="0"/>
        <w:rPr>
          <w:bCs w:val="0"/>
          <w:color w:val="000000" w:themeColor="text1"/>
          <w14:textFill>
            <w14:solidFill>
              <w14:schemeClr w14:val="tx1"/>
            </w14:solidFill>
          </w14:textFill>
        </w:rPr>
      </w:pPr>
      <w:bookmarkStart w:id="74" w:name="_Toc26770"/>
      <w:bookmarkStart w:id="75" w:name="OLE_LINK7"/>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1</w:t>
      </w:r>
      <w:r>
        <w:rPr>
          <w:rFonts w:hint="eastAsia" w:cs="Times New Roman"/>
          <w:b/>
          <w:bCs w:val="0"/>
          <w:color w:val="000000" w:themeColor="text1"/>
          <w:kern w:val="44"/>
          <w:sz w:val="21"/>
          <w:szCs w:val="21"/>
          <w:lang w:val="en-US" w:eastAsia="zh-CN" w:bidi="ar-SA"/>
          <w14:textFill>
            <w14:solidFill>
              <w14:schemeClr w14:val="tx1"/>
            </w14:solidFill>
          </w14:textFill>
        </w:rPr>
        <w:t>3</w:t>
      </w:r>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w:t>
      </w:r>
      <w:r>
        <w:rPr>
          <w:rFonts w:hint="eastAsia"/>
          <w:bCs w:val="0"/>
          <w:color w:val="000000" w:themeColor="text1"/>
          <w14:textFill>
            <w14:solidFill>
              <w14:schemeClr w14:val="tx1"/>
            </w14:solidFill>
          </w14:textFill>
        </w:rPr>
        <w:t>群体感应基因注释</w:t>
      </w:r>
      <w:bookmarkEnd w:id="74"/>
    </w:p>
    <w:p w14:paraId="09257E13">
      <w:pPr>
        <w:ind w:firstLine="420"/>
        <w:rPr>
          <w:color w:val="000000" w:themeColor="text1"/>
          <w14:textFill>
            <w14:solidFill>
              <w14:schemeClr w14:val="tx1"/>
            </w14:solidFill>
          </w14:textFill>
        </w:rPr>
      </w:pPr>
      <w:r>
        <w:rPr>
          <w:color w:val="000000" w:themeColor="text1"/>
          <w14:textFill>
            <w14:solidFill>
              <w14:schemeClr w14:val="tx1"/>
            </w14:solidFill>
          </w14:textFill>
        </w:rPr>
        <w:t>群体感应（quorum sensing，QS）是细菌通过感知特定群体感应信号分子（quorum sensing signal molecule，QSSM）的浓度阈值，以调节菌群基因表达，改变细菌及菌群行为的系统。这种调节机制在细菌与宿主的相互作用中也发挥重要作用。当细菌释放群体感应信号分子（quorum sensing signal molecule，QSSM）被宿主感知，启动相关信号通路，激活或抑制基因表达。目前研究表明宿主细胞的细胞膜、细胞质、细胞器和细胞核等均参与群体感应信号分子（quorum sensing signal molecule，QSSM）刺激的多种信号通路，以此介导宿主的相关免疫应答。</w:t>
      </w:r>
    </w:p>
    <w:p w14:paraId="5958C5A5">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群体感应丰度结果表表头信息如下：</w:t>
      </w:r>
    </w:p>
    <w:tbl>
      <w:tblPr>
        <w:tblStyle w:val="22"/>
        <w:tblW w:w="893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2"/>
        <w:gridCol w:w="5529"/>
      </w:tblGrid>
      <w:tr w14:paraId="66E4EC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bottom w:val="single" w:color="000000" w:sz="8" w:space="0"/>
            </w:tcBorders>
            <w:shd w:val="clear" w:color="auto" w:fill="FFFFFF"/>
            <w:vAlign w:val="center"/>
          </w:tcPr>
          <w:p w14:paraId="3DA32096">
            <w:pPr>
              <w:ind w:firstLine="420"/>
              <w:jc w:val="center"/>
              <w:rPr>
                <w:rFonts w:cs="Times New Roman"/>
                <w:bCs/>
                <w:color w:val="000000"/>
                <w:kern w:val="0"/>
                <w:szCs w:val="20"/>
              </w:rPr>
            </w:pPr>
            <w:r>
              <w:rPr>
                <w:rFonts w:hint="eastAsia" w:cs="Times New Roman"/>
                <w:bCs/>
                <w:color w:val="000000"/>
                <w:kern w:val="0"/>
                <w:szCs w:val="20"/>
              </w:rPr>
              <w:t>表头</w:t>
            </w:r>
          </w:p>
        </w:tc>
        <w:tc>
          <w:tcPr>
            <w:tcW w:w="5529" w:type="dxa"/>
            <w:tcBorders>
              <w:bottom w:val="single" w:color="000000" w:sz="8" w:space="0"/>
            </w:tcBorders>
            <w:shd w:val="clear" w:color="auto" w:fill="FFFFFF"/>
            <w:vAlign w:val="center"/>
          </w:tcPr>
          <w:p w14:paraId="3625E592">
            <w:pPr>
              <w:ind w:firstLine="420"/>
              <w:jc w:val="center"/>
              <w:rPr>
                <w:rFonts w:cs="Times New Roman"/>
                <w:bCs/>
                <w:color w:val="000000"/>
                <w:kern w:val="0"/>
                <w:szCs w:val="20"/>
              </w:rPr>
            </w:pPr>
            <w:r>
              <w:rPr>
                <w:rFonts w:hint="eastAsia" w:cs="Times New Roman"/>
                <w:bCs/>
                <w:color w:val="000000"/>
                <w:kern w:val="0"/>
                <w:szCs w:val="20"/>
              </w:rPr>
              <w:t>描述</w:t>
            </w:r>
          </w:p>
        </w:tc>
      </w:tr>
      <w:tr w14:paraId="2DF93F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op w:val="single" w:color="000000" w:sz="8" w:space="0"/>
              <w:tl2br w:val="nil"/>
              <w:tr2bl w:val="nil"/>
            </w:tcBorders>
            <w:shd w:val="clear" w:color="auto" w:fill="FFFFFF"/>
            <w:vAlign w:val="center"/>
          </w:tcPr>
          <w:p w14:paraId="773FA826">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GeneID</w:t>
            </w:r>
          </w:p>
        </w:tc>
        <w:tc>
          <w:tcPr>
            <w:tcW w:w="5529" w:type="dxa"/>
            <w:tcBorders>
              <w:top w:val="single" w:color="000000" w:sz="8" w:space="0"/>
              <w:tl2br w:val="nil"/>
              <w:tr2bl w:val="nil"/>
            </w:tcBorders>
            <w:shd w:val="clear" w:color="auto" w:fill="FFFFFF"/>
            <w:vAlign w:val="center"/>
          </w:tcPr>
          <w:p w14:paraId="6022B150">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组装预测到的基因序列</w:t>
            </w:r>
            <w:r>
              <w:rPr>
                <w:rFonts w:cs="Times New Roman"/>
                <w:color w:val="000000"/>
                <w:kern w:val="0"/>
                <w:szCs w:val="20"/>
                <w:shd w:val="clear" w:color="auto" w:fill="FFFFFF"/>
              </w:rPr>
              <w:t>ID</w:t>
            </w:r>
          </w:p>
        </w:tc>
      </w:tr>
      <w:tr w14:paraId="092FB1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4E04F6FF">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taxonomy</w:t>
            </w:r>
          </w:p>
        </w:tc>
        <w:tc>
          <w:tcPr>
            <w:tcW w:w="5529" w:type="dxa"/>
            <w:tcBorders>
              <w:tl2br w:val="nil"/>
              <w:tr2bl w:val="nil"/>
            </w:tcBorders>
            <w:shd w:val="clear" w:color="auto" w:fill="FFFFFF"/>
            <w:vAlign w:val="center"/>
          </w:tcPr>
          <w:p w14:paraId="2F848003">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对应注释到的物种</w:t>
            </w:r>
          </w:p>
        </w:tc>
      </w:tr>
      <w:tr w14:paraId="3F2A72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05C22715">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Entry</w:t>
            </w:r>
          </w:p>
        </w:tc>
        <w:tc>
          <w:tcPr>
            <w:tcW w:w="5529" w:type="dxa"/>
            <w:tcBorders>
              <w:tl2br w:val="nil"/>
              <w:tr2bl w:val="nil"/>
            </w:tcBorders>
            <w:shd w:val="clear" w:color="auto" w:fill="FFFFFF"/>
            <w:vAlign w:val="center"/>
          </w:tcPr>
          <w:p w14:paraId="0462036F">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U</w:t>
            </w:r>
            <w:r>
              <w:rPr>
                <w:rFonts w:hint="eastAsia" w:cs="Times New Roman"/>
                <w:color w:val="000000"/>
                <w:kern w:val="0"/>
                <w:szCs w:val="20"/>
                <w:shd w:val="clear" w:color="auto" w:fill="FFFFFF"/>
              </w:rPr>
              <w:t>niport数据库I</w:t>
            </w:r>
            <w:r>
              <w:rPr>
                <w:rFonts w:cs="Times New Roman"/>
                <w:color w:val="000000"/>
                <w:kern w:val="0"/>
                <w:szCs w:val="20"/>
                <w:shd w:val="clear" w:color="auto" w:fill="FFFFFF"/>
              </w:rPr>
              <w:t>D</w:t>
            </w:r>
          </w:p>
        </w:tc>
      </w:tr>
      <w:tr w14:paraId="0138F3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5A7CFC0E">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Reviewed</w:t>
            </w:r>
          </w:p>
        </w:tc>
        <w:tc>
          <w:tcPr>
            <w:tcW w:w="5529" w:type="dxa"/>
            <w:tcBorders>
              <w:tl2br w:val="nil"/>
              <w:tr2bl w:val="nil"/>
            </w:tcBorders>
            <w:shd w:val="clear" w:color="auto" w:fill="FFFFFF"/>
            <w:vAlign w:val="center"/>
          </w:tcPr>
          <w:p w14:paraId="07DE964E">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U</w:t>
            </w:r>
            <w:r>
              <w:rPr>
                <w:rFonts w:hint="eastAsia" w:cs="Times New Roman"/>
                <w:color w:val="000000"/>
                <w:kern w:val="0"/>
                <w:szCs w:val="20"/>
                <w:shd w:val="clear" w:color="auto" w:fill="FFFFFF"/>
              </w:rPr>
              <w:t>niport数据库中，该条目是否经过审查</w:t>
            </w:r>
          </w:p>
        </w:tc>
      </w:tr>
      <w:tr w14:paraId="3231CF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00DF3BD9">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Entry Name</w:t>
            </w:r>
          </w:p>
        </w:tc>
        <w:tc>
          <w:tcPr>
            <w:tcW w:w="5529" w:type="dxa"/>
            <w:tcBorders>
              <w:tl2br w:val="nil"/>
              <w:tr2bl w:val="nil"/>
            </w:tcBorders>
            <w:shd w:val="clear" w:color="auto" w:fill="FFFFFF"/>
            <w:vAlign w:val="center"/>
          </w:tcPr>
          <w:p w14:paraId="0F079D7F">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U</w:t>
            </w:r>
            <w:r>
              <w:rPr>
                <w:rFonts w:hint="eastAsia" w:cs="Times New Roman"/>
                <w:color w:val="000000"/>
                <w:kern w:val="0"/>
                <w:szCs w:val="20"/>
                <w:shd w:val="clear" w:color="auto" w:fill="FFFFFF"/>
              </w:rPr>
              <w:t>niport数据库中的名称</w:t>
            </w:r>
          </w:p>
        </w:tc>
      </w:tr>
      <w:tr w14:paraId="0AC794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3BFE325F">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Gene Names</w:t>
            </w:r>
          </w:p>
        </w:tc>
        <w:tc>
          <w:tcPr>
            <w:tcW w:w="5529" w:type="dxa"/>
            <w:tcBorders>
              <w:tl2br w:val="nil"/>
              <w:tr2bl w:val="nil"/>
            </w:tcBorders>
            <w:shd w:val="clear" w:color="auto" w:fill="FFFFFF"/>
            <w:vAlign w:val="center"/>
          </w:tcPr>
          <w:p w14:paraId="21DF3381">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基因名称</w:t>
            </w:r>
          </w:p>
        </w:tc>
      </w:tr>
      <w:tr w14:paraId="10559E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2599255B">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Length</w:t>
            </w:r>
          </w:p>
        </w:tc>
        <w:tc>
          <w:tcPr>
            <w:tcW w:w="5529" w:type="dxa"/>
            <w:tcBorders>
              <w:tl2br w:val="nil"/>
              <w:tr2bl w:val="nil"/>
            </w:tcBorders>
            <w:shd w:val="clear" w:color="auto" w:fill="FFFFFF"/>
            <w:vAlign w:val="center"/>
          </w:tcPr>
          <w:p w14:paraId="7F3ADDA2">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该蛋白序列的长度</w:t>
            </w:r>
          </w:p>
        </w:tc>
      </w:tr>
      <w:tr w14:paraId="44D7EC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3FA66243">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Protein names</w:t>
            </w:r>
          </w:p>
        </w:tc>
        <w:tc>
          <w:tcPr>
            <w:tcW w:w="5529" w:type="dxa"/>
            <w:tcBorders>
              <w:tl2br w:val="nil"/>
              <w:tr2bl w:val="nil"/>
            </w:tcBorders>
            <w:shd w:val="clear" w:color="auto" w:fill="FFFFFF"/>
            <w:vAlign w:val="center"/>
          </w:tcPr>
          <w:p w14:paraId="6D1474F6">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蛋白名称</w:t>
            </w:r>
          </w:p>
        </w:tc>
      </w:tr>
      <w:tr w14:paraId="5892C3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2A90B484">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Function [CC]</w:t>
            </w:r>
          </w:p>
        </w:tc>
        <w:tc>
          <w:tcPr>
            <w:tcW w:w="5529" w:type="dxa"/>
            <w:tcBorders>
              <w:tl2br w:val="nil"/>
              <w:tr2bl w:val="nil"/>
            </w:tcBorders>
            <w:shd w:val="clear" w:color="auto" w:fill="FFFFFF"/>
            <w:vAlign w:val="center"/>
          </w:tcPr>
          <w:p w14:paraId="0C69F96F">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蛋白质功能描述</w:t>
            </w:r>
          </w:p>
        </w:tc>
      </w:tr>
      <w:tr w14:paraId="4C6CE6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116CB84E">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Protein family</w:t>
            </w:r>
          </w:p>
        </w:tc>
        <w:tc>
          <w:tcPr>
            <w:tcW w:w="5529" w:type="dxa"/>
            <w:tcBorders>
              <w:tl2br w:val="nil"/>
              <w:tr2bl w:val="nil"/>
            </w:tcBorders>
            <w:shd w:val="clear" w:color="auto" w:fill="FFFFFF"/>
            <w:vAlign w:val="center"/>
          </w:tcPr>
          <w:p w14:paraId="12E73F1D">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蛋白质家族</w:t>
            </w:r>
          </w:p>
        </w:tc>
      </w:tr>
    </w:tbl>
    <w:p w14:paraId="2682016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p>
    <w:bookmarkEnd w:id="75"/>
    <w:p w14:paraId="0BD63FD3">
      <w:pPr>
        <w:pStyle w:val="40"/>
      </w:pPr>
      <w:bookmarkStart w:id="76" w:name="_Toc23729"/>
      <w:r>
        <w:rPr>
          <w:rFonts w:hint="eastAsia"/>
          <w:bCs w:val="0"/>
        </w:rPr>
        <w:t>1</w:t>
      </w:r>
      <w:r>
        <w:rPr>
          <w:rFonts w:hint="eastAsia"/>
          <w:bCs w:val="0"/>
          <w:lang w:val="en-US" w:eastAsia="zh-CN"/>
        </w:rPr>
        <w:t>4</w:t>
      </w:r>
      <w:r>
        <w:rPr>
          <w:bCs w:val="0"/>
        </w:rPr>
        <w:t xml:space="preserve">. </w:t>
      </w:r>
      <w:r>
        <w:rPr>
          <w:rFonts w:hint="eastAsia"/>
        </w:rPr>
        <w:t>软件列表</w:t>
      </w:r>
      <w:bookmarkEnd w:id="76"/>
    </w:p>
    <w:p w14:paraId="355B2F49">
      <w:pPr>
        <w:ind w:firstLine="0" w:firstLineChars="0"/>
        <w:jc w:val="center"/>
      </w:pPr>
      <w:r>
        <w:rPr>
          <w:rFonts w:hint="eastAsia"/>
        </w:rPr>
        <w:t>表5 软件列表信息</w:t>
      </w:r>
    </w:p>
    <w:tbl>
      <w:tblPr>
        <w:tblStyle w:val="21"/>
        <w:tblW w:w="8193" w:type="dxa"/>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9"/>
        <w:gridCol w:w="1013"/>
        <w:gridCol w:w="3198"/>
        <w:gridCol w:w="2913"/>
      </w:tblGrid>
      <w:tr w14:paraId="2C15FDE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jc w:val="center"/>
        </w:trPr>
        <w:tc>
          <w:tcPr>
            <w:tcW w:w="1069" w:type="dxa"/>
            <w:tcBorders>
              <w:bottom w:val="single" w:color="000000" w:themeColor="text1" w:sz="8" w:space="0"/>
            </w:tcBorders>
            <w:shd w:val="clear" w:color="auto" w:fill="auto"/>
            <w:noWrap/>
            <w:vAlign w:val="center"/>
          </w:tcPr>
          <w:p w14:paraId="0631CEC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软件</w:t>
            </w:r>
          </w:p>
        </w:tc>
        <w:tc>
          <w:tcPr>
            <w:tcW w:w="1013" w:type="dxa"/>
            <w:tcBorders>
              <w:bottom w:val="single" w:color="000000" w:themeColor="text1" w:sz="8" w:space="0"/>
            </w:tcBorders>
            <w:shd w:val="clear" w:color="auto" w:fill="auto"/>
            <w:noWrap/>
            <w:vAlign w:val="center"/>
          </w:tcPr>
          <w:p w14:paraId="3FD55D5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版本号</w:t>
            </w:r>
          </w:p>
        </w:tc>
        <w:tc>
          <w:tcPr>
            <w:tcW w:w="3198" w:type="dxa"/>
            <w:tcBorders>
              <w:bottom w:val="single" w:color="000000" w:themeColor="text1" w:sz="8" w:space="0"/>
            </w:tcBorders>
            <w:shd w:val="clear" w:color="auto" w:fill="auto"/>
            <w:noWrap/>
            <w:vAlign w:val="center"/>
          </w:tcPr>
          <w:p w14:paraId="77699D6D">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网址</w:t>
            </w:r>
          </w:p>
        </w:tc>
        <w:tc>
          <w:tcPr>
            <w:tcW w:w="2913" w:type="dxa"/>
            <w:tcBorders>
              <w:bottom w:val="single" w:color="000000" w:themeColor="text1" w:sz="8" w:space="0"/>
            </w:tcBorders>
            <w:shd w:val="clear" w:color="auto" w:fill="auto"/>
            <w:noWrap/>
            <w:vAlign w:val="center"/>
          </w:tcPr>
          <w:p w14:paraId="29C956D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分析内容</w:t>
            </w:r>
          </w:p>
        </w:tc>
      </w:tr>
      <w:tr w14:paraId="4BD38CE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op w:val="single" w:color="000000" w:themeColor="text1" w:sz="8" w:space="0"/>
              <w:bottom w:val="nil"/>
              <w:tl2br w:val="nil"/>
              <w:tr2bl w:val="nil"/>
            </w:tcBorders>
            <w:shd w:val="clear" w:color="auto" w:fill="auto"/>
            <w:noWrap/>
            <w:vAlign w:val="center"/>
          </w:tcPr>
          <w:p w14:paraId="62BB5C4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fastp</w:t>
            </w:r>
          </w:p>
        </w:tc>
        <w:tc>
          <w:tcPr>
            <w:tcW w:w="1013" w:type="dxa"/>
            <w:tcBorders>
              <w:top w:val="single" w:color="000000" w:themeColor="text1" w:sz="8" w:space="0"/>
              <w:bottom w:val="nil"/>
              <w:tl2br w:val="nil"/>
              <w:tr2bl w:val="nil"/>
            </w:tcBorders>
            <w:shd w:val="clear" w:color="auto" w:fill="auto"/>
            <w:noWrap/>
            <w:vAlign w:val="center"/>
          </w:tcPr>
          <w:p w14:paraId="48D0720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0.12.4</w:t>
            </w:r>
          </w:p>
        </w:tc>
        <w:tc>
          <w:tcPr>
            <w:tcW w:w="3198" w:type="dxa"/>
            <w:tcBorders>
              <w:top w:val="single" w:color="000000" w:themeColor="text1" w:sz="8" w:space="0"/>
              <w:bottom w:val="nil"/>
              <w:tl2br w:val="nil"/>
              <w:tr2bl w:val="nil"/>
            </w:tcBorders>
            <w:shd w:val="clear" w:color="auto" w:fill="auto"/>
            <w:noWrap/>
            <w:vAlign w:val="center"/>
          </w:tcPr>
          <w:p w14:paraId="7FB25226">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https://github.com/OpenGene/fastp</w:t>
            </w:r>
          </w:p>
        </w:tc>
        <w:tc>
          <w:tcPr>
            <w:tcW w:w="2913" w:type="dxa"/>
            <w:tcBorders>
              <w:top w:val="single" w:color="000000" w:themeColor="text1" w:sz="8" w:space="0"/>
              <w:bottom w:val="nil"/>
              <w:tl2br w:val="nil"/>
              <w:tr2bl w:val="nil"/>
            </w:tcBorders>
            <w:shd w:val="clear" w:color="auto" w:fill="auto"/>
            <w:noWrap/>
            <w:vAlign w:val="center"/>
          </w:tcPr>
          <w:p w14:paraId="77066813">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原始测序数据质控</w:t>
            </w:r>
          </w:p>
        </w:tc>
      </w:tr>
      <w:tr w14:paraId="00B835A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op w:val="nil"/>
              <w:tl2br w:val="nil"/>
              <w:tr2bl w:val="nil"/>
            </w:tcBorders>
            <w:shd w:val="clear" w:color="auto" w:fill="auto"/>
            <w:noWrap/>
            <w:vAlign w:val="center"/>
          </w:tcPr>
          <w:p w14:paraId="0DD03D7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bowtie2</w:t>
            </w:r>
          </w:p>
        </w:tc>
        <w:tc>
          <w:tcPr>
            <w:tcW w:w="1013" w:type="dxa"/>
            <w:tcBorders>
              <w:top w:val="nil"/>
              <w:tl2br w:val="nil"/>
              <w:tr2bl w:val="nil"/>
            </w:tcBorders>
            <w:shd w:val="clear" w:color="auto" w:fill="auto"/>
            <w:noWrap/>
            <w:vAlign w:val="center"/>
          </w:tcPr>
          <w:p w14:paraId="08D32B78">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2.5.2</w:t>
            </w:r>
          </w:p>
        </w:tc>
        <w:tc>
          <w:tcPr>
            <w:tcW w:w="3198" w:type="dxa"/>
            <w:tcBorders>
              <w:top w:val="nil"/>
              <w:tl2br w:val="nil"/>
              <w:tr2bl w:val="nil"/>
            </w:tcBorders>
            <w:shd w:val="clear" w:color="auto" w:fill="auto"/>
            <w:noWrap/>
            <w:vAlign w:val="center"/>
          </w:tcPr>
          <w:p w14:paraId="28374C46">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bowtie2</w:t>
            </w:r>
          </w:p>
        </w:tc>
        <w:tc>
          <w:tcPr>
            <w:tcW w:w="2913" w:type="dxa"/>
            <w:tcBorders>
              <w:top w:val="nil"/>
              <w:tl2br w:val="nil"/>
              <w:tr2bl w:val="nil"/>
            </w:tcBorders>
            <w:shd w:val="clear" w:color="auto" w:fill="auto"/>
            <w:noWrap/>
            <w:vAlign w:val="center"/>
          </w:tcPr>
          <w:p w14:paraId="6C75DD5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去宿主污染</w:t>
            </w:r>
          </w:p>
        </w:tc>
      </w:tr>
      <w:tr w14:paraId="07CF0D7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35EE4D29">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megahit</w:t>
            </w:r>
          </w:p>
        </w:tc>
        <w:tc>
          <w:tcPr>
            <w:tcW w:w="1013" w:type="dxa"/>
            <w:tcBorders>
              <w:tl2br w:val="nil"/>
              <w:tr2bl w:val="nil"/>
            </w:tcBorders>
            <w:shd w:val="clear" w:color="auto" w:fill="auto"/>
            <w:noWrap/>
            <w:vAlign w:val="center"/>
          </w:tcPr>
          <w:p w14:paraId="1212F86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szCs w:val="21"/>
                <w14:textFill>
                  <w14:solidFill>
                    <w14:schemeClr w14:val="tx1"/>
                  </w14:solidFill>
                </w14:textFill>
              </w:rPr>
              <w:t>1.2.9</w:t>
            </w:r>
          </w:p>
        </w:tc>
        <w:tc>
          <w:tcPr>
            <w:tcW w:w="3198" w:type="dxa"/>
            <w:tcBorders>
              <w:tl2br w:val="nil"/>
              <w:tr2bl w:val="nil"/>
            </w:tcBorders>
            <w:shd w:val="clear" w:color="auto" w:fill="auto"/>
            <w:noWrap/>
            <w:vAlign w:val="center"/>
          </w:tcPr>
          <w:p w14:paraId="7CD0A34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https://github.com/voutcn/megahit</w:t>
            </w:r>
          </w:p>
        </w:tc>
        <w:tc>
          <w:tcPr>
            <w:tcW w:w="2913" w:type="dxa"/>
            <w:tcBorders>
              <w:tl2br w:val="nil"/>
              <w:tr2bl w:val="nil"/>
            </w:tcBorders>
            <w:shd w:val="clear" w:color="auto" w:fill="auto"/>
            <w:noWrap/>
            <w:vAlign w:val="center"/>
          </w:tcPr>
          <w:p w14:paraId="6B1460B6">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组装</w:t>
            </w:r>
          </w:p>
        </w:tc>
      </w:tr>
      <w:tr w14:paraId="3804B95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2D439479">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diamond</w:t>
            </w:r>
          </w:p>
        </w:tc>
        <w:tc>
          <w:tcPr>
            <w:tcW w:w="1013" w:type="dxa"/>
            <w:tcBorders>
              <w:tl2br w:val="nil"/>
              <w:tr2bl w:val="nil"/>
            </w:tcBorders>
            <w:shd w:val="clear" w:color="auto" w:fill="auto"/>
            <w:noWrap/>
            <w:vAlign w:val="center"/>
          </w:tcPr>
          <w:p w14:paraId="14A3B96E">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2.1.8</w:t>
            </w:r>
          </w:p>
        </w:tc>
        <w:tc>
          <w:tcPr>
            <w:tcW w:w="3198" w:type="dxa"/>
            <w:tcBorders>
              <w:tl2br w:val="nil"/>
              <w:tr2bl w:val="nil"/>
            </w:tcBorders>
            <w:shd w:val="clear" w:color="auto" w:fill="auto"/>
            <w:noWrap/>
            <w:vAlign w:val="center"/>
          </w:tcPr>
          <w:p w14:paraId="680D71C6">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https://github.com/bbuchfink/diamond</w:t>
            </w:r>
          </w:p>
        </w:tc>
        <w:tc>
          <w:tcPr>
            <w:tcW w:w="2913" w:type="dxa"/>
            <w:tcBorders>
              <w:tl2br w:val="nil"/>
              <w:tr2bl w:val="nil"/>
            </w:tcBorders>
            <w:shd w:val="clear" w:color="auto" w:fill="auto"/>
            <w:noWrap/>
            <w:vAlign w:val="center"/>
          </w:tcPr>
          <w:p w14:paraId="66D29756">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序列比对</w:t>
            </w:r>
          </w:p>
        </w:tc>
      </w:tr>
      <w:tr w14:paraId="5DEE36E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284775E2">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MEGAN</w:t>
            </w:r>
          </w:p>
        </w:tc>
        <w:tc>
          <w:tcPr>
            <w:tcW w:w="1013" w:type="dxa"/>
            <w:tcBorders>
              <w:tl2br w:val="nil"/>
              <w:tr2bl w:val="nil"/>
            </w:tcBorders>
            <w:shd w:val="clear" w:color="auto" w:fill="auto"/>
            <w:noWrap/>
            <w:vAlign w:val="center"/>
          </w:tcPr>
          <w:p w14:paraId="58821DD1">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6</w:t>
            </w:r>
            <w:r>
              <w:rPr>
                <w:rFonts w:cs="Times New Roman"/>
                <w:color w:val="000000" w:themeColor="text1"/>
                <w:kern w:val="0"/>
                <w:szCs w:val="21"/>
                <w14:textFill>
                  <w14:solidFill>
                    <w14:schemeClr w14:val="tx1"/>
                  </w14:solidFill>
                </w14:textFill>
              </w:rPr>
              <w:t>.25</w:t>
            </w:r>
          </w:p>
        </w:tc>
        <w:tc>
          <w:tcPr>
            <w:tcW w:w="3198" w:type="dxa"/>
            <w:tcBorders>
              <w:tl2br w:val="nil"/>
              <w:tr2bl w:val="nil"/>
            </w:tcBorders>
            <w:shd w:val="clear" w:color="auto" w:fill="auto"/>
            <w:noWrap/>
            <w:vAlign w:val="center"/>
          </w:tcPr>
          <w:p w14:paraId="12BEB60B">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https://github.com/husonlab/megan-ce</w:t>
            </w:r>
          </w:p>
        </w:tc>
        <w:tc>
          <w:tcPr>
            <w:tcW w:w="2913" w:type="dxa"/>
            <w:tcBorders>
              <w:tl2br w:val="nil"/>
              <w:tr2bl w:val="nil"/>
            </w:tcBorders>
            <w:shd w:val="clear" w:color="auto" w:fill="auto"/>
            <w:noWrap/>
            <w:vAlign w:val="center"/>
          </w:tcPr>
          <w:p w14:paraId="395A72AD">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物种分类</w:t>
            </w:r>
          </w:p>
        </w:tc>
      </w:tr>
      <w:tr w14:paraId="7F6AD90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16BD36E1">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eggnog mapper</w:t>
            </w:r>
          </w:p>
        </w:tc>
        <w:tc>
          <w:tcPr>
            <w:tcW w:w="1013" w:type="dxa"/>
            <w:tcBorders>
              <w:tl2br w:val="nil"/>
              <w:tr2bl w:val="nil"/>
            </w:tcBorders>
            <w:shd w:val="clear" w:color="auto" w:fill="auto"/>
            <w:noWrap/>
            <w:vAlign w:val="center"/>
          </w:tcPr>
          <w:p w14:paraId="73EF0BF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2.1.10</w:t>
            </w:r>
          </w:p>
        </w:tc>
        <w:tc>
          <w:tcPr>
            <w:tcW w:w="3198" w:type="dxa"/>
            <w:tcBorders>
              <w:tl2br w:val="nil"/>
              <w:tr2bl w:val="nil"/>
            </w:tcBorders>
            <w:shd w:val="clear" w:color="auto" w:fill="auto"/>
            <w:noWrap/>
            <w:vAlign w:val="center"/>
          </w:tcPr>
          <w:p w14:paraId="34ABAFDE">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https://github.com/eggnogdb/eggnog-mapper</w:t>
            </w:r>
          </w:p>
        </w:tc>
        <w:tc>
          <w:tcPr>
            <w:tcW w:w="2913" w:type="dxa"/>
            <w:tcBorders>
              <w:tl2br w:val="nil"/>
              <w:tr2bl w:val="nil"/>
            </w:tcBorders>
            <w:shd w:val="clear" w:color="auto" w:fill="auto"/>
            <w:noWrap/>
            <w:vAlign w:val="center"/>
          </w:tcPr>
          <w:p w14:paraId="3986B216">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功能注释</w:t>
            </w:r>
          </w:p>
        </w:tc>
      </w:tr>
      <w:tr w14:paraId="68133EE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115802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szCs w:val="21"/>
                <w14:textFill>
                  <w14:solidFill>
                    <w14:schemeClr w14:val="tx1"/>
                  </w14:solidFill>
                </w14:textFill>
              </w:rPr>
              <w:t>krona</w:t>
            </w:r>
          </w:p>
        </w:tc>
        <w:tc>
          <w:tcPr>
            <w:tcW w:w="1013" w:type="dxa"/>
            <w:tcBorders>
              <w:tl2br w:val="nil"/>
              <w:tr2bl w:val="nil"/>
            </w:tcBorders>
            <w:shd w:val="clear" w:color="auto" w:fill="auto"/>
            <w:noWrap/>
            <w:vAlign w:val="center"/>
          </w:tcPr>
          <w:p w14:paraId="70E1DCB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2.8.1</w:t>
            </w:r>
          </w:p>
        </w:tc>
        <w:tc>
          <w:tcPr>
            <w:tcW w:w="3198" w:type="dxa"/>
            <w:tcBorders>
              <w:tl2br w:val="nil"/>
              <w:tr2bl w:val="nil"/>
            </w:tcBorders>
            <w:shd w:val="clear" w:color="auto" w:fill="auto"/>
            <w:noWrap/>
            <w:vAlign w:val="center"/>
          </w:tcPr>
          <w:p w14:paraId="23DE1B93">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https://github.com/marbl/Krona</w:t>
            </w:r>
          </w:p>
        </w:tc>
        <w:tc>
          <w:tcPr>
            <w:tcW w:w="2913" w:type="dxa"/>
            <w:tcBorders>
              <w:tl2br w:val="nil"/>
              <w:tr2bl w:val="nil"/>
            </w:tcBorders>
            <w:shd w:val="clear" w:color="auto" w:fill="auto"/>
            <w:noWrap/>
            <w:vAlign w:val="center"/>
          </w:tcPr>
          <w:p w14:paraId="1AD492DF">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szCs w:val="21"/>
                <w14:textFill>
                  <w14:solidFill>
                    <w14:schemeClr w14:val="tx1"/>
                  </w14:solidFill>
                </w14:textFill>
              </w:rPr>
              <w:t>krona</w:t>
            </w:r>
            <w:r>
              <w:rPr>
                <w:rFonts w:hint="eastAsia" w:cs="Times New Roman"/>
                <w:color w:val="000000" w:themeColor="text1"/>
                <w:kern w:val="0"/>
                <w:szCs w:val="21"/>
                <w14:textFill>
                  <w14:solidFill>
                    <w14:schemeClr w14:val="tx1"/>
                  </w14:solidFill>
                </w14:textFill>
              </w:rPr>
              <w:t>多级物种组成图</w:t>
            </w:r>
          </w:p>
        </w:tc>
      </w:tr>
      <w:tr w14:paraId="1A3A61E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5608E6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Lefse</w:t>
            </w:r>
          </w:p>
        </w:tc>
        <w:tc>
          <w:tcPr>
            <w:tcW w:w="1013" w:type="dxa"/>
            <w:tcBorders>
              <w:tl2br w:val="nil"/>
              <w:tr2bl w:val="nil"/>
            </w:tcBorders>
            <w:shd w:val="clear" w:color="auto" w:fill="auto"/>
            <w:noWrap/>
            <w:vAlign w:val="center"/>
          </w:tcPr>
          <w:p w14:paraId="24444D5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1</w:t>
            </w:r>
            <w:r>
              <w:rPr>
                <w:rFonts w:cs="Times New Roman"/>
                <w:color w:val="000000" w:themeColor="text1"/>
                <w:kern w:val="0"/>
                <w:szCs w:val="21"/>
                <w14:textFill>
                  <w14:solidFill>
                    <w14:schemeClr w14:val="tx1"/>
                  </w14:solidFill>
                </w14:textFill>
              </w:rPr>
              <w:t>.1.2</w:t>
            </w:r>
          </w:p>
        </w:tc>
        <w:tc>
          <w:tcPr>
            <w:tcW w:w="3198" w:type="dxa"/>
            <w:tcBorders>
              <w:tl2br w:val="nil"/>
              <w:tr2bl w:val="nil"/>
            </w:tcBorders>
            <w:shd w:val="clear" w:color="auto" w:fill="auto"/>
            <w:noWrap/>
            <w:vAlign w:val="center"/>
          </w:tcPr>
          <w:p w14:paraId="6B575AAB">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https://github.com/SegataLab/lefse</w:t>
            </w:r>
          </w:p>
        </w:tc>
        <w:tc>
          <w:tcPr>
            <w:tcW w:w="2913" w:type="dxa"/>
            <w:tcBorders>
              <w:tl2br w:val="nil"/>
              <w:tr2bl w:val="nil"/>
            </w:tcBorders>
            <w:shd w:val="clear" w:color="auto" w:fill="auto"/>
            <w:noWrap/>
            <w:vAlign w:val="center"/>
          </w:tcPr>
          <w:p w14:paraId="113E331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L</w:t>
            </w:r>
            <w:r>
              <w:rPr>
                <w:rFonts w:hint="eastAsia" w:cs="Times New Roman"/>
                <w:color w:val="000000" w:themeColor="text1"/>
                <w:kern w:val="0"/>
                <w:szCs w:val="21"/>
                <w14:textFill>
                  <w14:solidFill>
                    <w14:schemeClr w14:val="tx1"/>
                  </w14:solidFill>
                </w14:textFill>
              </w:rPr>
              <w:t>efse分析</w:t>
            </w:r>
          </w:p>
        </w:tc>
      </w:tr>
      <w:tr w14:paraId="7AEB07C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CCABA6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r</w:t>
            </w:r>
          </w:p>
        </w:tc>
        <w:tc>
          <w:tcPr>
            <w:tcW w:w="1013" w:type="dxa"/>
            <w:tcBorders>
              <w:tl2br w:val="nil"/>
              <w:tr2bl w:val="nil"/>
            </w:tcBorders>
            <w:shd w:val="clear" w:color="auto" w:fill="auto"/>
            <w:noWrap/>
            <w:vAlign w:val="center"/>
          </w:tcPr>
          <w:p w14:paraId="185CDE7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4.2.3</w:t>
            </w:r>
          </w:p>
        </w:tc>
        <w:tc>
          <w:tcPr>
            <w:tcW w:w="3198" w:type="dxa"/>
            <w:tcBorders>
              <w:tl2br w:val="nil"/>
              <w:tr2bl w:val="nil"/>
            </w:tcBorders>
            <w:shd w:val="clear" w:color="auto" w:fill="auto"/>
            <w:noWrap/>
            <w:vAlign w:val="center"/>
          </w:tcPr>
          <w:p w14:paraId="3DCEB8FF">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https://www.r-project.org/</w:t>
            </w:r>
          </w:p>
        </w:tc>
        <w:tc>
          <w:tcPr>
            <w:tcW w:w="2913" w:type="dxa"/>
            <w:tcBorders>
              <w:tl2br w:val="nil"/>
              <w:tr2bl w:val="nil"/>
            </w:tcBorders>
            <w:shd w:val="clear" w:color="auto" w:fill="auto"/>
            <w:noWrap/>
            <w:vAlign w:val="center"/>
          </w:tcPr>
          <w:p w14:paraId="3E9BD29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绘图</w:t>
            </w:r>
          </w:p>
        </w:tc>
      </w:tr>
      <w:tr w14:paraId="14F2FF4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25955E97">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ggplot2</w:t>
            </w:r>
          </w:p>
        </w:tc>
        <w:tc>
          <w:tcPr>
            <w:tcW w:w="1013" w:type="dxa"/>
            <w:tcBorders>
              <w:tl2br w:val="nil"/>
              <w:tr2bl w:val="nil"/>
            </w:tcBorders>
            <w:shd w:val="clear" w:color="auto" w:fill="auto"/>
            <w:noWrap/>
            <w:vAlign w:val="center"/>
          </w:tcPr>
          <w:p w14:paraId="6E5A9AD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3.4.2</w:t>
            </w:r>
          </w:p>
        </w:tc>
        <w:tc>
          <w:tcPr>
            <w:tcW w:w="3198" w:type="dxa"/>
            <w:tcBorders>
              <w:tl2br w:val="nil"/>
              <w:tr2bl w:val="nil"/>
            </w:tcBorders>
            <w:shd w:val="clear" w:color="auto" w:fill="auto"/>
            <w:noWrap/>
            <w:vAlign w:val="center"/>
          </w:tcPr>
          <w:p w14:paraId="24F3686D">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https://ggplot2.tidyverse.org/</w:t>
            </w:r>
          </w:p>
        </w:tc>
        <w:tc>
          <w:tcPr>
            <w:tcW w:w="2913" w:type="dxa"/>
            <w:tcBorders>
              <w:tl2br w:val="nil"/>
              <w:tr2bl w:val="nil"/>
            </w:tcBorders>
            <w:shd w:val="clear" w:color="auto" w:fill="auto"/>
            <w:noWrap/>
            <w:vAlign w:val="center"/>
          </w:tcPr>
          <w:p w14:paraId="28F9DF2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柱状图、箱线图、</w:t>
            </w:r>
            <w:r>
              <w:rPr>
                <w:rFonts w:hint="eastAsia" w:cs="Times New Roman"/>
                <w:color w:val="000000" w:themeColor="text1"/>
                <w:kern w:val="0"/>
                <w:szCs w:val="21"/>
                <w14:textFill>
                  <w14:solidFill>
                    <w14:schemeClr w14:val="tx1"/>
                  </w14:solidFill>
                </w14:textFill>
              </w:rPr>
              <w:t>功能</w:t>
            </w:r>
            <w:r>
              <w:rPr>
                <w:rFonts w:cs="Times New Roman"/>
                <w:color w:val="000000" w:themeColor="text1"/>
                <w:kern w:val="0"/>
                <w:szCs w:val="21"/>
                <w14:textFill>
                  <w14:solidFill>
                    <w14:schemeClr w14:val="tx1"/>
                  </w14:solidFill>
                </w14:textFill>
              </w:rPr>
              <w:t>通路</w:t>
            </w:r>
            <w:r>
              <w:rPr>
                <w:rFonts w:hint="eastAsia" w:cs="Times New Roman"/>
                <w:color w:val="000000" w:themeColor="text1"/>
                <w:kern w:val="0"/>
                <w:szCs w:val="21"/>
                <w14:textFill>
                  <w14:solidFill>
                    <w14:schemeClr w14:val="tx1"/>
                  </w14:solidFill>
                </w14:textFill>
              </w:rPr>
              <w:t>图</w:t>
            </w:r>
          </w:p>
        </w:tc>
      </w:tr>
      <w:tr w14:paraId="4C36E00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9377F3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ggvenn</w:t>
            </w:r>
          </w:p>
        </w:tc>
        <w:tc>
          <w:tcPr>
            <w:tcW w:w="1013" w:type="dxa"/>
            <w:tcBorders>
              <w:tl2br w:val="nil"/>
              <w:tr2bl w:val="nil"/>
            </w:tcBorders>
            <w:shd w:val="clear" w:color="auto" w:fill="auto"/>
            <w:noWrap/>
            <w:vAlign w:val="center"/>
          </w:tcPr>
          <w:p w14:paraId="71190F17">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0.1.10</w:t>
            </w:r>
          </w:p>
        </w:tc>
        <w:tc>
          <w:tcPr>
            <w:tcW w:w="3198" w:type="dxa"/>
            <w:tcBorders>
              <w:tl2br w:val="nil"/>
              <w:tr2bl w:val="nil"/>
            </w:tcBorders>
            <w:shd w:val="clear" w:color="auto" w:fill="auto"/>
            <w:noWrap/>
            <w:vAlign w:val="center"/>
          </w:tcPr>
          <w:p w14:paraId="6964CD9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https://github.com/yanlinlin82/ggvenn</w:t>
            </w:r>
          </w:p>
        </w:tc>
        <w:tc>
          <w:tcPr>
            <w:tcW w:w="2913" w:type="dxa"/>
            <w:tcBorders>
              <w:tl2br w:val="nil"/>
              <w:tr2bl w:val="nil"/>
            </w:tcBorders>
            <w:shd w:val="clear" w:color="auto" w:fill="auto"/>
            <w:noWrap/>
            <w:vAlign w:val="center"/>
          </w:tcPr>
          <w:p w14:paraId="5B2F9A1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韦恩图</w:t>
            </w:r>
          </w:p>
        </w:tc>
      </w:tr>
      <w:tr w14:paraId="780ABBE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703C986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upset</w:t>
            </w:r>
          </w:p>
        </w:tc>
        <w:tc>
          <w:tcPr>
            <w:tcW w:w="1013" w:type="dxa"/>
            <w:tcBorders>
              <w:tl2br w:val="nil"/>
              <w:tr2bl w:val="nil"/>
            </w:tcBorders>
            <w:shd w:val="clear" w:color="auto" w:fill="auto"/>
            <w:noWrap/>
            <w:vAlign w:val="center"/>
          </w:tcPr>
          <w:p w14:paraId="5FAF5B91">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1.4.0</w:t>
            </w:r>
          </w:p>
        </w:tc>
        <w:tc>
          <w:tcPr>
            <w:tcW w:w="3198" w:type="dxa"/>
            <w:tcBorders>
              <w:tl2br w:val="nil"/>
              <w:tr2bl w:val="nil"/>
            </w:tcBorders>
            <w:shd w:val="clear" w:color="auto" w:fill="auto"/>
            <w:noWrap/>
            <w:vAlign w:val="center"/>
          </w:tcPr>
          <w:p w14:paraId="6558B3B3">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https://github.com/hms-dbmi/UpSetR</w:t>
            </w:r>
          </w:p>
        </w:tc>
        <w:tc>
          <w:tcPr>
            <w:tcW w:w="2913" w:type="dxa"/>
            <w:tcBorders>
              <w:tl2br w:val="nil"/>
              <w:tr2bl w:val="nil"/>
            </w:tcBorders>
            <w:shd w:val="clear" w:color="auto" w:fill="auto"/>
            <w:noWrap/>
            <w:vAlign w:val="center"/>
          </w:tcPr>
          <w:p w14:paraId="16F2B4B2">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U</w:t>
            </w:r>
            <w:r>
              <w:rPr>
                <w:rFonts w:hint="eastAsia" w:cs="Times New Roman"/>
                <w:color w:val="000000" w:themeColor="text1"/>
                <w:kern w:val="0"/>
                <w:szCs w:val="21"/>
                <w14:textFill>
                  <w14:solidFill>
                    <w14:schemeClr w14:val="tx1"/>
                  </w14:solidFill>
                </w14:textFill>
              </w:rPr>
              <w:t>pset图</w:t>
            </w:r>
          </w:p>
        </w:tc>
      </w:tr>
      <w:tr w14:paraId="3FE53AA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ED738F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pheatmap</w:t>
            </w:r>
          </w:p>
        </w:tc>
        <w:tc>
          <w:tcPr>
            <w:tcW w:w="1013" w:type="dxa"/>
            <w:tcBorders>
              <w:tl2br w:val="nil"/>
              <w:tr2bl w:val="nil"/>
            </w:tcBorders>
            <w:shd w:val="clear" w:color="auto" w:fill="auto"/>
            <w:noWrap/>
            <w:vAlign w:val="center"/>
          </w:tcPr>
          <w:p w14:paraId="31B1A12B">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1.0.12</w:t>
            </w:r>
          </w:p>
        </w:tc>
        <w:tc>
          <w:tcPr>
            <w:tcW w:w="3198" w:type="dxa"/>
            <w:tcBorders>
              <w:tl2br w:val="nil"/>
              <w:tr2bl w:val="nil"/>
            </w:tcBorders>
            <w:shd w:val="clear" w:color="auto" w:fill="auto"/>
            <w:noWrap/>
            <w:vAlign w:val="center"/>
          </w:tcPr>
          <w:p w14:paraId="0680BA01">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https://cran.r-project.org/web/packages/pheatmap/index.html</w:t>
            </w:r>
          </w:p>
        </w:tc>
        <w:tc>
          <w:tcPr>
            <w:tcW w:w="2913" w:type="dxa"/>
            <w:tcBorders>
              <w:tl2br w:val="nil"/>
              <w:tr2bl w:val="nil"/>
            </w:tcBorders>
            <w:shd w:val="clear" w:color="auto" w:fill="auto"/>
            <w:noWrap/>
            <w:vAlign w:val="center"/>
          </w:tcPr>
          <w:p w14:paraId="136C6181">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热图</w:t>
            </w:r>
          </w:p>
        </w:tc>
      </w:tr>
      <w:tr w14:paraId="2A8BAAE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5806DEC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ropls</w:t>
            </w:r>
          </w:p>
        </w:tc>
        <w:tc>
          <w:tcPr>
            <w:tcW w:w="1013" w:type="dxa"/>
            <w:tcBorders>
              <w:tl2br w:val="nil"/>
              <w:tr2bl w:val="nil"/>
            </w:tcBorders>
            <w:shd w:val="clear" w:color="auto" w:fill="auto"/>
            <w:noWrap/>
            <w:vAlign w:val="center"/>
          </w:tcPr>
          <w:p w14:paraId="1A9D12D2">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1.32.0</w:t>
            </w:r>
          </w:p>
        </w:tc>
        <w:tc>
          <w:tcPr>
            <w:tcW w:w="3198" w:type="dxa"/>
            <w:tcBorders>
              <w:tl2br w:val="nil"/>
              <w:tr2bl w:val="nil"/>
            </w:tcBorders>
            <w:shd w:val="clear" w:color="auto" w:fill="auto"/>
            <w:noWrap/>
            <w:vAlign w:val="center"/>
          </w:tcPr>
          <w:p w14:paraId="16E7C14E">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https://bioconductor.org/packages/release/bioc/html/ropls.html</w:t>
            </w:r>
          </w:p>
        </w:tc>
        <w:tc>
          <w:tcPr>
            <w:tcW w:w="2913" w:type="dxa"/>
            <w:tcBorders>
              <w:tl2br w:val="nil"/>
              <w:tr2bl w:val="nil"/>
            </w:tcBorders>
            <w:shd w:val="clear" w:color="auto" w:fill="auto"/>
            <w:noWrap/>
            <w:vAlign w:val="center"/>
          </w:tcPr>
          <w:p w14:paraId="53EF9DF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多维统计分析</w:t>
            </w:r>
          </w:p>
        </w:tc>
      </w:tr>
      <w:tr w14:paraId="297798A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B2927A7">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ggtree</w:t>
            </w:r>
          </w:p>
        </w:tc>
        <w:tc>
          <w:tcPr>
            <w:tcW w:w="1013" w:type="dxa"/>
            <w:tcBorders>
              <w:tl2br w:val="nil"/>
              <w:tr2bl w:val="nil"/>
            </w:tcBorders>
            <w:shd w:val="clear" w:color="auto" w:fill="auto"/>
            <w:noWrap/>
            <w:vAlign w:val="center"/>
          </w:tcPr>
          <w:p w14:paraId="04E31E8B">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3.6.0</w:t>
            </w:r>
          </w:p>
        </w:tc>
        <w:tc>
          <w:tcPr>
            <w:tcW w:w="3198" w:type="dxa"/>
            <w:tcBorders>
              <w:tl2br w:val="nil"/>
              <w:tr2bl w:val="nil"/>
            </w:tcBorders>
            <w:shd w:val="clear" w:color="auto" w:fill="auto"/>
            <w:noWrap/>
            <w:vAlign w:val="center"/>
          </w:tcPr>
          <w:p w14:paraId="18176B0D">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https://github.com/YuLab-SMU/ggtree</w:t>
            </w:r>
          </w:p>
        </w:tc>
        <w:tc>
          <w:tcPr>
            <w:tcW w:w="2913" w:type="dxa"/>
            <w:tcBorders>
              <w:tl2br w:val="nil"/>
              <w:tr2bl w:val="nil"/>
            </w:tcBorders>
            <w:shd w:val="clear" w:color="auto" w:fill="auto"/>
            <w:noWrap/>
            <w:vAlign w:val="center"/>
          </w:tcPr>
          <w:p w14:paraId="5572A02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树图</w:t>
            </w:r>
          </w:p>
        </w:tc>
      </w:tr>
      <w:tr w14:paraId="7CE8B1D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6C27B18E">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corrplot</w:t>
            </w:r>
          </w:p>
        </w:tc>
        <w:tc>
          <w:tcPr>
            <w:tcW w:w="1013" w:type="dxa"/>
            <w:tcBorders>
              <w:tl2br w:val="nil"/>
              <w:tr2bl w:val="nil"/>
            </w:tcBorders>
            <w:shd w:val="clear" w:color="auto" w:fill="auto"/>
            <w:noWrap/>
            <w:vAlign w:val="center"/>
          </w:tcPr>
          <w:p w14:paraId="49D37698">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0.92</w:t>
            </w:r>
          </w:p>
        </w:tc>
        <w:tc>
          <w:tcPr>
            <w:tcW w:w="3198" w:type="dxa"/>
            <w:tcBorders>
              <w:tl2br w:val="nil"/>
              <w:tr2bl w:val="nil"/>
            </w:tcBorders>
            <w:shd w:val="clear" w:color="auto" w:fill="auto"/>
            <w:noWrap/>
            <w:vAlign w:val="center"/>
          </w:tcPr>
          <w:p w14:paraId="50796F2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https://cran.r-project.org/web/packages/corrplot/index.html</w:t>
            </w:r>
          </w:p>
        </w:tc>
        <w:tc>
          <w:tcPr>
            <w:tcW w:w="2913" w:type="dxa"/>
            <w:tcBorders>
              <w:tl2br w:val="nil"/>
              <w:tr2bl w:val="nil"/>
            </w:tcBorders>
            <w:shd w:val="clear" w:color="auto" w:fill="auto"/>
            <w:noWrap/>
            <w:vAlign w:val="center"/>
          </w:tcPr>
          <w:p w14:paraId="5DAACF8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相关性热图</w:t>
            </w:r>
          </w:p>
        </w:tc>
      </w:tr>
      <w:tr w14:paraId="37A206F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05FB03E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metagenomeSeq</w:t>
            </w:r>
          </w:p>
        </w:tc>
        <w:tc>
          <w:tcPr>
            <w:tcW w:w="1013" w:type="dxa"/>
            <w:tcBorders>
              <w:tl2br w:val="nil"/>
              <w:tr2bl w:val="nil"/>
            </w:tcBorders>
            <w:shd w:val="clear" w:color="auto" w:fill="auto"/>
            <w:noWrap/>
            <w:vAlign w:val="center"/>
          </w:tcPr>
          <w:p w14:paraId="09D1B8B8">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1.40.0</w:t>
            </w:r>
          </w:p>
        </w:tc>
        <w:tc>
          <w:tcPr>
            <w:tcW w:w="3198" w:type="dxa"/>
            <w:tcBorders>
              <w:tl2br w:val="nil"/>
              <w:tr2bl w:val="nil"/>
            </w:tcBorders>
            <w:shd w:val="clear" w:color="auto" w:fill="auto"/>
            <w:noWrap/>
            <w:vAlign w:val="center"/>
          </w:tcPr>
          <w:p w14:paraId="4DA831B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https://github.com/HCBravoLab/metagenomeSeq</w:t>
            </w:r>
          </w:p>
        </w:tc>
        <w:tc>
          <w:tcPr>
            <w:tcW w:w="2913" w:type="dxa"/>
            <w:tcBorders>
              <w:tl2br w:val="nil"/>
              <w:tr2bl w:val="nil"/>
            </w:tcBorders>
            <w:shd w:val="clear" w:color="auto" w:fill="auto"/>
            <w:noWrap/>
            <w:vAlign w:val="center"/>
          </w:tcPr>
          <w:p w14:paraId="48887FF7">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szCs w:val="21"/>
                <w14:textFill>
                  <w14:solidFill>
                    <w14:schemeClr w14:val="tx1"/>
                  </w14:solidFill>
                </w14:textFill>
              </w:rPr>
              <w:t>metagenomeSeq分析</w:t>
            </w:r>
          </w:p>
        </w:tc>
      </w:tr>
    </w:tbl>
    <w:p w14:paraId="5DF107B7">
      <w:pPr>
        <w:pStyle w:val="40"/>
      </w:pPr>
      <w:bookmarkStart w:id="77" w:name="_Toc4541"/>
      <w:r>
        <w:rPr>
          <w:rFonts w:hint="eastAsia"/>
          <w:bCs w:val="0"/>
        </w:rPr>
        <w:t>1</w:t>
      </w:r>
      <w:r>
        <w:rPr>
          <w:rFonts w:hint="eastAsia"/>
          <w:bCs w:val="0"/>
          <w:lang w:val="en-US" w:eastAsia="zh-CN"/>
        </w:rPr>
        <w:t>5</w:t>
      </w:r>
      <w:r>
        <w:rPr>
          <w:bCs w:val="0"/>
        </w:rPr>
        <w:t xml:space="preserve">. </w:t>
      </w:r>
      <w:r>
        <w:rPr>
          <w:rFonts w:hint="eastAsia"/>
        </w:rPr>
        <w:t>文件位置</w:t>
      </w:r>
      <w:bookmarkEnd w:id="77"/>
    </w:p>
    <w:p w14:paraId="02C1F238">
      <w:pPr>
        <w:ind w:firstLine="420"/>
        <w:rPr>
          <w:rFonts w:cs="Times New Roman"/>
        </w:rPr>
      </w:pPr>
      <w:r>
        <w:rPr>
          <w:rFonts w:hint="eastAsia" w:cs="Times New Roman"/>
        </w:rPr>
        <w:t>详见README文件</w:t>
      </w:r>
    </w:p>
    <w:p w14:paraId="6575EFAF">
      <w:pPr>
        <w:ind w:firstLine="420"/>
        <w:rPr>
          <w:rFonts w:cs="Times New Roman"/>
        </w:rPr>
      </w:pPr>
      <w:r>
        <w:rPr>
          <w:rFonts w:hint="eastAsia" w:cs="Times New Roman"/>
        </w:rPr>
        <w:t>结果目录：Result/README.txt</w:t>
      </w:r>
    </w:p>
    <w:p w14:paraId="78790642">
      <w:pPr>
        <w:pStyle w:val="40"/>
      </w:pPr>
      <w:bookmarkStart w:id="78" w:name="_Toc30862"/>
      <w:r>
        <w:rPr>
          <w:rFonts w:hint="eastAsia"/>
          <w:bCs w:val="0"/>
        </w:rPr>
        <w:t>1</w:t>
      </w:r>
      <w:r>
        <w:rPr>
          <w:rFonts w:hint="eastAsia"/>
          <w:bCs w:val="0"/>
          <w:lang w:val="en-US" w:eastAsia="zh-CN"/>
        </w:rPr>
        <w:t>6</w:t>
      </w:r>
      <w:r>
        <w:rPr>
          <w:bCs w:val="0"/>
        </w:rPr>
        <w:t xml:space="preserve">. </w:t>
      </w:r>
      <w:r>
        <w:t>参考文献</w:t>
      </w:r>
      <w:bookmarkEnd w:id="69"/>
      <w:bookmarkEnd w:id="70"/>
      <w:bookmarkEnd w:id="71"/>
      <w:bookmarkEnd w:id="72"/>
      <w:bookmarkEnd w:id="78"/>
    </w:p>
    <w:p w14:paraId="55F20238">
      <w:pPr>
        <w:ind w:firstLine="420"/>
        <w:rPr>
          <w:rFonts w:cs="Times New Roman"/>
        </w:rPr>
      </w:pPr>
      <w:r>
        <w:rPr>
          <w:rFonts w:cs="Times New Roman"/>
        </w:rPr>
        <w:t>Bolger A M, Lohse M, Usadel B. Trimmomatic: a flexible trimmer for Illumina sequence data[J]. Bioinformatics, 2014, 30(15):2114-2120.</w:t>
      </w:r>
    </w:p>
    <w:p w14:paraId="404BFC14">
      <w:pPr>
        <w:ind w:firstLine="420"/>
        <w:rPr>
          <w:rFonts w:cs="Times New Roman"/>
        </w:rPr>
      </w:pPr>
      <w:r>
        <w:rPr>
          <w:rFonts w:cs="Times New Roman"/>
        </w:rPr>
        <w:t>Li D, Liu C M, Luo R, et al. MEGAHIT: an ultra-fast single-node solution for large and complex metagenomics assembly via succinct de Bruijn graph[J]. Bioinformatics, 2015, 31(10): 1674-1676.</w:t>
      </w:r>
    </w:p>
    <w:p w14:paraId="3E126E06">
      <w:pPr>
        <w:ind w:firstLine="420"/>
        <w:rPr>
          <w:rFonts w:cs="Times New Roman"/>
        </w:rPr>
      </w:pPr>
      <w:r>
        <w:rPr>
          <w:rFonts w:cs="Times New Roman"/>
        </w:rPr>
        <w:t>Li D, Luo R, Liu C M, et al. MEGAHIT v1. 0: a fast and scalable metagenome assembler driven by advanced methodologies and community practices[J]. Methods, 2016, 102: 3-11.</w:t>
      </w:r>
    </w:p>
    <w:p w14:paraId="64139F17">
      <w:pPr>
        <w:ind w:firstLine="420"/>
        <w:rPr>
          <w:rFonts w:cs="Times New Roman"/>
        </w:rPr>
      </w:pPr>
      <w:r>
        <w:rPr>
          <w:rFonts w:cs="Times New Roman"/>
        </w:rPr>
        <w:t>Land M L, Locascio PF, Chen G L, et al. Prodigal: prokaryotic gene recognition and translation initiation site identification[J]. Bmc Bioinformatics, 2010, 11(1):119-119.</w:t>
      </w:r>
    </w:p>
    <w:p w14:paraId="5FCB170F">
      <w:pPr>
        <w:ind w:firstLine="420"/>
        <w:rPr>
          <w:rFonts w:cs="Times New Roman"/>
        </w:rPr>
      </w:pPr>
      <w:r>
        <w:rPr>
          <w:rFonts w:cs="Times New Roman"/>
        </w:rPr>
        <w:t>Qin J J, Li R Q, Raes J J, et al. Qin J, Li R, Raes J, et al. A human gut microbial gene catalogue established by metagenomic sequencing[J]. Nature, 2010, 464(7285):59-65.</w:t>
      </w:r>
    </w:p>
    <w:p w14:paraId="0D409543">
      <w:pPr>
        <w:ind w:firstLine="420"/>
        <w:rPr>
          <w:rFonts w:cs="Times New Roman"/>
        </w:rPr>
      </w:pPr>
      <w:r>
        <w:rPr>
          <w:rFonts w:cs="Times New Roman"/>
        </w:rPr>
        <w:t>Zeller G, Tap J, Voigt A Y, et al. Potential of fecal microbiota for early-stage detection of colorectalcancer[J]. Molecular Systems Biology, 2015, 10(11):766.</w:t>
      </w:r>
    </w:p>
    <w:p w14:paraId="01AAD3A8">
      <w:pPr>
        <w:ind w:firstLine="420"/>
        <w:rPr>
          <w:rFonts w:cs="Times New Roman"/>
        </w:rPr>
      </w:pPr>
      <w:r>
        <w:rPr>
          <w:rFonts w:cs="Times New Roman"/>
        </w:rPr>
        <w:t>Villar E, Farrant G K, Follows M, et al. Ocean plankton. Environmental characteristics of Agulhas rings affect interocean plankton transport.[J]. Science, 2015, 348(6237):1261447.</w:t>
      </w:r>
    </w:p>
    <w:p w14:paraId="11867CDF">
      <w:pPr>
        <w:ind w:firstLine="420"/>
        <w:rPr>
          <w:rFonts w:cs="Times New Roman"/>
        </w:rPr>
      </w:pPr>
      <w:r>
        <w:rPr>
          <w:rFonts w:cs="Times New Roman"/>
        </w:rPr>
        <w:t>Cotillard A, Kennedy S P, Ling C K, et al. Corrigendum: Dietary intervention impact on gut microbial gene richness[J]. Nature, 2013, 500(7464):585-8.</w:t>
      </w:r>
    </w:p>
    <w:p w14:paraId="6F712A43">
      <w:pPr>
        <w:ind w:firstLine="420"/>
        <w:rPr>
          <w:rFonts w:cs="Times New Roman"/>
        </w:rPr>
      </w:pPr>
      <w:r>
        <w:rPr>
          <w:rFonts w:cs="Times New Roman"/>
        </w:rPr>
        <w:t>Le C E, Nielsen T, Qin J, et al. Richness of human gut microbiome correlates with metabolic markers[J]. Nature, 2013, 500(7464):541-6.</w:t>
      </w:r>
    </w:p>
    <w:p w14:paraId="636F4679">
      <w:pPr>
        <w:ind w:firstLine="420"/>
        <w:rPr>
          <w:rFonts w:cs="Times New Roman"/>
        </w:rPr>
      </w:pPr>
      <w:r>
        <w:rPr>
          <w:rFonts w:cs="Times New Roman"/>
        </w:rPr>
        <w:t>Benjamin Buchfink, Chao Xie &amp; Daniel H. Huson, Fast and Sensitive Protein Alignment using DIAMOND, Nature Methods, 12, 59–60 (2015) doi:10.1038/nmeth.3176.</w:t>
      </w:r>
    </w:p>
    <w:p w14:paraId="3EEF6CCB">
      <w:pPr>
        <w:ind w:firstLine="420"/>
        <w:rPr>
          <w:rFonts w:cs="Times New Roman"/>
        </w:rPr>
      </w:pPr>
      <w:r>
        <w:rPr>
          <w:rFonts w:cs="Times New Roman"/>
        </w:rPr>
        <w:t>Ondov B D, Bergman N H, Phillippy A M. Interactive metagenomic visualization in a Web browser.[J]. BMC Bioinformatics,12,1(2011-09-30), 2011, 12(1):385.</w:t>
      </w:r>
    </w:p>
    <w:p w14:paraId="022D839D">
      <w:pPr>
        <w:ind w:firstLine="420"/>
        <w:rPr>
          <w:rFonts w:cs="Times New Roman"/>
        </w:rPr>
      </w:pPr>
      <w:r>
        <w:rPr>
          <w:rFonts w:cs="Times New Roman"/>
        </w:rPr>
        <w:t>Avershina E, Frisli T, Rudi K. De novo Semi-alignment of 16S rRNA Gene Sequences for Deep Phylogenetic Characterization of Next Generation Sequencing Data[J]. Microbes &amp; Environments, 2013, 28(2):211-216.</w:t>
      </w:r>
    </w:p>
    <w:p w14:paraId="271EC5AD">
      <w:pPr>
        <w:ind w:firstLine="420"/>
        <w:rPr>
          <w:rFonts w:cs="Times New Roman"/>
        </w:rPr>
      </w:pPr>
      <w:r>
        <w:rPr>
          <w:rFonts w:cs="Times New Roman"/>
        </w:rPr>
        <w:t>Noval R M, Burton O T, Wise P, et al. A microbiota signature associated with experimental food allergy promotes allergic sensitization and anaphylaxis[J]. Journal of Allergy &amp; Clinical Immunology, 2013, 131(1):201-212.</w:t>
      </w:r>
    </w:p>
    <w:p w14:paraId="629234B2">
      <w:pPr>
        <w:ind w:firstLine="420"/>
        <w:rPr>
          <w:rFonts w:cs="Times New Roman"/>
        </w:rPr>
      </w:pPr>
      <w:r>
        <w:rPr>
          <w:rFonts w:cs="Times New Roman"/>
        </w:rPr>
        <w:t>White J R, Nagarajan N, Pop M. Statistical Methods for Detecting Differentially Abundant Features in Clinical Metagenomic Samples[J]. Plos Computational Biology, 2009, 5(4):e1000352.</w:t>
      </w:r>
    </w:p>
    <w:p w14:paraId="1DFC8003">
      <w:pPr>
        <w:ind w:firstLine="420"/>
        <w:rPr>
          <w:rFonts w:cs="Times New Roman"/>
        </w:rPr>
      </w:pPr>
      <w:r>
        <w:rPr>
          <w:rFonts w:cs="Times New Roman"/>
        </w:rPr>
        <w:t>Segata N, Izard J, Waldron L, et al. Metagenomic biomarker discovery and explanation.[J]. Genome Biology, 2011, 12(6):R60.</w:t>
      </w:r>
    </w:p>
    <w:p w14:paraId="7AC7A36A">
      <w:pPr>
        <w:ind w:firstLine="420"/>
        <w:rPr>
          <w:rFonts w:cs="Times New Roman"/>
        </w:rPr>
      </w:pPr>
      <w:r>
        <w:rPr>
          <w:rFonts w:cs="Times New Roman"/>
        </w:rPr>
        <w:t>Kanehisa M, Goto S, Hattori M, et al. From genomics to chemical genomics: new developments in KEGG.[J]. Nucleic Acids Research, 2006, 34(Database issue):FT454.</w:t>
      </w:r>
    </w:p>
    <w:p w14:paraId="57D51FC7">
      <w:pPr>
        <w:ind w:firstLine="420"/>
        <w:rPr>
          <w:rFonts w:cs="Times New Roman"/>
        </w:rPr>
      </w:pPr>
      <w:r>
        <w:rPr>
          <w:rFonts w:cs="Times New Roman"/>
        </w:rPr>
        <w:t>Kanehisa M, Goto S, Sato Y, et al. Data, information, knowledge and principle: back to metabolism in KEGG.[J]. Nucleic Acids Research, 2014, 42(Database issue):199-205.</w:t>
      </w:r>
    </w:p>
    <w:p w14:paraId="26310251">
      <w:pPr>
        <w:ind w:firstLine="420"/>
        <w:rPr>
          <w:rFonts w:cs="Times New Roman"/>
        </w:rPr>
      </w:pPr>
      <w:r>
        <w:rPr>
          <w:rFonts w:cs="Times New Roman"/>
        </w:rPr>
        <w:t>Powell S, Forslund K, Szklarczyk D, et al. eggNOG v4.0: nested orthology inference across 3686 organisms[J]. Nucleic Acids Research, 2014, 42(Database issue):231-9.</w:t>
      </w:r>
    </w:p>
    <w:p w14:paraId="41329BEB">
      <w:pPr>
        <w:ind w:firstLine="420"/>
        <w:rPr>
          <w:rFonts w:cs="Times New Roman"/>
        </w:rPr>
      </w:pPr>
      <w:r>
        <w:rPr>
          <w:rFonts w:cs="Times New Roman"/>
        </w:rPr>
        <w:t>Cantarel B L, Coutinho P M, Rancurel C, et al. The Carbohydrate-Active EnZymes database (CAZy): an expert resource for Glycogenomics[J]. Nucleic Acids Research, 2009, 37(Database issue):FT233.</w:t>
      </w:r>
    </w:p>
    <w:p w14:paraId="4D944C94">
      <w:pPr>
        <w:ind w:firstLine="420"/>
        <w:rPr>
          <w:rFonts w:cs="Times New Roman"/>
        </w:rPr>
      </w:pPr>
      <w:r>
        <w:rPr>
          <w:rFonts w:cs="Times New Roman"/>
        </w:rPr>
        <w:t>Bäckhed F, Roswall J, Peng Y, et al. Dynamics and Stabilization of the Human Gut Microbiome during the First Year of Life.[J]. Cell Host &amp; Microbe, 2015, 17(5):690-703.</w:t>
      </w:r>
    </w:p>
    <w:p w14:paraId="4D4AAB2C">
      <w:pPr>
        <w:ind w:firstLine="420"/>
        <w:rPr>
          <w:rFonts w:cs="Times New Roman"/>
        </w:rPr>
      </w:pPr>
      <w:r>
        <w:rPr>
          <w:rFonts w:cs="Times New Roman"/>
        </w:rPr>
        <w:t>Qin J, Li Y, Cai Z, et al. A metagenome-wide association study of gut microbiota in type 2 diabetes.[J]. Nature, 2012, 490(7418):55-60.</w:t>
      </w:r>
    </w:p>
    <w:p w14:paraId="449595EB">
      <w:pPr>
        <w:ind w:firstLine="420"/>
        <w:rPr>
          <w:rFonts w:cs="Times New Roman"/>
        </w:rPr>
      </w:pPr>
      <w:r>
        <w:rPr>
          <w:rFonts w:cs="Times New Roman"/>
        </w:rPr>
        <w:t>Karlsson FH; Tremaroli V; Nookaew I; Bergström G; Behre CJ; Fagerberg B; Nielsen J; Bäckhed F. Gut metagenome in European women with normal, impaired and diabetic glucose control.[J]. Nature, 2013, 498(7452):99-103.</w:t>
      </w:r>
    </w:p>
    <w:p w14:paraId="39A53788">
      <w:pPr>
        <w:ind w:firstLine="420"/>
        <w:rPr>
          <w:rFonts w:cs="Times New Roman"/>
        </w:rPr>
      </w:pPr>
      <w:r>
        <w:rPr>
          <w:rFonts w:cs="Times New Roman"/>
        </w:rPr>
        <w:t>Karlsson F H, Fåk F, Nookaew I, et al. Symptomatic atherosclerosis is associated with an altered gut metagenome[J]. Nature Communications, 2012, 3(4):1245.</w:t>
      </w:r>
    </w:p>
    <w:p w14:paraId="12502A1C">
      <w:pPr>
        <w:ind w:firstLine="420"/>
        <w:rPr>
          <w:rFonts w:cs="Times New Roman"/>
        </w:rPr>
      </w:pPr>
      <w:r>
        <w:rPr>
          <w:rFonts w:cs="Times New Roman"/>
        </w:rPr>
        <w:t>Xie C, Mao X, Huang J, et al. KOBAS 2.0: a web server for annotation and identification of enriched pathways and diseases[J]. Nucleic Acids Research, 2011, 39(Web Server issue):316-22.</w:t>
      </w:r>
    </w:p>
    <w:p w14:paraId="286C3583">
      <w:pPr>
        <w:ind w:firstLine="420"/>
        <w:rPr>
          <w:rFonts w:cs="Times New Roman"/>
        </w:rPr>
      </w:pPr>
      <w:r>
        <w:rPr>
          <w:rFonts w:cs="Times New Roman"/>
        </w:rPr>
        <w:t>Mistry J, Finn R D, Eddy S R, et al. Challenges in homology search: HMMER3 and convergent evolution of coiled-coil regions.[J]. Nucleic Acids Research, 2013, 41(12):e121-e121.</w:t>
      </w:r>
    </w:p>
    <w:p w14:paraId="5A4DA50D">
      <w:pPr>
        <w:ind w:firstLine="420"/>
        <w:rPr>
          <w:rFonts w:cs="Times New Roman"/>
        </w:rPr>
      </w:pPr>
      <w:r>
        <w:rPr>
          <w:rFonts w:cs="Times New Roman"/>
        </w:rPr>
        <w:t>Altschul, S.F., Gish, W., Miller, et al. Basic local alignment search tool[J]. Journal of Molecular Biology, 1990, 215(3): 403-410.</w:t>
      </w:r>
    </w:p>
    <w:p w14:paraId="6FC1C1FB">
      <w:pPr>
        <w:ind w:firstLine="420"/>
        <w:rPr>
          <w:rFonts w:cs="Times New Roman"/>
        </w:rPr>
      </w:pPr>
      <w:r>
        <w:rPr>
          <w:rFonts w:cs="Times New Roman"/>
        </w:rPr>
        <w:t>Chen L, Jian Y, Yu J, et al. VFDB: a reference database for bacterial virulence factors[J]. Nucleic Acids Research, 2005, 33(Database issue):FT425-FT428.</w:t>
      </w:r>
    </w:p>
    <w:p w14:paraId="773BA75A">
      <w:pPr>
        <w:ind w:firstLine="420"/>
        <w:rPr>
          <w:rFonts w:cs="Times New Roman"/>
        </w:rPr>
      </w:pPr>
      <w:r>
        <w:rPr>
          <w:rFonts w:cs="Times New Roman"/>
        </w:rPr>
        <w:t>WinneMW1urg R, Baldwin T K, Urban M, et al. PHI-base: a new database for pathogen host interactions.[J]. Nucleic Acids Research, 2006, 34(Database issue):M1G59.</w:t>
      </w:r>
    </w:p>
    <w:sectPr>
      <w:headerReference r:id="rId12" w:type="first"/>
      <w:headerReference r:id="rId11" w:type="default"/>
      <w:footerReference r:id="rId13"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E781B">
    <w:pPr>
      <w:pStyle w:val="12"/>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2C749">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20696">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CC616">
    <w:pPr>
      <w:pStyle w:val="12"/>
      <w:spacing w:before="120" w:after="120"/>
      <w:ind w:firstLine="360"/>
      <w:jc w:val="center"/>
    </w:pPr>
    <w:r>
      <w:rPr>
        <w:rFonts w:hint="eastAsia"/>
      </w:rPr>
      <w:t>第</w:t>
    </w:r>
    <w:sdt>
      <w:sdtPr>
        <w:id w:val="-1052844179"/>
      </w:sdtPr>
      <w:sdtContent>
        <w:r>
          <w:fldChar w:fldCharType="begin"/>
        </w:r>
        <w:r>
          <w:instrText xml:space="preserve">PAGE   \* MERGEFORMAT</w:instrText>
        </w:r>
        <w:r>
          <w:fldChar w:fldCharType="separate"/>
        </w:r>
        <w:r>
          <w:rPr>
            <w:lang w:val="zh-CN"/>
          </w:rPr>
          <w:t>2</w:t>
        </w:r>
        <w:r>
          <w:fldChar w:fldCharType="end"/>
        </w:r>
        <w:r>
          <w:rPr>
            <w:rFonts w:hint="eastAsia"/>
          </w:rPr>
          <w:t>页</w:t>
        </w:r>
      </w:sdtContent>
    </w:sdt>
  </w:p>
  <w:p w14:paraId="6287EE97">
    <w:pPr>
      <w:pStyle w:val="12"/>
      <w:ind w:firstLine="0" w:firstLineChars="0"/>
    </w:pPr>
    <w:r>
      <w:rPr>
        <w:rFonts w:cs="Times New Roman"/>
        <w:b/>
        <w:bCs/>
      </w:rPr>
      <w:drawing>
        <wp:anchor distT="0" distB="0" distL="114300" distR="114300" simplePos="0" relativeHeight="251659264" behindDoc="1" locked="0" layoutInCell="1" allowOverlap="1">
          <wp:simplePos x="0" y="0"/>
          <wp:positionH relativeFrom="page">
            <wp:align>right</wp:align>
          </wp:positionH>
          <wp:positionV relativeFrom="paragraph">
            <wp:posOffset>160020</wp:posOffset>
          </wp:positionV>
          <wp:extent cx="7554595" cy="586105"/>
          <wp:effectExtent l="0" t="0" r="0" b="508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4563" cy="586060"/>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B8CFD">
    <w:pPr>
      <w:pStyle w:val="1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038A7">
    <w:pPr>
      <w:pStyle w:val="13"/>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42850">
    <w:pPr>
      <w:pStyle w:val="1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3E5A1">
    <w:pPr>
      <w:pStyle w:val="13"/>
      <w:pBdr>
        <w:bottom w:val="single" w:color="auto" w:sz="6" w:space="0"/>
      </w:pBdr>
      <w:spacing w:before="100" w:beforeAutospacing="1"/>
      <w:rPr>
        <w:rFonts w:ascii="黑体" w:hAnsi="黑体" w:eastAsia="黑体"/>
        <w:sz w:val="24"/>
        <w:szCs w:val="24"/>
      </w:rPr>
    </w:pPr>
    <w:r>
      <w:rPr>
        <w:rFonts w:ascii="Times New Roman" w:hAnsi="Times New Roman" w:cs="Times New Roman"/>
        <w:szCs w:val="21"/>
      </w:rPr>
      <w:drawing>
        <wp:anchor distT="0" distB="0" distL="114300" distR="114300" simplePos="0" relativeHeight="251660288" behindDoc="1" locked="0" layoutInCell="1" allowOverlap="1">
          <wp:simplePos x="0" y="0"/>
          <wp:positionH relativeFrom="margin">
            <wp:posOffset>-83820</wp:posOffset>
          </wp:positionH>
          <wp:positionV relativeFrom="paragraph">
            <wp:posOffset>-349250</wp:posOffset>
          </wp:positionV>
          <wp:extent cx="841375" cy="535305"/>
          <wp:effectExtent l="0" t="0" r="0" b="0"/>
          <wp:wrapNone/>
          <wp:docPr id="26" name="图片 26" descr="sanshu logo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sanshu logo - 副本"/>
                  <pic:cNvPicPr>
                    <a:picLocks noChangeAspect="1" noChangeArrowheads="1"/>
                  </pic:cNvPicPr>
                </pic:nvPicPr>
                <pic:blipFill>
                  <a:blip r:embed="rId1" cstate="print">
                    <a:extLst>
                      <a:ext uri="{28A0092B-C50C-407E-A947-70E740481C1C}">
                        <a14:useLocalDpi xmlns:a14="http://schemas.microsoft.com/office/drawing/2010/main" val="0"/>
                      </a:ext>
                    </a:extLst>
                  </a:blip>
                  <a:srcRect b="22156"/>
                  <a:stretch>
                    <a:fillRect/>
                  </a:stretch>
                </pic:blipFill>
                <pic:spPr>
                  <a:xfrm>
                    <a:off x="0" y="0"/>
                    <a:ext cx="841086" cy="535594"/>
                  </a:xfrm>
                  <a:prstGeom prst="rect">
                    <a:avLst/>
                  </a:prstGeom>
                  <a:noFill/>
                  <a:ln>
                    <a:noFill/>
                  </a:ln>
                </pic:spPr>
              </pic:pic>
            </a:graphicData>
          </a:graphic>
        </wp:anchor>
      </w:drawing>
    </w:r>
    <w:r>
      <w:rPr>
        <w:rFonts w:ascii="黑体" w:hAnsi="黑体" w:eastAsia="黑体"/>
        <w:sz w:val="16"/>
        <w:szCs w:val="16"/>
      </w:rPr>
      <w:drawing>
        <wp:anchor distT="0" distB="0" distL="114300" distR="114300" simplePos="0" relativeHeight="251661312" behindDoc="1" locked="0" layoutInCell="1" allowOverlap="1">
          <wp:simplePos x="0" y="0"/>
          <wp:positionH relativeFrom="margin">
            <wp:posOffset>4716780</wp:posOffset>
          </wp:positionH>
          <wp:positionV relativeFrom="paragraph">
            <wp:posOffset>-305435</wp:posOffset>
          </wp:positionV>
          <wp:extent cx="539115" cy="486410"/>
          <wp:effectExtent l="0" t="0" r="0" b="8890"/>
          <wp:wrapNone/>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539115" cy="486410"/>
                  </a:xfrm>
                  <a:prstGeom prst="rect">
                    <a:avLst/>
                  </a:prstGeom>
                </pic:spPr>
              </pic:pic>
            </a:graphicData>
          </a:graphic>
        </wp:anchor>
      </w:drawing>
    </w:r>
    <w:r>
      <w:rPr>
        <w:rFonts w:hint="eastAsia" w:ascii="黑体" w:hAnsi="黑体" w:eastAsia="黑体"/>
        <w:sz w:val="24"/>
        <w:szCs w:val="24"/>
      </w:rPr>
      <w:t>宏基因组测序检测报告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7CC75">
    <w:pPr>
      <w:pStyle w:val="13"/>
      <w:rPr>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6A8C8D"/>
    <w:multiLevelType w:val="singleLevel"/>
    <w:tmpl w:val="DC6A8C8D"/>
    <w:lvl w:ilvl="0" w:tentative="0">
      <w:start w:val="11"/>
      <w:numFmt w:val="decimal"/>
      <w:suff w:val="space"/>
      <w:lvlText w:val="%1."/>
      <w:lvlJc w:val="left"/>
    </w:lvl>
  </w:abstractNum>
  <w:abstractNum w:abstractNumId="1">
    <w:nsid w:val="381000F6"/>
    <w:multiLevelType w:val="multilevel"/>
    <w:tmpl w:val="381000F6"/>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YzZmIzMDQxODBjNTE4YWRiOTU3YmFkN2RkODllZjAifQ=="/>
  </w:docVars>
  <w:rsids>
    <w:rsidRoot w:val="00105D63"/>
    <w:rsid w:val="00001461"/>
    <w:rsid w:val="0001626B"/>
    <w:rsid w:val="00016441"/>
    <w:rsid w:val="00020FD3"/>
    <w:rsid w:val="00024268"/>
    <w:rsid w:val="00026419"/>
    <w:rsid w:val="00026656"/>
    <w:rsid w:val="00032118"/>
    <w:rsid w:val="000329F2"/>
    <w:rsid w:val="00032EB2"/>
    <w:rsid w:val="00034492"/>
    <w:rsid w:val="00035918"/>
    <w:rsid w:val="00036DA9"/>
    <w:rsid w:val="00037E36"/>
    <w:rsid w:val="000410BC"/>
    <w:rsid w:val="000413B6"/>
    <w:rsid w:val="00044911"/>
    <w:rsid w:val="00045092"/>
    <w:rsid w:val="00046352"/>
    <w:rsid w:val="0005120E"/>
    <w:rsid w:val="00052F26"/>
    <w:rsid w:val="00054A2D"/>
    <w:rsid w:val="00055464"/>
    <w:rsid w:val="00060B52"/>
    <w:rsid w:val="00061A69"/>
    <w:rsid w:val="0006435B"/>
    <w:rsid w:val="000655E2"/>
    <w:rsid w:val="00067FEB"/>
    <w:rsid w:val="00070E88"/>
    <w:rsid w:val="00074E6C"/>
    <w:rsid w:val="00075446"/>
    <w:rsid w:val="00075543"/>
    <w:rsid w:val="000807A4"/>
    <w:rsid w:val="000816BC"/>
    <w:rsid w:val="00081B89"/>
    <w:rsid w:val="00081BDA"/>
    <w:rsid w:val="00083879"/>
    <w:rsid w:val="00083D14"/>
    <w:rsid w:val="00084259"/>
    <w:rsid w:val="00084739"/>
    <w:rsid w:val="000855E9"/>
    <w:rsid w:val="000904AF"/>
    <w:rsid w:val="000925A7"/>
    <w:rsid w:val="00095AF1"/>
    <w:rsid w:val="00096DA8"/>
    <w:rsid w:val="00096F8A"/>
    <w:rsid w:val="000A1B73"/>
    <w:rsid w:val="000A3A44"/>
    <w:rsid w:val="000A3E9F"/>
    <w:rsid w:val="000B021E"/>
    <w:rsid w:val="000B02E0"/>
    <w:rsid w:val="000B16BA"/>
    <w:rsid w:val="000B3E42"/>
    <w:rsid w:val="000C1381"/>
    <w:rsid w:val="000C271A"/>
    <w:rsid w:val="000C53C5"/>
    <w:rsid w:val="000C7EB0"/>
    <w:rsid w:val="000D1803"/>
    <w:rsid w:val="000D5DCA"/>
    <w:rsid w:val="000E23E4"/>
    <w:rsid w:val="000E71C1"/>
    <w:rsid w:val="000E7214"/>
    <w:rsid w:val="000F3A5C"/>
    <w:rsid w:val="000F3A62"/>
    <w:rsid w:val="000F7B89"/>
    <w:rsid w:val="00102CC6"/>
    <w:rsid w:val="00105D63"/>
    <w:rsid w:val="001069B8"/>
    <w:rsid w:val="00106D09"/>
    <w:rsid w:val="00106E0A"/>
    <w:rsid w:val="00107F00"/>
    <w:rsid w:val="00111144"/>
    <w:rsid w:val="0012353C"/>
    <w:rsid w:val="001238DF"/>
    <w:rsid w:val="00124126"/>
    <w:rsid w:val="001256DE"/>
    <w:rsid w:val="00125C1B"/>
    <w:rsid w:val="001319C9"/>
    <w:rsid w:val="001336E8"/>
    <w:rsid w:val="00140443"/>
    <w:rsid w:val="0014096E"/>
    <w:rsid w:val="00140F37"/>
    <w:rsid w:val="00142B7C"/>
    <w:rsid w:val="00144BA6"/>
    <w:rsid w:val="00145865"/>
    <w:rsid w:val="00145CB0"/>
    <w:rsid w:val="00152AAD"/>
    <w:rsid w:val="001576BE"/>
    <w:rsid w:val="00162C1A"/>
    <w:rsid w:val="00164CB1"/>
    <w:rsid w:val="00170424"/>
    <w:rsid w:val="00170A77"/>
    <w:rsid w:val="00172150"/>
    <w:rsid w:val="0017397C"/>
    <w:rsid w:val="001838F0"/>
    <w:rsid w:val="0018424C"/>
    <w:rsid w:val="00187130"/>
    <w:rsid w:val="00187F20"/>
    <w:rsid w:val="00191088"/>
    <w:rsid w:val="00193747"/>
    <w:rsid w:val="001948C3"/>
    <w:rsid w:val="00196CD0"/>
    <w:rsid w:val="001A09F7"/>
    <w:rsid w:val="001A0C4D"/>
    <w:rsid w:val="001A1B48"/>
    <w:rsid w:val="001A6214"/>
    <w:rsid w:val="001A752B"/>
    <w:rsid w:val="001B0AEC"/>
    <w:rsid w:val="001B2FEA"/>
    <w:rsid w:val="001B3209"/>
    <w:rsid w:val="001B3D03"/>
    <w:rsid w:val="001B63B7"/>
    <w:rsid w:val="001C207B"/>
    <w:rsid w:val="001C5E6E"/>
    <w:rsid w:val="001C6622"/>
    <w:rsid w:val="001D09EC"/>
    <w:rsid w:val="001D14A1"/>
    <w:rsid w:val="001D1C1B"/>
    <w:rsid w:val="001D2B5D"/>
    <w:rsid w:val="001D6D17"/>
    <w:rsid w:val="001D7A6F"/>
    <w:rsid w:val="001E061F"/>
    <w:rsid w:val="001E2275"/>
    <w:rsid w:val="001E2632"/>
    <w:rsid w:val="001E4ABA"/>
    <w:rsid w:val="001E615F"/>
    <w:rsid w:val="001E642C"/>
    <w:rsid w:val="001E6D0C"/>
    <w:rsid w:val="001F20FD"/>
    <w:rsid w:val="001F2ED1"/>
    <w:rsid w:val="001F2F33"/>
    <w:rsid w:val="00206AFA"/>
    <w:rsid w:val="00206F8B"/>
    <w:rsid w:val="00210CF9"/>
    <w:rsid w:val="002114E9"/>
    <w:rsid w:val="002123EC"/>
    <w:rsid w:val="00214802"/>
    <w:rsid w:val="002152F1"/>
    <w:rsid w:val="002239C5"/>
    <w:rsid w:val="00223A11"/>
    <w:rsid w:val="002351CE"/>
    <w:rsid w:val="00237830"/>
    <w:rsid w:val="00240DE1"/>
    <w:rsid w:val="00243175"/>
    <w:rsid w:val="002433BE"/>
    <w:rsid w:val="00246CF3"/>
    <w:rsid w:val="00251CC9"/>
    <w:rsid w:val="002539B1"/>
    <w:rsid w:val="002545C7"/>
    <w:rsid w:val="0025558F"/>
    <w:rsid w:val="00267DFF"/>
    <w:rsid w:val="002701BC"/>
    <w:rsid w:val="002705A2"/>
    <w:rsid w:val="00274830"/>
    <w:rsid w:val="00280374"/>
    <w:rsid w:val="00283037"/>
    <w:rsid w:val="00283285"/>
    <w:rsid w:val="0028448F"/>
    <w:rsid w:val="0029289B"/>
    <w:rsid w:val="00293CDA"/>
    <w:rsid w:val="00293EF0"/>
    <w:rsid w:val="00294CF8"/>
    <w:rsid w:val="002A2FB0"/>
    <w:rsid w:val="002B4A6A"/>
    <w:rsid w:val="002B523A"/>
    <w:rsid w:val="002B7F17"/>
    <w:rsid w:val="002C04BE"/>
    <w:rsid w:val="002C25C2"/>
    <w:rsid w:val="002C2D90"/>
    <w:rsid w:val="002C44D0"/>
    <w:rsid w:val="002C6098"/>
    <w:rsid w:val="002C649B"/>
    <w:rsid w:val="002D1F7F"/>
    <w:rsid w:val="002D4133"/>
    <w:rsid w:val="002D50E6"/>
    <w:rsid w:val="002D6D90"/>
    <w:rsid w:val="002E5093"/>
    <w:rsid w:val="002E5538"/>
    <w:rsid w:val="002F0FB7"/>
    <w:rsid w:val="002F167C"/>
    <w:rsid w:val="00301B11"/>
    <w:rsid w:val="00303351"/>
    <w:rsid w:val="00303D55"/>
    <w:rsid w:val="003070C3"/>
    <w:rsid w:val="00310D8C"/>
    <w:rsid w:val="00311099"/>
    <w:rsid w:val="00313554"/>
    <w:rsid w:val="003159A8"/>
    <w:rsid w:val="00320AD1"/>
    <w:rsid w:val="0033219A"/>
    <w:rsid w:val="00336199"/>
    <w:rsid w:val="0033763F"/>
    <w:rsid w:val="00337675"/>
    <w:rsid w:val="003421D7"/>
    <w:rsid w:val="00342832"/>
    <w:rsid w:val="00342DDF"/>
    <w:rsid w:val="00343818"/>
    <w:rsid w:val="00345744"/>
    <w:rsid w:val="00346E39"/>
    <w:rsid w:val="00351E55"/>
    <w:rsid w:val="00352025"/>
    <w:rsid w:val="003549F6"/>
    <w:rsid w:val="00355CFF"/>
    <w:rsid w:val="0035729E"/>
    <w:rsid w:val="00357704"/>
    <w:rsid w:val="003608F6"/>
    <w:rsid w:val="0036126E"/>
    <w:rsid w:val="0036211C"/>
    <w:rsid w:val="00364E68"/>
    <w:rsid w:val="00364F21"/>
    <w:rsid w:val="00366198"/>
    <w:rsid w:val="0037246D"/>
    <w:rsid w:val="0037346C"/>
    <w:rsid w:val="00374AE5"/>
    <w:rsid w:val="0037615B"/>
    <w:rsid w:val="003778E9"/>
    <w:rsid w:val="00380ED4"/>
    <w:rsid w:val="003843DC"/>
    <w:rsid w:val="00387419"/>
    <w:rsid w:val="00391FE9"/>
    <w:rsid w:val="003921AD"/>
    <w:rsid w:val="00394299"/>
    <w:rsid w:val="0039497E"/>
    <w:rsid w:val="00394D9B"/>
    <w:rsid w:val="00395801"/>
    <w:rsid w:val="003967E9"/>
    <w:rsid w:val="00397994"/>
    <w:rsid w:val="003A08C5"/>
    <w:rsid w:val="003A26EF"/>
    <w:rsid w:val="003A6025"/>
    <w:rsid w:val="003A6F8E"/>
    <w:rsid w:val="003B7FCD"/>
    <w:rsid w:val="003C1651"/>
    <w:rsid w:val="003C1832"/>
    <w:rsid w:val="003C1B24"/>
    <w:rsid w:val="003C22EA"/>
    <w:rsid w:val="003C2BF1"/>
    <w:rsid w:val="003D100F"/>
    <w:rsid w:val="003D4CD4"/>
    <w:rsid w:val="003D5BF7"/>
    <w:rsid w:val="003D736A"/>
    <w:rsid w:val="003D7E18"/>
    <w:rsid w:val="003E4FE3"/>
    <w:rsid w:val="003E5A7C"/>
    <w:rsid w:val="003E6A1C"/>
    <w:rsid w:val="003F121F"/>
    <w:rsid w:val="003F29EB"/>
    <w:rsid w:val="003F2E73"/>
    <w:rsid w:val="003F2E8A"/>
    <w:rsid w:val="003F4574"/>
    <w:rsid w:val="00411079"/>
    <w:rsid w:val="00411103"/>
    <w:rsid w:val="00411BA2"/>
    <w:rsid w:val="00412E57"/>
    <w:rsid w:val="00416E0F"/>
    <w:rsid w:val="0041788E"/>
    <w:rsid w:val="00421FBE"/>
    <w:rsid w:val="00422624"/>
    <w:rsid w:val="00425A43"/>
    <w:rsid w:val="0043024A"/>
    <w:rsid w:val="00430E57"/>
    <w:rsid w:val="00431144"/>
    <w:rsid w:val="004328B6"/>
    <w:rsid w:val="004333DD"/>
    <w:rsid w:val="00437406"/>
    <w:rsid w:val="004472E6"/>
    <w:rsid w:val="00451CEB"/>
    <w:rsid w:val="00453E01"/>
    <w:rsid w:val="00457934"/>
    <w:rsid w:val="004601D4"/>
    <w:rsid w:val="004611A8"/>
    <w:rsid w:val="00462359"/>
    <w:rsid w:val="00464329"/>
    <w:rsid w:val="00465A85"/>
    <w:rsid w:val="00466BDD"/>
    <w:rsid w:val="00467862"/>
    <w:rsid w:val="00467A74"/>
    <w:rsid w:val="00470330"/>
    <w:rsid w:val="004715A0"/>
    <w:rsid w:val="00473A20"/>
    <w:rsid w:val="00487F39"/>
    <w:rsid w:val="00490DD1"/>
    <w:rsid w:val="00491525"/>
    <w:rsid w:val="00493F5A"/>
    <w:rsid w:val="004949CA"/>
    <w:rsid w:val="00496257"/>
    <w:rsid w:val="004A1306"/>
    <w:rsid w:val="004A14A0"/>
    <w:rsid w:val="004A1C65"/>
    <w:rsid w:val="004A441E"/>
    <w:rsid w:val="004A5727"/>
    <w:rsid w:val="004A6A4E"/>
    <w:rsid w:val="004B240A"/>
    <w:rsid w:val="004B6232"/>
    <w:rsid w:val="004B7427"/>
    <w:rsid w:val="004C061D"/>
    <w:rsid w:val="004C3296"/>
    <w:rsid w:val="004C3ADC"/>
    <w:rsid w:val="004C4B84"/>
    <w:rsid w:val="004C500F"/>
    <w:rsid w:val="004C5078"/>
    <w:rsid w:val="004D5452"/>
    <w:rsid w:val="004D6374"/>
    <w:rsid w:val="004E0409"/>
    <w:rsid w:val="004E1701"/>
    <w:rsid w:val="004E7343"/>
    <w:rsid w:val="004F12EF"/>
    <w:rsid w:val="004F2EF1"/>
    <w:rsid w:val="004F3718"/>
    <w:rsid w:val="004F3EEE"/>
    <w:rsid w:val="004F4A99"/>
    <w:rsid w:val="004F60DC"/>
    <w:rsid w:val="004F758A"/>
    <w:rsid w:val="0050262F"/>
    <w:rsid w:val="00506DB7"/>
    <w:rsid w:val="005124C4"/>
    <w:rsid w:val="00514E0A"/>
    <w:rsid w:val="00520DA8"/>
    <w:rsid w:val="00521462"/>
    <w:rsid w:val="005228E4"/>
    <w:rsid w:val="0052644B"/>
    <w:rsid w:val="005269EC"/>
    <w:rsid w:val="005272BF"/>
    <w:rsid w:val="00530ADF"/>
    <w:rsid w:val="00531BDC"/>
    <w:rsid w:val="005323D2"/>
    <w:rsid w:val="005337F0"/>
    <w:rsid w:val="0053397D"/>
    <w:rsid w:val="00535616"/>
    <w:rsid w:val="005356BA"/>
    <w:rsid w:val="00537837"/>
    <w:rsid w:val="005403DA"/>
    <w:rsid w:val="00541C26"/>
    <w:rsid w:val="0054242A"/>
    <w:rsid w:val="0054245C"/>
    <w:rsid w:val="005462D2"/>
    <w:rsid w:val="00547DCA"/>
    <w:rsid w:val="00550CDB"/>
    <w:rsid w:val="00557C4E"/>
    <w:rsid w:val="005606E9"/>
    <w:rsid w:val="00561A51"/>
    <w:rsid w:val="00563587"/>
    <w:rsid w:val="005658BA"/>
    <w:rsid w:val="00566FEC"/>
    <w:rsid w:val="005746FC"/>
    <w:rsid w:val="00575B91"/>
    <w:rsid w:val="005802CE"/>
    <w:rsid w:val="00580AE7"/>
    <w:rsid w:val="00584136"/>
    <w:rsid w:val="005867A0"/>
    <w:rsid w:val="00587EBC"/>
    <w:rsid w:val="0059072D"/>
    <w:rsid w:val="00591FBF"/>
    <w:rsid w:val="00593511"/>
    <w:rsid w:val="00594625"/>
    <w:rsid w:val="005A2F0B"/>
    <w:rsid w:val="005A7888"/>
    <w:rsid w:val="005B2A5C"/>
    <w:rsid w:val="005B3C07"/>
    <w:rsid w:val="005C5B59"/>
    <w:rsid w:val="005C6FB4"/>
    <w:rsid w:val="005C7A14"/>
    <w:rsid w:val="005D05E7"/>
    <w:rsid w:val="005D447C"/>
    <w:rsid w:val="005D4E6E"/>
    <w:rsid w:val="005D704C"/>
    <w:rsid w:val="005E15CD"/>
    <w:rsid w:val="005E4E46"/>
    <w:rsid w:val="005E683F"/>
    <w:rsid w:val="005E72FB"/>
    <w:rsid w:val="005E7BE7"/>
    <w:rsid w:val="005F014D"/>
    <w:rsid w:val="005F1B70"/>
    <w:rsid w:val="005F446E"/>
    <w:rsid w:val="005F4F36"/>
    <w:rsid w:val="005F580D"/>
    <w:rsid w:val="00600CFA"/>
    <w:rsid w:val="00600E4C"/>
    <w:rsid w:val="006022BE"/>
    <w:rsid w:val="0060231C"/>
    <w:rsid w:val="00603548"/>
    <w:rsid w:val="00607FEA"/>
    <w:rsid w:val="00610ECE"/>
    <w:rsid w:val="0061385B"/>
    <w:rsid w:val="00614D5A"/>
    <w:rsid w:val="00614D77"/>
    <w:rsid w:val="0062086D"/>
    <w:rsid w:val="00621462"/>
    <w:rsid w:val="00622F90"/>
    <w:rsid w:val="006248B1"/>
    <w:rsid w:val="0062750E"/>
    <w:rsid w:val="0064387F"/>
    <w:rsid w:val="0064497E"/>
    <w:rsid w:val="00650D0C"/>
    <w:rsid w:val="0065231D"/>
    <w:rsid w:val="00653C13"/>
    <w:rsid w:val="00660EAA"/>
    <w:rsid w:val="006622E0"/>
    <w:rsid w:val="00662701"/>
    <w:rsid w:val="00662DF1"/>
    <w:rsid w:val="0066359F"/>
    <w:rsid w:val="00666D40"/>
    <w:rsid w:val="00666DFF"/>
    <w:rsid w:val="006674EE"/>
    <w:rsid w:val="006679B4"/>
    <w:rsid w:val="006708FD"/>
    <w:rsid w:val="006713BC"/>
    <w:rsid w:val="00672225"/>
    <w:rsid w:val="00672B0E"/>
    <w:rsid w:val="0067312F"/>
    <w:rsid w:val="00673634"/>
    <w:rsid w:val="006768E2"/>
    <w:rsid w:val="006773D7"/>
    <w:rsid w:val="00681410"/>
    <w:rsid w:val="00683B1A"/>
    <w:rsid w:val="00690058"/>
    <w:rsid w:val="0069608A"/>
    <w:rsid w:val="006975CB"/>
    <w:rsid w:val="006A0016"/>
    <w:rsid w:val="006A1FEA"/>
    <w:rsid w:val="006A4D7A"/>
    <w:rsid w:val="006B245A"/>
    <w:rsid w:val="006C0BF8"/>
    <w:rsid w:val="006C2F17"/>
    <w:rsid w:val="006C482B"/>
    <w:rsid w:val="006C501A"/>
    <w:rsid w:val="006C5FCC"/>
    <w:rsid w:val="006D0978"/>
    <w:rsid w:val="006D0CAD"/>
    <w:rsid w:val="006D1A7B"/>
    <w:rsid w:val="006D1F93"/>
    <w:rsid w:val="006D2FD8"/>
    <w:rsid w:val="006D3600"/>
    <w:rsid w:val="006D40F4"/>
    <w:rsid w:val="006D509C"/>
    <w:rsid w:val="006D654E"/>
    <w:rsid w:val="006E11D5"/>
    <w:rsid w:val="006E1C76"/>
    <w:rsid w:val="006E3D6C"/>
    <w:rsid w:val="006F1FE1"/>
    <w:rsid w:val="006F285A"/>
    <w:rsid w:val="006F4E63"/>
    <w:rsid w:val="006F61EA"/>
    <w:rsid w:val="006F7BDF"/>
    <w:rsid w:val="00703F2A"/>
    <w:rsid w:val="00707371"/>
    <w:rsid w:val="00707C2B"/>
    <w:rsid w:val="007105CC"/>
    <w:rsid w:val="00720E8F"/>
    <w:rsid w:val="00725619"/>
    <w:rsid w:val="00726A65"/>
    <w:rsid w:val="00727933"/>
    <w:rsid w:val="00727C5D"/>
    <w:rsid w:val="00730519"/>
    <w:rsid w:val="0073078C"/>
    <w:rsid w:val="00731353"/>
    <w:rsid w:val="00736BB0"/>
    <w:rsid w:val="0073773E"/>
    <w:rsid w:val="0074293F"/>
    <w:rsid w:val="0074471E"/>
    <w:rsid w:val="00744CF2"/>
    <w:rsid w:val="007460CA"/>
    <w:rsid w:val="00747302"/>
    <w:rsid w:val="00747EEF"/>
    <w:rsid w:val="007511E3"/>
    <w:rsid w:val="0075152E"/>
    <w:rsid w:val="0075402D"/>
    <w:rsid w:val="007550DA"/>
    <w:rsid w:val="00756D9E"/>
    <w:rsid w:val="00760614"/>
    <w:rsid w:val="00760929"/>
    <w:rsid w:val="00762971"/>
    <w:rsid w:val="0077142A"/>
    <w:rsid w:val="00774698"/>
    <w:rsid w:val="0077699C"/>
    <w:rsid w:val="00781154"/>
    <w:rsid w:val="007823B4"/>
    <w:rsid w:val="0078698F"/>
    <w:rsid w:val="00790B21"/>
    <w:rsid w:val="00790C1C"/>
    <w:rsid w:val="00792FA8"/>
    <w:rsid w:val="00793A4C"/>
    <w:rsid w:val="00794EE8"/>
    <w:rsid w:val="007A0A19"/>
    <w:rsid w:val="007A59F2"/>
    <w:rsid w:val="007B0C21"/>
    <w:rsid w:val="007B11E0"/>
    <w:rsid w:val="007B182A"/>
    <w:rsid w:val="007B2AB9"/>
    <w:rsid w:val="007C27D0"/>
    <w:rsid w:val="007C3DC7"/>
    <w:rsid w:val="007C45B3"/>
    <w:rsid w:val="007C6299"/>
    <w:rsid w:val="007C6313"/>
    <w:rsid w:val="007C68A0"/>
    <w:rsid w:val="007C6EF1"/>
    <w:rsid w:val="007C7AF1"/>
    <w:rsid w:val="007D05BD"/>
    <w:rsid w:val="007D3C86"/>
    <w:rsid w:val="007D3D18"/>
    <w:rsid w:val="007D7F5A"/>
    <w:rsid w:val="007E501E"/>
    <w:rsid w:val="007E69FC"/>
    <w:rsid w:val="007F3B50"/>
    <w:rsid w:val="007F3F00"/>
    <w:rsid w:val="007F4F00"/>
    <w:rsid w:val="007F7514"/>
    <w:rsid w:val="0080056A"/>
    <w:rsid w:val="00801657"/>
    <w:rsid w:val="00810924"/>
    <w:rsid w:val="00813567"/>
    <w:rsid w:val="0081537C"/>
    <w:rsid w:val="008311A7"/>
    <w:rsid w:val="0083164B"/>
    <w:rsid w:val="00834776"/>
    <w:rsid w:val="00836F3D"/>
    <w:rsid w:val="008379DD"/>
    <w:rsid w:val="0084016B"/>
    <w:rsid w:val="00843CF1"/>
    <w:rsid w:val="00845CBA"/>
    <w:rsid w:val="00845DA3"/>
    <w:rsid w:val="0084684C"/>
    <w:rsid w:val="00851A0C"/>
    <w:rsid w:val="00852DD1"/>
    <w:rsid w:val="0085470A"/>
    <w:rsid w:val="00857E9F"/>
    <w:rsid w:val="008626A2"/>
    <w:rsid w:val="00863092"/>
    <w:rsid w:val="00866168"/>
    <w:rsid w:val="00867EEC"/>
    <w:rsid w:val="00873E54"/>
    <w:rsid w:val="00875C31"/>
    <w:rsid w:val="008802B2"/>
    <w:rsid w:val="0088145B"/>
    <w:rsid w:val="008865E8"/>
    <w:rsid w:val="00886800"/>
    <w:rsid w:val="00895404"/>
    <w:rsid w:val="00895F18"/>
    <w:rsid w:val="008961F0"/>
    <w:rsid w:val="00896528"/>
    <w:rsid w:val="008A0869"/>
    <w:rsid w:val="008A2C3B"/>
    <w:rsid w:val="008A5552"/>
    <w:rsid w:val="008A7448"/>
    <w:rsid w:val="008A7D51"/>
    <w:rsid w:val="008A7E31"/>
    <w:rsid w:val="008B053D"/>
    <w:rsid w:val="008B2BE3"/>
    <w:rsid w:val="008B43F2"/>
    <w:rsid w:val="008B4FAE"/>
    <w:rsid w:val="008B5034"/>
    <w:rsid w:val="008C2758"/>
    <w:rsid w:val="008C3203"/>
    <w:rsid w:val="008C3A67"/>
    <w:rsid w:val="008C3F95"/>
    <w:rsid w:val="008C4B2A"/>
    <w:rsid w:val="008C5A43"/>
    <w:rsid w:val="008C6680"/>
    <w:rsid w:val="008D07CF"/>
    <w:rsid w:val="008D312E"/>
    <w:rsid w:val="008D4BA4"/>
    <w:rsid w:val="008D7150"/>
    <w:rsid w:val="008E02AD"/>
    <w:rsid w:val="008E4086"/>
    <w:rsid w:val="008E4449"/>
    <w:rsid w:val="008E5FC9"/>
    <w:rsid w:val="008F0DD6"/>
    <w:rsid w:val="008F2112"/>
    <w:rsid w:val="008F53E7"/>
    <w:rsid w:val="008F76C9"/>
    <w:rsid w:val="008F793F"/>
    <w:rsid w:val="008F7BB9"/>
    <w:rsid w:val="009002A8"/>
    <w:rsid w:val="009021D4"/>
    <w:rsid w:val="00902223"/>
    <w:rsid w:val="00904D36"/>
    <w:rsid w:val="00907035"/>
    <w:rsid w:val="00907705"/>
    <w:rsid w:val="0090779F"/>
    <w:rsid w:val="00907F6B"/>
    <w:rsid w:val="00914038"/>
    <w:rsid w:val="00914E9E"/>
    <w:rsid w:val="00915D2E"/>
    <w:rsid w:val="00921106"/>
    <w:rsid w:val="009211B9"/>
    <w:rsid w:val="00921C7B"/>
    <w:rsid w:val="00925A17"/>
    <w:rsid w:val="00927500"/>
    <w:rsid w:val="009278B1"/>
    <w:rsid w:val="0093225D"/>
    <w:rsid w:val="0093277C"/>
    <w:rsid w:val="009334BA"/>
    <w:rsid w:val="00933EA3"/>
    <w:rsid w:val="00934152"/>
    <w:rsid w:val="00944254"/>
    <w:rsid w:val="00946C4C"/>
    <w:rsid w:val="00950AFB"/>
    <w:rsid w:val="00952426"/>
    <w:rsid w:val="009548AE"/>
    <w:rsid w:val="00955248"/>
    <w:rsid w:val="009629ED"/>
    <w:rsid w:val="00964440"/>
    <w:rsid w:val="009652F4"/>
    <w:rsid w:val="00967A26"/>
    <w:rsid w:val="00967E64"/>
    <w:rsid w:val="0097512B"/>
    <w:rsid w:val="00975C7B"/>
    <w:rsid w:val="00980868"/>
    <w:rsid w:val="00982B9A"/>
    <w:rsid w:val="00984B35"/>
    <w:rsid w:val="00984FA8"/>
    <w:rsid w:val="009875A7"/>
    <w:rsid w:val="009876C9"/>
    <w:rsid w:val="00993247"/>
    <w:rsid w:val="00994FBA"/>
    <w:rsid w:val="00995477"/>
    <w:rsid w:val="00995C5C"/>
    <w:rsid w:val="00995E88"/>
    <w:rsid w:val="009A0215"/>
    <w:rsid w:val="009A0CC6"/>
    <w:rsid w:val="009A4C02"/>
    <w:rsid w:val="009A5094"/>
    <w:rsid w:val="009A532F"/>
    <w:rsid w:val="009B1E2D"/>
    <w:rsid w:val="009B38F3"/>
    <w:rsid w:val="009B391A"/>
    <w:rsid w:val="009B4582"/>
    <w:rsid w:val="009B4818"/>
    <w:rsid w:val="009C50FB"/>
    <w:rsid w:val="009D0028"/>
    <w:rsid w:val="009D6D8D"/>
    <w:rsid w:val="009D7FB4"/>
    <w:rsid w:val="009E1DC3"/>
    <w:rsid w:val="009E1EBA"/>
    <w:rsid w:val="009E2AAD"/>
    <w:rsid w:val="009E34EC"/>
    <w:rsid w:val="009E3814"/>
    <w:rsid w:val="009E4B19"/>
    <w:rsid w:val="009E4E35"/>
    <w:rsid w:val="009F1209"/>
    <w:rsid w:val="009F26B9"/>
    <w:rsid w:val="00A0228B"/>
    <w:rsid w:val="00A03774"/>
    <w:rsid w:val="00A03D6A"/>
    <w:rsid w:val="00A06432"/>
    <w:rsid w:val="00A0664F"/>
    <w:rsid w:val="00A066E5"/>
    <w:rsid w:val="00A108D5"/>
    <w:rsid w:val="00A113D0"/>
    <w:rsid w:val="00A12291"/>
    <w:rsid w:val="00A1252E"/>
    <w:rsid w:val="00A125F1"/>
    <w:rsid w:val="00A1389C"/>
    <w:rsid w:val="00A21F7B"/>
    <w:rsid w:val="00A22342"/>
    <w:rsid w:val="00A23E31"/>
    <w:rsid w:val="00A26DF5"/>
    <w:rsid w:val="00A31385"/>
    <w:rsid w:val="00A32A7E"/>
    <w:rsid w:val="00A420F1"/>
    <w:rsid w:val="00A4447A"/>
    <w:rsid w:val="00A47759"/>
    <w:rsid w:val="00A502F1"/>
    <w:rsid w:val="00A52242"/>
    <w:rsid w:val="00A52525"/>
    <w:rsid w:val="00A53839"/>
    <w:rsid w:val="00A55CF7"/>
    <w:rsid w:val="00A5719B"/>
    <w:rsid w:val="00A577C5"/>
    <w:rsid w:val="00A62959"/>
    <w:rsid w:val="00A640B4"/>
    <w:rsid w:val="00A653B9"/>
    <w:rsid w:val="00A7169C"/>
    <w:rsid w:val="00A72468"/>
    <w:rsid w:val="00A737FC"/>
    <w:rsid w:val="00A73CEA"/>
    <w:rsid w:val="00A75349"/>
    <w:rsid w:val="00A75711"/>
    <w:rsid w:val="00A76263"/>
    <w:rsid w:val="00A76E33"/>
    <w:rsid w:val="00A873B5"/>
    <w:rsid w:val="00A87BFF"/>
    <w:rsid w:val="00A92D31"/>
    <w:rsid w:val="00AA0F7C"/>
    <w:rsid w:val="00AA4537"/>
    <w:rsid w:val="00AA60A2"/>
    <w:rsid w:val="00AB0DD4"/>
    <w:rsid w:val="00AB164E"/>
    <w:rsid w:val="00AB2FFC"/>
    <w:rsid w:val="00AB3D01"/>
    <w:rsid w:val="00AB416E"/>
    <w:rsid w:val="00AC22DB"/>
    <w:rsid w:val="00AC2894"/>
    <w:rsid w:val="00AC6DB7"/>
    <w:rsid w:val="00AC7139"/>
    <w:rsid w:val="00AD0F3F"/>
    <w:rsid w:val="00AD18A3"/>
    <w:rsid w:val="00AD32C1"/>
    <w:rsid w:val="00AD3455"/>
    <w:rsid w:val="00AD374A"/>
    <w:rsid w:val="00AD541F"/>
    <w:rsid w:val="00AD781C"/>
    <w:rsid w:val="00AD793C"/>
    <w:rsid w:val="00AE3715"/>
    <w:rsid w:val="00AE546F"/>
    <w:rsid w:val="00AE55F7"/>
    <w:rsid w:val="00AE79DF"/>
    <w:rsid w:val="00AF0ADB"/>
    <w:rsid w:val="00AF200F"/>
    <w:rsid w:val="00AF3A78"/>
    <w:rsid w:val="00B11915"/>
    <w:rsid w:val="00B1337D"/>
    <w:rsid w:val="00B16399"/>
    <w:rsid w:val="00B20186"/>
    <w:rsid w:val="00B210D7"/>
    <w:rsid w:val="00B21ADB"/>
    <w:rsid w:val="00B2536F"/>
    <w:rsid w:val="00B255CB"/>
    <w:rsid w:val="00B27F5C"/>
    <w:rsid w:val="00B3288D"/>
    <w:rsid w:val="00B33CFF"/>
    <w:rsid w:val="00B33E30"/>
    <w:rsid w:val="00B345F3"/>
    <w:rsid w:val="00B3550C"/>
    <w:rsid w:val="00B35C49"/>
    <w:rsid w:val="00B36E85"/>
    <w:rsid w:val="00B411A5"/>
    <w:rsid w:val="00B508D4"/>
    <w:rsid w:val="00B542B2"/>
    <w:rsid w:val="00B566B2"/>
    <w:rsid w:val="00B60B3B"/>
    <w:rsid w:val="00B61C32"/>
    <w:rsid w:val="00B66218"/>
    <w:rsid w:val="00B75807"/>
    <w:rsid w:val="00B7609F"/>
    <w:rsid w:val="00B802A5"/>
    <w:rsid w:val="00B80EA2"/>
    <w:rsid w:val="00B851C3"/>
    <w:rsid w:val="00B86907"/>
    <w:rsid w:val="00B90597"/>
    <w:rsid w:val="00B94DDF"/>
    <w:rsid w:val="00B969C0"/>
    <w:rsid w:val="00B96E8B"/>
    <w:rsid w:val="00B9769E"/>
    <w:rsid w:val="00BA286E"/>
    <w:rsid w:val="00BA51A2"/>
    <w:rsid w:val="00BA52D5"/>
    <w:rsid w:val="00BB005D"/>
    <w:rsid w:val="00BB7435"/>
    <w:rsid w:val="00BC173D"/>
    <w:rsid w:val="00BC3DB8"/>
    <w:rsid w:val="00BC4CC9"/>
    <w:rsid w:val="00BC7A6D"/>
    <w:rsid w:val="00BD0504"/>
    <w:rsid w:val="00BD2D3F"/>
    <w:rsid w:val="00BE0E4A"/>
    <w:rsid w:val="00BE6CC6"/>
    <w:rsid w:val="00BF11FF"/>
    <w:rsid w:val="00BF1AFB"/>
    <w:rsid w:val="00BF1B4C"/>
    <w:rsid w:val="00BF2660"/>
    <w:rsid w:val="00BF4528"/>
    <w:rsid w:val="00BF74A6"/>
    <w:rsid w:val="00C00F06"/>
    <w:rsid w:val="00C078A7"/>
    <w:rsid w:val="00C07EE0"/>
    <w:rsid w:val="00C162A3"/>
    <w:rsid w:val="00C2016B"/>
    <w:rsid w:val="00C25CFE"/>
    <w:rsid w:val="00C27336"/>
    <w:rsid w:val="00C3465F"/>
    <w:rsid w:val="00C35766"/>
    <w:rsid w:val="00C3754B"/>
    <w:rsid w:val="00C41F92"/>
    <w:rsid w:val="00C447ED"/>
    <w:rsid w:val="00C47A72"/>
    <w:rsid w:val="00C52BFE"/>
    <w:rsid w:val="00C57E2A"/>
    <w:rsid w:val="00C65CFB"/>
    <w:rsid w:val="00C667CB"/>
    <w:rsid w:val="00C66A0D"/>
    <w:rsid w:val="00C720EC"/>
    <w:rsid w:val="00C721EB"/>
    <w:rsid w:val="00C7734D"/>
    <w:rsid w:val="00C80F3A"/>
    <w:rsid w:val="00C822B4"/>
    <w:rsid w:val="00C8530B"/>
    <w:rsid w:val="00C85B39"/>
    <w:rsid w:val="00C87847"/>
    <w:rsid w:val="00C90763"/>
    <w:rsid w:val="00C91B57"/>
    <w:rsid w:val="00CA0438"/>
    <w:rsid w:val="00CA08DA"/>
    <w:rsid w:val="00CA139D"/>
    <w:rsid w:val="00CA1663"/>
    <w:rsid w:val="00CA213A"/>
    <w:rsid w:val="00CA3C67"/>
    <w:rsid w:val="00CA488E"/>
    <w:rsid w:val="00CB0E50"/>
    <w:rsid w:val="00CB1F6E"/>
    <w:rsid w:val="00CB5B91"/>
    <w:rsid w:val="00CB6800"/>
    <w:rsid w:val="00CB6BA4"/>
    <w:rsid w:val="00CB784A"/>
    <w:rsid w:val="00CC3F13"/>
    <w:rsid w:val="00CC60B8"/>
    <w:rsid w:val="00CC7514"/>
    <w:rsid w:val="00CC79D1"/>
    <w:rsid w:val="00CD003E"/>
    <w:rsid w:val="00CD0D85"/>
    <w:rsid w:val="00CD5BB6"/>
    <w:rsid w:val="00CD7039"/>
    <w:rsid w:val="00CE004E"/>
    <w:rsid w:val="00CE020A"/>
    <w:rsid w:val="00CE41B8"/>
    <w:rsid w:val="00CE4DEA"/>
    <w:rsid w:val="00CE5455"/>
    <w:rsid w:val="00CE649C"/>
    <w:rsid w:val="00CE7DA9"/>
    <w:rsid w:val="00CF258B"/>
    <w:rsid w:val="00CF330D"/>
    <w:rsid w:val="00D01FA7"/>
    <w:rsid w:val="00D02B8B"/>
    <w:rsid w:val="00D04F90"/>
    <w:rsid w:val="00D05EE3"/>
    <w:rsid w:val="00D068F6"/>
    <w:rsid w:val="00D10A43"/>
    <w:rsid w:val="00D146A9"/>
    <w:rsid w:val="00D15938"/>
    <w:rsid w:val="00D17C21"/>
    <w:rsid w:val="00D17C54"/>
    <w:rsid w:val="00D224E2"/>
    <w:rsid w:val="00D23A89"/>
    <w:rsid w:val="00D26E60"/>
    <w:rsid w:val="00D274F9"/>
    <w:rsid w:val="00D34222"/>
    <w:rsid w:val="00D4024F"/>
    <w:rsid w:val="00D4213D"/>
    <w:rsid w:val="00D4222A"/>
    <w:rsid w:val="00D43FBE"/>
    <w:rsid w:val="00D464AC"/>
    <w:rsid w:val="00D520DB"/>
    <w:rsid w:val="00D53BB0"/>
    <w:rsid w:val="00D54061"/>
    <w:rsid w:val="00D55947"/>
    <w:rsid w:val="00D55A39"/>
    <w:rsid w:val="00D55D9F"/>
    <w:rsid w:val="00D57399"/>
    <w:rsid w:val="00D607F9"/>
    <w:rsid w:val="00D608DF"/>
    <w:rsid w:val="00D60F39"/>
    <w:rsid w:val="00D616C4"/>
    <w:rsid w:val="00D61702"/>
    <w:rsid w:val="00D658D3"/>
    <w:rsid w:val="00D70E32"/>
    <w:rsid w:val="00D83CE7"/>
    <w:rsid w:val="00D871BC"/>
    <w:rsid w:val="00D92F28"/>
    <w:rsid w:val="00D9596E"/>
    <w:rsid w:val="00D96DED"/>
    <w:rsid w:val="00DA42C9"/>
    <w:rsid w:val="00DA55C0"/>
    <w:rsid w:val="00DA6578"/>
    <w:rsid w:val="00DB2B0F"/>
    <w:rsid w:val="00DB51D5"/>
    <w:rsid w:val="00DC067A"/>
    <w:rsid w:val="00DC0D0B"/>
    <w:rsid w:val="00DC5520"/>
    <w:rsid w:val="00DD2D63"/>
    <w:rsid w:val="00DD2EE3"/>
    <w:rsid w:val="00DD5391"/>
    <w:rsid w:val="00DE07E6"/>
    <w:rsid w:val="00DE0BFD"/>
    <w:rsid w:val="00DE1269"/>
    <w:rsid w:val="00DE21F4"/>
    <w:rsid w:val="00DE29CA"/>
    <w:rsid w:val="00DF1358"/>
    <w:rsid w:val="00DF27D2"/>
    <w:rsid w:val="00DF3316"/>
    <w:rsid w:val="00E03641"/>
    <w:rsid w:val="00E10123"/>
    <w:rsid w:val="00E10E3C"/>
    <w:rsid w:val="00E1199C"/>
    <w:rsid w:val="00E15217"/>
    <w:rsid w:val="00E154C2"/>
    <w:rsid w:val="00E20522"/>
    <w:rsid w:val="00E2351C"/>
    <w:rsid w:val="00E23ADB"/>
    <w:rsid w:val="00E25CBD"/>
    <w:rsid w:val="00E32EFF"/>
    <w:rsid w:val="00E41F1F"/>
    <w:rsid w:val="00E425B1"/>
    <w:rsid w:val="00E50CFC"/>
    <w:rsid w:val="00E52AA0"/>
    <w:rsid w:val="00E53C01"/>
    <w:rsid w:val="00E57445"/>
    <w:rsid w:val="00E611C1"/>
    <w:rsid w:val="00E66544"/>
    <w:rsid w:val="00E75DC3"/>
    <w:rsid w:val="00E767DA"/>
    <w:rsid w:val="00E77017"/>
    <w:rsid w:val="00E8139F"/>
    <w:rsid w:val="00E81A04"/>
    <w:rsid w:val="00E81B75"/>
    <w:rsid w:val="00E93BBE"/>
    <w:rsid w:val="00E95616"/>
    <w:rsid w:val="00E95640"/>
    <w:rsid w:val="00E97515"/>
    <w:rsid w:val="00EA00C1"/>
    <w:rsid w:val="00EA48D6"/>
    <w:rsid w:val="00EA5A52"/>
    <w:rsid w:val="00EB2494"/>
    <w:rsid w:val="00EB36B9"/>
    <w:rsid w:val="00EB3976"/>
    <w:rsid w:val="00EB63D2"/>
    <w:rsid w:val="00EB7171"/>
    <w:rsid w:val="00EB72DE"/>
    <w:rsid w:val="00EC2FA6"/>
    <w:rsid w:val="00EC4F4C"/>
    <w:rsid w:val="00EC52D7"/>
    <w:rsid w:val="00ED0F7C"/>
    <w:rsid w:val="00ED6752"/>
    <w:rsid w:val="00EE312E"/>
    <w:rsid w:val="00EE38C7"/>
    <w:rsid w:val="00EE5E13"/>
    <w:rsid w:val="00EE6780"/>
    <w:rsid w:val="00EF0CDB"/>
    <w:rsid w:val="00EF2B5B"/>
    <w:rsid w:val="00EF39E4"/>
    <w:rsid w:val="00EF476E"/>
    <w:rsid w:val="00F043FD"/>
    <w:rsid w:val="00F05CFF"/>
    <w:rsid w:val="00F064DA"/>
    <w:rsid w:val="00F16DB9"/>
    <w:rsid w:val="00F20812"/>
    <w:rsid w:val="00F247B4"/>
    <w:rsid w:val="00F24EDB"/>
    <w:rsid w:val="00F25520"/>
    <w:rsid w:val="00F25DE9"/>
    <w:rsid w:val="00F31845"/>
    <w:rsid w:val="00F33AA7"/>
    <w:rsid w:val="00F36202"/>
    <w:rsid w:val="00F435FC"/>
    <w:rsid w:val="00F44AD8"/>
    <w:rsid w:val="00F46591"/>
    <w:rsid w:val="00F52490"/>
    <w:rsid w:val="00F52D47"/>
    <w:rsid w:val="00F5364E"/>
    <w:rsid w:val="00F5770D"/>
    <w:rsid w:val="00F57C81"/>
    <w:rsid w:val="00F62EA3"/>
    <w:rsid w:val="00F66411"/>
    <w:rsid w:val="00F6729E"/>
    <w:rsid w:val="00F7063B"/>
    <w:rsid w:val="00F713B9"/>
    <w:rsid w:val="00F759CC"/>
    <w:rsid w:val="00F97B8A"/>
    <w:rsid w:val="00FA22C7"/>
    <w:rsid w:val="00FA279D"/>
    <w:rsid w:val="00FA46A5"/>
    <w:rsid w:val="00FA639B"/>
    <w:rsid w:val="00FA70F5"/>
    <w:rsid w:val="00FB0ACE"/>
    <w:rsid w:val="00FB4BB2"/>
    <w:rsid w:val="00FB6779"/>
    <w:rsid w:val="00FB6A9A"/>
    <w:rsid w:val="00FB6DE1"/>
    <w:rsid w:val="00FC1C3E"/>
    <w:rsid w:val="00FD653A"/>
    <w:rsid w:val="00FD66F8"/>
    <w:rsid w:val="00FD7F1F"/>
    <w:rsid w:val="00FE0C0B"/>
    <w:rsid w:val="00FE1031"/>
    <w:rsid w:val="00FE2BF3"/>
    <w:rsid w:val="00FE3082"/>
    <w:rsid w:val="00FE3690"/>
    <w:rsid w:val="00FE5166"/>
    <w:rsid w:val="00FE58E5"/>
    <w:rsid w:val="00FE7679"/>
    <w:rsid w:val="00FF448A"/>
    <w:rsid w:val="00FF50C3"/>
    <w:rsid w:val="00FF6230"/>
    <w:rsid w:val="00FF75C2"/>
    <w:rsid w:val="077B680C"/>
    <w:rsid w:val="08674815"/>
    <w:rsid w:val="0974260A"/>
    <w:rsid w:val="09967207"/>
    <w:rsid w:val="09FC496B"/>
    <w:rsid w:val="0B984D63"/>
    <w:rsid w:val="14A95C11"/>
    <w:rsid w:val="15E52C78"/>
    <w:rsid w:val="25AA12A8"/>
    <w:rsid w:val="25BE16F6"/>
    <w:rsid w:val="26C64DE3"/>
    <w:rsid w:val="2A0C660F"/>
    <w:rsid w:val="37517D16"/>
    <w:rsid w:val="3B4C1A01"/>
    <w:rsid w:val="3F6D0D79"/>
    <w:rsid w:val="451A1430"/>
    <w:rsid w:val="49B95C1B"/>
    <w:rsid w:val="4B7C0425"/>
    <w:rsid w:val="54911C51"/>
    <w:rsid w:val="57687559"/>
    <w:rsid w:val="5B445F44"/>
    <w:rsid w:val="5B6871D6"/>
    <w:rsid w:val="5BE97544"/>
    <w:rsid w:val="5EB32ED4"/>
    <w:rsid w:val="5ED80C3D"/>
    <w:rsid w:val="68D358F2"/>
    <w:rsid w:val="68FC2F95"/>
    <w:rsid w:val="6D075FF0"/>
    <w:rsid w:val="75C7395D"/>
    <w:rsid w:val="76B37ACA"/>
    <w:rsid w:val="776960B7"/>
    <w:rsid w:val="7CCA7E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1"/>
      <w:szCs w:val="22"/>
      <w:lang w:val="en-US" w:eastAsia="zh-CN" w:bidi="ar-SA"/>
    </w:rPr>
  </w:style>
  <w:style w:type="paragraph" w:styleId="2">
    <w:name w:val="heading 1"/>
    <w:basedOn w:val="1"/>
    <w:next w:val="1"/>
    <w:link w:val="27"/>
    <w:qFormat/>
    <w:uiPriority w:val="9"/>
    <w:pPr>
      <w:keepNext/>
      <w:keepLines/>
      <w:spacing w:before="240" w:after="120"/>
      <w:ind w:firstLine="0" w:firstLineChars="0"/>
      <w:outlineLvl w:val="0"/>
    </w:pPr>
    <w:rPr>
      <w:b/>
      <w:bCs/>
      <w:kern w:val="44"/>
      <w:sz w:val="30"/>
      <w:szCs w:val="44"/>
    </w:rPr>
  </w:style>
  <w:style w:type="paragraph" w:styleId="3">
    <w:name w:val="heading 2"/>
    <w:basedOn w:val="1"/>
    <w:next w:val="1"/>
    <w:link w:val="28"/>
    <w:qFormat/>
    <w:uiPriority w:val="9"/>
    <w:pPr>
      <w:keepNext/>
      <w:keepLines/>
      <w:spacing w:before="240" w:after="120" w:line="240" w:lineRule="auto"/>
      <w:ind w:firstLine="0" w:firstLineChars="0"/>
      <w:outlineLvl w:val="1"/>
    </w:pPr>
    <w:rPr>
      <w:rFonts w:cs="Times New Roman"/>
      <w:b/>
      <w:bCs/>
      <w:kern w:val="0"/>
      <w:sz w:val="28"/>
      <w:szCs w:val="32"/>
    </w:rPr>
  </w:style>
  <w:style w:type="paragraph" w:styleId="4">
    <w:name w:val="heading 3"/>
    <w:basedOn w:val="1"/>
    <w:next w:val="1"/>
    <w:link w:val="30"/>
    <w:unhideWhenUsed/>
    <w:qFormat/>
    <w:uiPriority w:val="9"/>
    <w:pPr>
      <w:keepNext/>
      <w:keepLines/>
      <w:spacing w:before="260" w:after="260" w:line="240" w:lineRule="auto"/>
      <w:ind w:firstLine="0" w:firstLineChars="0"/>
      <w:outlineLvl w:val="2"/>
    </w:pPr>
    <w:rPr>
      <w:b/>
      <w:bCs/>
      <w:sz w:val="24"/>
      <w:szCs w:val="32"/>
    </w:rPr>
  </w:style>
  <w:style w:type="paragraph" w:styleId="5">
    <w:name w:val="heading 4"/>
    <w:basedOn w:val="1"/>
    <w:next w:val="1"/>
    <w:link w:val="35"/>
    <w:unhideWhenUsed/>
    <w:qFormat/>
    <w:uiPriority w:val="9"/>
    <w:pPr>
      <w:keepNext/>
      <w:keepLines/>
      <w:spacing w:before="280" w:after="290" w:line="240" w:lineRule="auto"/>
      <w:ind w:firstLine="0" w:firstLineChars="0"/>
      <w:outlineLvl w:val="3"/>
    </w:pPr>
    <w:rPr>
      <w:rFonts w:cstheme="majorBidi"/>
      <w:b/>
      <w:bCs/>
      <w:sz w:val="24"/>
      <w:szCs w:val="28"/>
    </w:rPr>
  </w:style>
  <w:style w:type="paragraph" w:styleId="6">
    <w:name w:val="heading 6"/>
    <w:basedOn w:val="1"/>
    <w:next w:val="1"/>
    <w:link w:val="46"/>
    <w:semiHidden/>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ind w:left="1260"/>
      <w:jc w:val="left"/>
    </w:pPr>
    <w:rPr>
      <w:rFonts w:asciiTheme="minorHAnsi" w:eastAsiaTheme="minorHAnsi"/>
      <w:sz w:val="18"/>
      <w:szCs w:val="18"/>
    </w:rPr>
  </w:style>
  <w:style w:type="paragraph" w:styleId="8">
    <w:name w:val="annotation text"/>
    <w:basedOn w:val="1"/>
    <w:link w:val="49"/>
    <w:semiHidden/>
    <w:unhideWhenUsed/>
    <w:qFormat/>
    <w:uiPriority w:val="99"/>
    <w:pPr>
      <w:jc w:val="left"/>
    </w:pPr>
  </w:style>
  <w:style w:type="paragraph" w:styleId="9">
    <w:name w:val="toc 5"/>
    <w:basedOn w:val="1"/>
    <w:next w:val="1"/>
    <w:unhideWhenUsed/>
    <w:qFormat/>
    <w:uiPriority w:val="39"/>
    <w:pPr>
      <w:ind w:left="840"/>
      <w:jc w:val="left"/>
    </w:pPr>
    <w:rPr>
      <w:rFonts w:asciiTheme="minorHAnsi" w:eastAsiaTheme="minorHAnsi"/>
      <w:sz w:val="18"/>
      <w:szCs w:val="18"/>
    </w:rPr>
  </w:style>
  <w:style w:type="paragraph" w:styleId="10">
    <w:name w:val="toc 3"/>
    <w:basedOn w:val="1"/>
    <w:next w:val="1"/>
    <w:unhideWhenUsed/>
    <w:qFormat/>
    <w:uiPriority w:val="39"/>
    <w:pPr>
      <w:ind w:left="420"/>
      <w:jc w:val="left"/>
    </w:pPr>
    <w:rPr>
      <w:rFonts w:asciiTheme="minorHAnsi" w:eastAsiaTheme="minorHAnsi"/>
      <w:i/>
      <w:iCs/>
      <w:sz w:val="20"/>
      <w:szCs w:val="20"/>
    </w:rPr>
  </w:style>
  <w:style w:type="paragraph" w:styleId="11">
    <w:name w:val="toc 8"/>
    <w:basedOn w:val="1"/>
    <w:next w:val="1"/>
    <w:unhideWhenUsed/>
    <w:qFormat/>
    <w:uiPriority w:val="39"/>
    <w:pPr>
      <w:ind w:left="1470"/>
      <w:jc w:val="left"/>
    </w:pPr>
    <w:rPr>
      <w:rFonts w:asciiTheme="minorHAnsi" w:eastAsiaTheme="minorHAnsi"/>
      <w:sz w:val="18"/>
      <w:szCs w:val="18"/>
    </w:rPr>
  </w:style>
  <w:style w:type="paragraph" w:styleId="12">
    <w:name w:val="footer"/>
    <w:basedOn w:val="1"/>
    <w:link w:val="39"/>
    <w:unhideWhenUsed/>
    <w:qFormat/>
    <w:uiPriority w:val="99"/>
    <w:pPr>
      <w:tabs>
        <w:tab w:val="center" w:pos="4153"/>
        <w:tab w:val="right" w:pos="8306"/>
      </w:tabs>
      <w:snapToGrid w:val="0"/>
      <w:spacing w:line="240" w:lineRule="auto"/>
      <w:jc w:val="left"/>
    </w:pPr>
    <w:rPr>
      <w:sz w:val="18"/>
      <w:szCs w:val="18"/>
    </w:rPr>
  </w:style>
  <w:style w:type="paragraph" w:styleId="13">
    <w:name w:val="header"/>
    <w:basedOn w:val="1"/>
    <w:link w:val="36"/>
    <w:unhideWhenUsed/>
    <w:qFormat/>
    <w:uiPriority w:val="99"/>
    <w:pPr>
      <w:pBdr>
        <w:bottom w:val="single" w:color="auto" w:sz="6" w:space="1"/>
      </w:pBdr>
      <w:tabs>
        <w:tab w:val="center" w:pos="4153"/>
        <w:tab w:val="right" w:pos="8306"/>
      </w:tabs>
      <w:snapToGrid w:val="0"/>
      <w:spacing w:line="240" w:lineRule="auto"/>
      <w:ind w:firstLine="0" w:firstLineChars="0"/>
      <w:jc w:val="center"/>
    </w:pPr>
    <w:rPr>
      <w:rFonts w:asciiTheme="minorHAnsi" w:hAnsiTheme="minorHAnsi" w:eastAsiaTheme="minorEastAsia"/>
      <w:sz w:val="18"/>
      <w:szCs w:val="18"/>
    </w:rPr>
  </w:style>
  <w:style w:type="paragraph" w:styleId="14">
    <w:name w:val="toc 1"/>
    <w:basedOn w:val="1"/>
    <w:next w:val="1"/>
    <w:unhideWhenUsed/>
    <w:qFormat/>
    <w:uiPriority w:val="39"/>
    <w:pPr>
      <w:ind w:firstLine="0" w:firstLineChars="0"/>
      <w:jc w:val="left"/>
    </w:pPr>
    <w:rPr>
      <w:rFonts w:eastAsia="黑体"/>
      <w:bCs/>
      <w:caps/>
      <w:sz w:val="20"/>
      <w:szCs w:val="20"/>
    </w:rPr>
  </w:style>
  <w:style w:type="paragraph" w:styleId="15">
    <w:name w:val="toc 4"/>
    <w:basedOn w:val="1"/>
    <w:next w:val="1"/>
    <w:unhideWhenUsed/>
    <w:qFormat/>
    <w:uiPriority w:val="39"/>
    <w:pPr>
      <w:ind w:left="630"/>
      <w:jc w:val="left"/>
    </w:pPr>
    <w:rPr>
      <w:rFonts w:asciiTheme="minorHAnsi" w:eastAsiaTheme="minorHAnsi"/>
      <w:sz w:val="18"/>
      <w:szCs w:val="18"/>
    </w:rPr>
  </w:style>
  <w:style w:type="paragraph" w:styleId="16">
    <w:name w:val="toc 6"/>
    <w:basedOn w:val="1"/>
    <w:next w:val="1"/>
    <w:unhideWhenUsed/>
    <w:qFormat/>
    <w:uiPriority w:val="39"/>
    <w:pPr>
      <w:ind w:left="1050"/>
      <w:jc w:val="left"/>
    </w:pPr>
    <w:rPr>
      <w:rFonts w:asciiTheme="minorHAnsi" w:eastAsiaTheme="minorHAnsi"/>
      <w:sz w:val="18"/>
      <w:szCs w:val="18"/>
    </w:rPr>
  </w:style>
  <w:style w:type="paragraph" w:styleId="17">
    <w:name w:val="toc 2"/>
    <w:basedOn w:val="1"/>
    <w:next w:val="1"/>
    <w:unhideWhenUsed/>
    <w:qFormat/>
    <w:uiPriority w:val="39"/>
    <w:pPr>
      <w:ind w:firstLine="0" w:firstLineChars="0"/>
      <w:jc w:val="left"/>
    </w:pPr>
    <w:rPr>
      <w:rFonts w:eastAsia="黑体"/>
      <w:smallCaps/>
      <w:sz w:val="20"/>
      <w:szCs w:val="20"/>
    </w:rPr>
  </w:style>
  <w:style w:type="paragraph" w:styleId="18">
    <w:name w:val="toc 9"/>
    <w:basedOn w:val="1"/>
    <w:next w:val="1"/>
    <w:unhideWhenUsed/>
    <w:qFormat/>
    <w:uiPriority w:val="39"/>
    <w:pPr>
      <w:ind w:left="1680"/>
      <w:jc w:val="left"/>
    </w:pPr>
    <w:rPr>
      <w:rFonts w:asciiTheme="minorHAnsi" w:eastAsiaTheme="minorHAnsi"/>
      <w:sz w:val="18"/>
      <w:szCs w:val="18"/>
    </w:rPr>
  </w:style>
  <w:style w:type="paragraph" w:styleId="19">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20">
    <w:name w:val="annotation subject"/>
    <w:basedOn w:val="8"/>
    <w:next w:val="8"/>
    <w:link w:val="50"/>
    <w:semiHidden/>
    <w:unhideWhenUsed/>
    <w:qFormat/>
    <w:uiPriority w:val="99"/>
    <w:rPr>
      <w:b/>
      <w:bCs/>
    </w:rPr>
  </w:style>
  <w:style w:type="table" w:styleId="22">
    <w:name w:val="Table Grid"/>
    <w:basedOn w:val="21"/>
    <w:qFormat/>
    <w:uiPriority w:val="59"/>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bCs/>
    </w:rPr>
  </w:style>
  <w:style w:type="character" w:styleId="25">
    <w:name w:val="Hyperlink"/>
    <w:unhideWhenUsed/>
    <w:qFormat/>
    <w:uiPriority w:val="99"/>
    <w:rPr>
      <w:color w:val="0000FF"/>
      <w:u w:val="single"/>
    </w:rPr>
  </w:style>
  <w:style w:type="character" w:styleId="26">
    <w:name w:val="annotation reference"/>
    <w:basedOn w:val="23"/>
    <w:semiHidden/>
    <w:unhideWhenUsed/>
    <w:qFormat/>
    <w:uiPriority w:val="99"/>
    <w:rPr>
      <w:sz w:val="21"/>
      <w:szCs w:val="21"/>
    </w:rPr>
  </w:style>
  <w:style w:type="character" w:customStyle="1" w:styleId="27">
    <w:name w:val="标题 1 字符"/>
    <w:basedOn w:val="23"/>
    <w:link w:val="2"/>
    <w:qFormat/>
    <w:uiPriority w:val="9"/>
    <w:rPr>
      <w:rFonts w:ascii="Times New Roman" w:hAnsi="Times New Roman" w:eastAsia="宋体"/>
      <w:b/>
      <w:bCs/>
      <w:kern w:val="44"/>
      <w:sz w:val="30"/>
      <w:szCs w:val="44"/>
    </w:rPr>
  </w:style>
  <w:style w:type="character" w:customStyle="1" w:styleId="28">
    <w:name w:val="标题 2 字符"/>
    <w:basedOn w:val="23"/>
    <w:link w:val="3"/>
    <w:qFormat/>
    <w:uiPriority w:val="9"/>
    <w:rPr>
      <w:rFonts w:ascii="Times New Roman" w:hAnsi="Times New Roman" w:eastAsia="宋体" w:cs="Times New Roman"/>
      <w:b/>
      <w:bCs/>
      <w:kern w:val="0"/>
      <w:sz w:val="28"/>
      <w:szCs w:val="32"/>
    </w:rPr>
  </w:style>
  <w:style w:type="character" w:customStyle="1" w:styleId="29">
    <w:name w:val="header-section-number"/>
    <w:basedOn w:val="23"/>
    <w:qFormat/>
    <w:uiPriority w:val="0"/>
  </w:style>
  <w:style w:type="character" w:customStyle="1" w:styleId="30">
    <w:name w:val="标题 3 字符"/>
    <w:basedOn w:val="23"/>
    <w:link w:val="4"/>
    <w:qFormat/>
    <w:uiPriority w:val="9"/>
    <w:rPr>
      <w:rFonts w:ascii="Times New Roman" w:hAnsi="Times New Roman" w:eastAsia="宋体"/>
      <w:b/>
      <w:bCs/>
      <w:sz w:val="24"/>
      <w:szCs w:val="32"/>
    </w:rPr>
  </w:style>
  <w:style w:type="paragraph" w:styleId="31">
    <w:name w:val="List Paragraph"/>
    <w:basedOn w:val="1"/>
    <w:qFormat/>
    <w:uiPriority w:val="34"/>
    <w:pPr>
      <w:ind w:firstLine="420"/>
    </w:pPr>
  </w:style>
  <w:style w:type="paragraph" w:customStyle="1" w:styleId="32">
    <w:name w:val="注释"/>
    <w:basedOn w:val="1"/>
    <w:link w:val="34"/>
    <w:qFormat/>
    <w:uiPriority w:val="0"/>
    <w:pPr>
      <w:spacing w:line="240" w:lineRule="auto"/>
      <w:ind w:firstLine="0" w:firstLineChars="0"/>
    </w:pPr>
    <w:rPr>
      <w:rFonts w:cs="Times New Roman"/>
      <w:color w:val="0070C0"/>
    </w:rPr>
  </w:style>
  <w:style w:type="paragraph" w:customStyle="1" w:styleId="33">
    <w:name w:val="slick-active"/>
    <w:basedOn w:val="1"/>
    <w:qFormat/>
    <w:uiPriority w:val="0"/>
    <w:pPr>
      <w:widowControl/>
      <w:spacing w:before="100" w:beforeAutospacing="1" w:after="100" w:afterAutospacing="1" w:line="240" w:lineRule="auto"/>
      <w:ind w:firstLine="0" w:firstLineChars="0"/>
      <w:jc w:val="left"/>
    </w:pPr>
    <w:rPr>
      <w:rFonts w:ascii="宋体" w:hAnsi="宋体" w:cs="宋体"/>
      <w:kern w:val="0"/>
      <w:sz w:val="24"/>
      <w:szCs w:val="24"/>
    </w:rPr>
  </w:style>
  <w:style w:type="character" w:customStyle="1" w:styleId="34">
    <w:name w:val="注释 字符"/>
    <w:basedOn w:val="23"/>
    <w:link w:val="32"/>
    <w:qFormat/>
    <w:uiPriority w:val="0"/>
    <w:rPr>
      <w:rFonts w:ascii="Times New Roman" w:hAnsi="Times New Roman" w:eastAsia="宋体" w:cs="Times New Roman"/>
      <w:color w:val="0070C0"/>
    </w:rPr>
  </w:style>
  <w:style w:type="character" w:customStyle="1" w:styleId="35">
    <w:name w:val="标题 4 字符"/>
    <w:basedOn w:val="23"/>
    <w:link w:val="5"/>
    <w:qFormat/>
    <w:uiPriority w:val="9"/>
    <w:rPr>
      <w:rFonts w:ascii="Times New Roman" w:hAnsi="Times New Roman" w:eastAsia="宋体" w:cstheme="majorBidi"/>
      <w:b/>
      <w:bCs/>
      <w:sz w:val="24"/>
      <w:szCs w:val="28"/>
    </w:rPr>
  </w:style>
  <w:style w:type="character" w:customStyle="1" w:styleId="36">
    <w:name w:val="页眉 字符"/>
    <w:basedOn w:val="23"/>
    <w:link w:val="13"/>
    <w:qFormat/>
    <w:uiPriority w:val="99"/>
    <w:rPr>
      <w:sz w:val="18"/>
      <w:szCs w:val="18"/>
    </w:rPr>
  </w:style>
  <w:style w:type="table" w:customStyle="1" w:styleId="37">
    <w:name w:val="网格型1"/>
    <w:basedOn w:val="2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8">
    <w:name w:val="TOC 标题1"/>
    <w:basedOn w:val="2"/>
    <w:next w:val="1"/>
    <w:unhideWhenUsed/>
    <w:qFormat/>
    <w:uiPriority w:val="39"/>
    <w:pPr>
      <w:spacing w:before="340" w:after="330" w:line="578" w:lineRule="auto"/>
      <w:ind w:firstLine="200" w:firstLineChars="200"/>
      <w:outlineLvl w:val="9"/>
    </w:pPr>
    <w:rPr>
      <w:sz w:val="44"/>
    </w:rPr>
  </w:style>
  <w:style w:type="character" w:customStyle="1" w:styleId="39">
    <w:name w:val="页脚 字符"/>
    <w:basedOn w:val="23"/>
    <w:link w:val="12"/>
    <w:qFormat/>
    <w:uiPriority w:val="99"/>
    <w:rPr>
      <w:rFonts w:ascii="Times New Roman" w:hAnsi="Times New Roman" w:eastAsia="宋体"/>
      <w:sz w:val="18"/>
      <w:szCs w:val="18"/>
    </w:rPr>
  </w:style>
  <w:style w:type="paragraph" w:customStyle="1" w:styleId="40">
    <w:name w:val="标题1"/>
    <w:basedOn w:val="2"/>
    <w:link w:val="42"/>
    <w:qFormat/>
    <w:uiPriority w:val="0"/>
    <w:pPr>
      <w:spacing w:before="156" w:beforeLines="50" w:after="156" w:afterLines="50"/>
    </w:pPr>
    <w:rPr>
      <w:rFonts w:cs="Times New Roman"/>
      <w:sz w:val="21"/>
      <w:szCs w:val="21"/>
    </w:rPr>
  </w:style>
  <w:style w:type="paragraph" w:customStyle="1" w:styleId="41">
    <w:name w:val="标题2"/>
    <w:basedOn w:val="1"/>
    <w:link w:val="44"/>
    <w:qFormat/>
    <w:uiPriority w:val="0"/>
    <w:pPr>
      <w:keepNext/>
      <w:keepLines/>
      <w:spacing w:before="156" w:beforeLines="50" w:after="156" w:afterLines="50"/>
      <w:ind w:firstLine="0" w:firstLineChars="0"/>
      <w:outlineLvl w:val="1"/>
    </w:pPr>
    <w:rPr>
      <w:rFonts w:cs="Times New Roman"/>
      <w:b/>
      <w:bCs/>
      <w:kern w:val="0"/>
      <w:szCs w:val="21"/>
    </w:rPr>
  </w:style>
  <w:style w:type="character" w:customStyle="1" w:styleId="42">
    <w:name w:val="标题1 字符"/>
    <w:basedOn w:val="27"/>
    <w:link w:val="40"/>
    <w:qFormat/>
    <w:uiPriority w:val="0"/>
    <w:rPr>
      <w:rFonts w:ascii="Times New Roman" w:hAnsi="Times New Roman" w:eastAsia="宋体" w:cs="Times New Roman"/>
      <w:kern w:val="44"/>
      <w:sz w:val="30"/>
      <w:szCs w:val="21"/>
    </w:rPr>
  </w:style>
  <w:style w:type="paragraph" w:customStyle="1" w:styleId="43">
    <w:name w:val="标题3"/>
    <w:basedOn w:val="4"/>
    <w:link w:val="45"/>
    <w:qFormat/>
    <w:uiPriority w:val="0"/>
    <w:rPr>
      <w:rFonts w:cs="Times New Roman"/>
      <w:sz w:val="21"/>
      <w:szCs w:val="21"/>
    </w:rPr>
  </w:style>
  <w:style w:type="character" w:customStyle="1" w:styleId="44">
    <w:name w:val="标题2 字符"/>
    <w:basedOn w:val="23"/>
    <w:link w:val="41"/>
    <w:qFormat/>
    <w:uiPriority w:val="0"/>
    <w:rPr>
      <w:rFonts w:ascii="Times New Roman" w:hAnsi="Times New Roman" w:eastAsia="宋体" w:cs="Times New Roman"/>
      <w:b/>
      <w:bCs/>
      <w:kern w:val="0"/>
      <w:szCs w:val="21"/>
    </w:rPr>
  </w:style>
  <w:style w:type="character" w:customStyle="1" w:styleId="45">
    <w:name w:val="标题3 字符"/>
    <w:basedOn w:val="30"/>
    <w:link w:val="43"/>
    <w:qFormat/>
    <w:uiPriority w:val="0"/>
    <w:rPr>
      <w:rFonts w:ascii="Times New Roman" w:hAnsi="Times New Roman" w:eastAsia="宋体" w:cs="Times New Roman"/>
      <w:sz w:val="24"/>
      <w:szCs w:val="21"/>
    </w:rPr>
  </w:style>
  <w:style w:type="character" w:customStyle="1" w:styleId="46">
    <w:name w:val="标题 6 字符"/>
    <w:basedOn w:val="23"/>
    <w:link w:val="6"/>
    <w:semiHidden/>
    <w:qFormat/>
    <w:uiPriority w:val="9"/>
    <w:rPr>
      <w:rFonts w:asciiTheme="majorHAnsi" w:hAnsiTheme="majorHAnsi" w:eastAsiaTheme="majorEastAsia" w:cstheme="majorBidi"/>
      <w:b/>
      <w:bCs/>
      <w:sz w:val="24"/>
      <w:szCs w:val="24"/>
    </w:rPr>
  </w:style>
  <w:style w:type="paragraph" w:customStyle="1" w:styleId="47">
    <w:name w:val="WPSOffice手动目录 1"/>
    <w:qFormat/>
    <w:uiPriority w:val="0"/>
    <w:rPr>
      <w:rFonts w:asciiTheme="minorHAnsi" w:hAnsiTheme="minorHAnsi" w:eastAsiaTheme="minorEastAsia" w:cstheme="minorBidi"/>
      <w:lang w:val="en-US" w:eastAsia="zh-CN" w:bidi="ar-SA"/>
    </w:rPr>
  </w:style>
  <w:style w:type="paragraph" w:customStyle="1" w:styleId="48">
    <w:name w:val="WPSOffice手动目录 2"/>
    <w:qFormat/>
    <w:uiPriority w:val="0"/>
    <w:pPr>
      <w:ind w:left="200" w:leftChars="200"/>
    </w:pPr>
    <w:rPr>
      <w:rFonts w:asciiTheme="minorHAnsi" w:hAnsiTheme="minorHAnsi" w:eastAsiaTheme="minorEastAsia" w:cstheme="minorBidi"/>
      <w:lang w:val="en-US" w:eastAsia="zh-CN" w:bidi="ar-SA"/>
    </w:rPr>
  </w:style>
  <w:style w:type="character" w:customStyle="1" w:styleId="49">
    <w:name w:val="批注文字 字符"/>
    <w:basedOn w:val="23"/>
    <w:link w:val="8"/>
    <w:semiHidden/>
    <w:qFormat/>
    <w:uiPriority w:val="99"/>
    <w:rPr>
      <w:rFonts w:ascii="Times New Roman" w:hAnsi="Times New Roman" w:eastAsia="宋体"/>
      <w:kern w:val="2"/>
      <w:sz w:val="21"/>
      <w:szCs w:val="22"/>
    </w:rPr>
  </w:style>
  <w:style w:type="character" w:customStyle="1" w:styleId="50">
    <w:name w:val="批注主题 字符"/>
    <w:basedOn w:val="49"/>
    <w:link w:val="20"/>
    <w:semiHidden/>
    <w:qFormat/>
    <w:uiPriority w:val="99"/>
    <w:rPr>
      <w:rFonts w:ascii="Times New Roman" w:hAnsi="Times New Roman" w:eastAsia="宋体"/>
      <w:b/>
      <w:bCs/>
      <w:kern w:val="2"/>
      <w:sz w:val="21"/>
      <w:szCs w:val="22"/>
    </w:rPr>
  </w:style>
  <w:style w:type="character" w:styleId="51">
    <w:name w:val="Placeholder Text"/>
    <w:basedOn w:val="23"/>
    <w:unhideWhenUsed/>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E0116-1285-4EAD-A79C-29AF2D15BA7F}">
  <ds:schemaRefs/>
</ds:datastoreItem>
</file>

<file path=docProps/app.xml><?xml version="1.0" encoding="utf-8"?>
<Properties xmlns="http://schemas.openxmlformats.org/officeDocument/2006/extended-properties" xmlns:vt="http://schemas.openxmlformats.org/officeDocument/2006/docPropsVTypes">
  <Template>Normal.dotm</Template>
  <Pages>18</Pages>
  <Words>6668</Words>
  <Characters>13880</Characters>
  <Lines>118</Lines>
  <Paragraphs>33</Paragraphs>
  <TotalTime>11</TotalTime>
  <ScaleCrop>false</ScaleCrop>
  <LinksUpToDate>false</LinksUpToDate>
  <CharactersWithSpaces>14760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2023-09-18T02:47:00Z</dcterms:created>
  <dc:creator>li wang</dc:creator>
  <cp:lastModifiedBy>三黍生物</cp:lastModifiedBy>
  <dcterms:modified xsi:type="dcterms:W3CDTF">2026-04-27T09:26:12Z</dcterms:modified>
  <cp:revision>418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5F6A934DF63B4A729B0A5852A2A9E59B_13</vt:lpwstr>
  </property>
  <property fmtid="{D5CDD505-2E9C-101B-9397-08002B2CF9AE}" pid="4" name="KSOTemplateDocerSaveRecord">
    <vt:lpwstr>eyJoZGlkIjoiMGI0ZjExODhlMGZjMmQyMWVlZDFjZGVkMjUxNTI5ZjMiLCJ1c2VySWQiOiIxNTE3NzgyMDMwIn0=</vt:lpwstr>
  </property>
</Properties>
</file>