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企业会计准则第37号——金融工具列报（2014）</w:t>
      </w:r>
    </w:p>
    <w:p>
      <w:r>
        <w:t>企业会计准则第37号——金融工具列报</w:t>
        <w:br/>
        <w:t>财会[2014]23号</w:t>
        <w:br/>
        <w:t>第一章　总则</w:t>
        <w:br/>
        <w:t>第一条　为了规范金融工具的列报，根据《企业会计准则——基本准则》，制定本准则。</w:t>
        <w:br/>
        <w:t>金融工具列报，包括金融工具列示和金融工具披露。</w:t>
        <w:br/>
        <w:t>第二条　金融工具信息的列报，应当有助于财务报表使用者了解发行方对发行的金融工具如何进行分类、计量和列示，并就金融工具对企业财务状况和经营成果影响的重要程度、金融工具使企业在报告期间和期末所面临的风险的性质和程度，以及企业如何管理这些风险作出合理评价。</w:t>
        <w:br/>
        <w:t>第三条　除下列特殊情况外，本准则适用于所有企业各种类型的金融工具：</w:t>
        <w:br/>
        <w:t>（一） 企业按照《企业会计准则第2号——长期股权投资》、《企业会计准则第33号——合并财务报表》和《企业会计准则第40号——合营安排》规定核算的对子公司、合营安排和联营企业的投资的披露，适用《企业会计准则第41号——在其他主体中权益的披露》。但以下情况除外：</w:t>
        <w:br/>
        <w:t>1.与在子公司、合营安排或联营企业中的权益相联系的衍生工具，适用本准则。</w:t>
        <w:br/>
        <w:t>2.符合《企业会计准则第33号——合并财务报表》有关投资性主体定义的企业，其根据该准则规定对子公司以公允价值计量且其变动计入当期损益的投资，适用本准则。</w:t>
        <w:br/>
        <w:t>3.根据《企业会计准则第2号——长期股权投资》准则的规定，按照《企业会计准则第22号——金融工具确认和计量》核算的对联营企业或合营企业的投资，适用本准则。</w:t>
        <w:br/>
        <w:t>（二） 《企业会计准则第11号——股份支付》规范的股份支付安排中的金融工具以及其他合同和义务，适用《企业会计准则第11号——股份支付》。但股份支付安排中涉及应当适用本准则第四条相关的交易和事项以及企业发行、回购、出售或注销库存股，适用本准则。</w:t>
        <w:br/>
        <w:t>（三）债务重组，适用《企业会计准则第12号——债务重组》。但债务重组中涉及金融资产转移披露的，适用本准则。</w:t>
        <w:br/>
        <w:t>（四） 符合原保险合同或再保险合同定义的保险合同，适用《企业会计准则第25号——原保险合同》或《企业会计准则第26号——再保险合同》（以下简称相关保险合同准则）。</w:t>
        <w:br/>
        <w:t>《企业会计准则第22号——金融工具确认和计量》要求从保险合同中分拆后单独核算的嵌入衍生工具，适用本准则。企业选择按照《企业会计准则第22号——金融工具确认和计量》核算的财务担保合同，适用本准则。</w:t>
        <w:br/>
        <w:t>（五） 因具有相机分红特征而适用相关保险合同准则的金融工具，不适用本准则中关于金融负债和权益工具区分的规定。嵌入此类金融工具的衍生工具，适用本准则。但嵌入衍生工具本身是一项保险合同的，适用相关保险合同准则。</w:t>
        <w:br/>
        <w:t>（六）职工薪酬计划形成的企业的权利和义务，适用《企业会计准则第9号——职工薪酬》。</w:t>
        <w:br/>
        <w:t>第四条　本准则适用于能够以现金或其他金融工具净额结算，或通过交换金融工具结算的买入或卖出非金融项目的合同。但企业按照预定的购买、销售或使用要求签订并持有，旨在收取或交付非金融项目的合同，应当适用其他相关会计准则。</w:t>
        <w:br/>
        <w:t>第五条　本准则第六章至第八章的规定除适用于企业已按照《企业会计准则第22号——金融工具确认和计量》确认的金融工具外，还适用于未确认的金融工具，例如某些贷款承诺。</w:t>
        <w:br/>
        <w:t>第六条　本准则规定的交易或事项涉及所得税的，应当按照《企业会计准则第18号——所得税》进行处理。</w:t>
        <w:br/>
        <w:t>第二章　金融负债和权益工具的区分</w:t>
        <w:br/>
        <w:t>第七条　企业应当根据所发行金融工具的合同条款及其所反映的经济实质而非仅以法律形式，结合金融资产、金融负债和权益工具的定义，在初始确认时将该金融工具或其组成部分分类为金融资产、金融负债或权益工具。</w:t>
        <w:br/>
        <w:t>第八条　金融负债，是指企业符合下列条件之一的负债：</w:t>
        <w:br/>
        <w:t>（一） 向其他方交付现金或其他金融资产的合同义务。</w:t>
        <w:br/>
        <w:t>（二） 在潜在不利条件下，与其他方交换金融资产或金融负债的合同义务。</w:t>
        <w:br/>
        <w:t>（三） 将来须用或可用企业自身权益工具进行结算的非衍生工具合同，且企业根据该合同将交付可变数量的自身权益工具。</w:t>
        <w:br/>
        <w:t>（四） 将来须用或可用企业自身权益工具进行结算的衍生工具合同，但以固定数量的自身权益工具交换固定金额的现金或其他金融资产的衍生工具合同除外。企业对全部现有同类别非衍生自身权益工具的持有方同比例发行配股权、期权或认股权证，使之有权按比例以固定金额的任何货币换取固定数量的该企业自身权益工具的，该类配股权、期权或认股权证应当分类为权益工具。其中，企业自身权益工具不包括应按照本准则第三章分类为权益工具的金融工具，也不包括本身就要求在未来收取或交付企业自身权益工具的合同。</w:t>
        <w:br/>
        <w:t>第九条　权益工具，是指能证明拥有某个企业在扣除所有负债后的资产中的剩余权益的合同。在同时满足下列条件的情况下，企业应当将发行的金融工具分类为权益工具：</w:t>
        <w:br/>
        <w:t>（一） 该金融工具应当不包括交付现金或其他金融资产给其他方，或在潜在不利条件下与其他方交换金融资产或金融负债的合同义务；</w:t>
        <w:br/>
        <w:t>（二） 将来须用或可用企业自身权益工具结算该金融工具。如为非衍生工具，该金融工具应当不包括交付可变数量的自身权益工具进行结算的合同义务；如为衍生工具，企业只能通过以固定数量的自身权益工具交换固定金额的现金或其他金融资产结算该金融工具。企业自身权益工具不包括应按照本准则第三章分类为权益工具的金融工具，也不包括本身就要求在未来收取或交付企业自身权益工具的合同。</w:t>
        <w:br/>
        <w:t>第十条　金融负债与权益工具的区分：</w:t>
        <w:br/>
        <w:t>（一） 如果企业不能无条件地避免以交付现金或其他金融资产来履行一项合同义务，则该合同义务符合金融负债的定义。有些金融工具虽然没有明确地包含交付现金或其他金融资产义务的条款和条件，但有可能通过其他条款和条件间接地形成合同义务。</w:t>
        <w:br/>
        <w:t>（二） 如果一项金融工具须用或可用企业自身权益工具进行结算，需要考虑用于结算该工具的企业自身权益工具，是作为现金或其他金融资产的替代品，还是为了使该工具持有方享有在发行方扣除所有负债后的资产中的剩余权益。如果是前者，该工具是发行方的金融负债；如果是后者，该工具是发行方的权益工具。在某些情况下，一项金融工具合同规定企业须用或可用自身权益工具结算该金融工具，其中合同权利或合同义务的金额等于可获取或需交付的自身权益工具的数量乘以其结算时的公允价值，则无论该合同权利或合同义务的金额是固定的，还是完全或部分地基于除企业自身权益工具的市场价格以外变量（例如利率、某种商品的价格或某项金融工具的价格）的变动而变动，该合同应当分类为金融负债。</w:t>
        <w:br/>
        <w:t>第十一条　除根据本准则第三章分类为权益工具的金融工具外，如果一项合同使发行方承担了以现金或其他金融资产回购自身权益工具的义务，即使发行方的回购义务取决于合同对手方是否行使回售权，发行方应当在初始确认时将该义务确认为一项金融负债，其金额等于回购所需支付金额的现值（如远期回购价格的现值、期权行权价格的现值或其他回售金额的现值）。如果最终发行方无需以现金或其他金融资产回购自身权益工具，应当在合同到期时将该项金融负债按照账面价值重分类为权益工具。</w:t>
        <w:br/>
        <w:t>第十二条　对于附有或有结算条款的金融工具，发行方不能无条件地避免交付现金、其他金融资产或以其他导致该工具成为金融负债的方式进行结算的，应当分类为金融负债。但是，满足下列条件之一的，发行方应当将其分类为权益工具：</w:t>
        <w:br/>
        <w:t>（一） 要求以现金、其他金融资产或以其他导致该工具成为金融负债的方式进行结算的或有结算条款几乎不具有可能性，即相关情形极端罕见、显著异常或几乎不可能发生。</w:t>
        <w:br/>
        <w:t>（二） 只有在发行方清算时，才需以现金、其他金融资产或以其他导致该工具成为金融负债的方式进行结算。</w:t>
        <w:br/>
        <w:t>（三） 按照本准则第三章分类为权益工具的可回售工具。</w:t>
        <w:br/>
        <w:t>附有或有结算条款的金融工具，指是否通过交付现金或其他金融资产进行结算，或者是否以其他导致该金融工具成为金融负债的方式进行结算，需要由发行方和持有方均不能控制的未来不确定事项（如股价指数、消费价格指数变动，利率或税法变动，发行方未来收入、净收益或债务权益比率等）的发生或不发生（或发行方和持有方均不能控制的未来不确定事项的结果）来确定的金融工具。</w:t>
        <w:br/>
        <w:t>第十三条　对于存在结算选择权的衍生工具（例如，合同规定发行方或持有方能选择以现金净额或以发行股份交换现金等方式进行结算的衍生工具），发行方应当将其确认为金融资产或金融负债，但所有可供选择的结算方式均表明该衍生工具应当确认为权益工具的除外。</w:t>
        <w:br/>
        <w:t>第十四条　企业应对发行的非衍生工具进行评估，以确定所发行的工具是否为复合金融工具。企业所发行的非衍生工具可能同时包含金融负债成分和权益工具成分。对于复合金融工具，发行方应于初始确认时将各组成部分分别分类为金融负债、金融资产或权益工具。</w:t>
        <w:br/>
        <w:t>企业发行的一项非衍生工具同时包含金融负债成分和权益工具成分的，应于初始计量时先确定金融负债成分的公允价值（包括其中可能包含的非权益性嵌入衍生工具的公允价值），再从复合金融工具公允价值中扣除负债成分的公允价值，作为权益工具成分的价值。</w:t>
        <w:br/>
        <w:t>第十五条　在合并财务报表中对金融工具（或其组成部分）进行分类时，企业应当考虑集团成员和金融工具的持有方之间达成的所有条款和条件。如果集团作为一个整体由于该工具承担了交付现金、其他金融资产或以其他导致该工具成为金融负债的方式进行结算的义务，则该工具应当分类为金融负债。</w:t>
        <w:br/>
        <w:t>第三章　特殊金融工具的区分</w:t>
        <w:br/>
        <w:t>第十六条　符合金融负债定义，但同时具有下列特征的可回售工具，应当分类为权益工具：</w:t>
        <w:br/>
        <w:t>（一） 赋予持有方在企业清算时按比例份额获得该企业净资产的权利。企业净资产，是指扣除所有优先于该工具对企业资产要求权之后的剩余资产。按比例份额是指清算时将企业的净资产分拆为金额相等的单位，并且将单位金额乘以持有方所持有的单位数量；</w:t>
        <w:br/>
        <w:t>（二） 该工具所属的类别次于其他所有工具类别，即该工具在归属于该类别前无须转换为另一种工具，且在清算时对企业资产没有优先于其他工具的要求权；</w:t>
        <w:br/>
        <w:t>（三） 该类别的所有工具具有相同的特征（例如它们必须都具有可回售特征，并且用于计算回购或赎回价格的公式或其他方法都相同）；</w:t>
        <w:br/>
        <w:t>（四） 除了发行方应当以现金或其他金融资产回购或赎回该工具的合同义务外，该工具不满足本准则规定的金融负债定义中的任何其他特征；</w:t>
        <w:br/>
        <w:t>（五） 该工具在存续期内的预计现金流量总额，应当实质上基于该工具存续期内企业的损益、已确认净资产的变动、已确认和未确认净资产的公允价值变动（不包括该工具的任何影响）。</w:t>
        <w:br/>
        <w:t>可回售工具，是指根据合同约定，持有方有权将该工具回售给发行方以获取现金或其他金融资产的权利，或者在未来某一不确定事项发生或者持有方死亡或退休时，自动回售给发行方的金融工具。</w:t>
        <w:br/>
        <w:t>第十七条　符合金融负债定义，但同时具有下列特征的发行方仅在清算时才有义务向另一方按比例交付其净资产的金融工具，应当分类为权益工具：</w:t>
        <w:br/>
        <w:t>（一） 赋予持有方在企业清算时按比例份额获得该企业净资产的权利；</w:t>
        <w:br/>
        <w:t>（二） 该工具所属的类别次于其他所有工具类别；</w:t>
        <w:br/>
        <w:t>（三） 在次于其他所有类别的工具类别中，发行方对该类别中所有工具都应当在清算时承担按比例份额交付其净资产的同等合同义务。</w:t>
        <w:br/>
        <w:t>产生上述合同义务的清算确定将会发生并且不受发行方的控制（如发行方本身是有限寿命主体），或者发生与否取决于该工具的持有方。</w:t>
        <w:br/>
        <w:t>第十八条　分类为权益工具的可回售工具，或发行方仅在清算时才有义务向另一方按比例交付其净资产的金融工具，除应当具有第十六条或第十七条所述特征外，其发行方应当没有同时具备下列特征的其他金融工具或合同：</w:t>
        <w:br/>
        <w:t>（一）现金流量总额实质上基于企业的损益、已确认净资产的变动、已确认和未确认净资产的公允价值变动（不包括该工具或合同的任何影响）；</w:t>
        <w:br/>
        <w:t>（二） 实质上限制或固定了本准则第十六条或第十七条所述工具持有方所获得的剩余回报。</w:t>
        <w:br/>
        <w:t>在运用上述条件时，对于发行方与本准则第十六条或第十七条所述工具持有方签订的非金融合同，如果其条款和条件与发行方和其他方之间可能订立的同等合同类似，不应考虑该非金融合同的影响。但如果不能做出此判断，则不得将该工具分类为权益工具。</w:t>
        <w:br/>
        <w:t>第十九条　按照本章规定分类为权益工具的金融工具，自不再具有第十六条或第十七条所述特征，或发行方不再满足第十八条规定条件之日起，发行方应当将其重分类为金融负债，以重分类日该工具的公允价值计量，重分类日权益工具的账面价值和金融负债的公允价值之间的差额确认为权益。</w:t>
        <w:br/>
        <w:t>按照本章规定分类为金融负债的金融工具，自具有第十六条或第十七条所述特征，且发行方满足第十八条规定条件之日起，发行方应当将其重分类为权益工具，以重分类日金融负债的账面价值计量。</w:t>
        <w:br/>
        <w:t>第二十条　企业发行的满足本章规定分类为权益工具的金融工具，在其母公司的合并财务报表中对应的少数股东权益部分，应当分类为金融负债。</w:t>
        <w:br/>
        <w:t>第四章　收益和库存股</w:t>
        <w:br/>
        <w:t>第二十一条　金融工具或其组成部分属于金融负债的，相关利息、股利（或股息）、利得或损失，以及赎回或再融资产生的利得或损失等，应当计入当期损益。</w:t>
        <w:br/>
        <w:t>第二十二条　金融工具或其组成部分属于权益工具的，其发行（含再融资）、回购、出售或注销时，发行方应当作为权益的变动处理。发行方不应当确认权益工具的公允价值变动。</w:t>
        <w:br/>
        <w:t>发行方对权益工具持有方的分配应作利润分配处理，发放的股票股利不影响所有者权益总额。</w:t>
        <w:br/>
        <w:t>第二十三条　与权益性交易相关的交易费用应当从权益中扣减。交易费用，是指可直接归属于购买、发行或处置金融工具的增量费用。增量费用，是指企业不购买、发行或处置金融工具就不会发生的费用。</w:t>
        <w:br/>
        <w:t>企业发行或取得自身权益工具时发生的交易费用（例如登记费，承销费，法律、会计、评估及其他专业服务费用，印刷成本和印花税等），可直接归属于权益性交易的，应当从权益中扣减。终止的未完成权益性交易所发生的交易费用应当计入当期损益。</w:t>
        <w:br/>
        <w:t>第二十四条　发行复合金融工具发生的交易费用，应当在金融负债成分和权益工具成分之间按照各自占总发行价款的比例进行分摊。与多项交易相关的共同交易费用，应当在合理的基础上，采用与其他类似交易一致的方法，在各项交易间进行分摊。</w:t>
        <w:br/>
        <w:t>第二十五条　分类为金融负债的金融工具支付的股利，在利润表中应当确认为费用，与其他负债的利息费用合并列示，并在财务报表附注中单独披露。</w:t>
        <w:br/>
        <w:t>作为权益扣减项的交易费用，应当在财务报表附注中单独披露。</w:t>
        <w:br/>
        <w:t>第二十六条　回购自身权益工具（库存股）支付的对价和交易费用，应当减少所有者权益，不得确认金融资产。库存股可由企业自身购回和持有，也可由集团合并范围内的其他成员购回和持有。</w:t>
        <w:br/>
        <w:t>第二十七条　企业应当按照《企业会计准则第30号——财务报表列报》在资产负债表中单独列示所持有的库存股金额。</w:t>
        <w:br/>
        <w:t>企业从关联方回购自身权益工具，还应当按照《企业会计准则第36号——关联方披露》的相关规定进行披露。</w:t>
        <w:br/>
        <w:t>第五章　金融资产和金融负债的抵销</w:t>
        <w:br/>
        <w:t>第二十八条　金融资产和金融负债应当在资产负债表内分别列示，不得相互抵销。但同时满足下列条件的，应当以相互抵销后的净额在资产负债表内列示：</w:t>
        <w:br/>
        <w:t>（一） 企业具有抵销已确认金额的法定权利，且该种法定权利是当前可执行的；</w:t>
        <w:br/>
        <w:t>（二） 企业计划以净额结算，或同时变现该金融资产和清偿该金融负债。</w:t>
        <w:br/>
        <w:t>不满足终止确认条件的金融资产转移，转出方不得将已转移的金融资产和相关负债进行抵销。</w:t>
        <w:br/>
        <w:t>第二十九条抵销权是债务人根据合同或其他协议，以应收债权人的金额全部或部分抵销应付债权人的金额的法定权利。在某些情况下，如果债务人、债权人和第三方三者之间签署的协议明确表示债务人拥有该抵销权，并且不违反相关法律或法规，债务人可能拥有以应收第三方的金额抵销应付债权人的金额的法定权利。</w:t>
        <w:br/>
        <w:t>第三十条　抵销权应当不取决于未来事项，而且在企业和所有交易对手方的正常经营过程中，或在出现违约、无力偿债或破产等各种情形下，企业均可执行该法定权利。</w:t>
        <w:br/>
        <w:t>在确定抵销权是否可执行时，企业应当充分考虑相关法律和法规要求以及合同约定等各方面因素。</w:t>
        <w:br/>
        <w:t>第三十一条　当前可执行的抵销权不构成互相抵销的充分条件，企业既不打算行使抵销权（即净额结算），又无计划同时结算金融资产和金融负债的，该金融资产和金融负债不得抵销。</w:t>
        <w:br/>
        <w:t>在没有法定权利的情况下，一方或双方即使有意向以净额为基础进行结算或同时结算相关金融资产和金融负债的，该金融资产和金融负债也不得抵销。</w:t>
        <w:br/>
        <w:t>第三十二条　企业同时结算金融资产和金融负债的，如果该结算方式相当于净额结算，则满足本准则第二十八条（二）以净额结算的标准。这种结算方式必须在同一结算过程或周期内处理了相关应收和应付款项，最终消除或几乎消除了信用风险和流动性风险。如果某结算方式同时具备如下特征，可视为满足净额结算标准：</w:t>
        <w:br/>
        <w:t>（一） 符合抵销条件的金融资产和金融负债在同一时点提交处理；</w:t>
        <w:br/>
        <w:t>（二） 金融资产和金融负债一经提交处理，各方即承诺履行结算义务；</w:t>
        <w:br/>
        <w:t>（三） 金融资产和金融负债一经提交处理，除非处理失败，这些资产和负债产生的现金流量不可能发生变动；</w:t>
        <w:br/>
        <w:t>（四） 以证券作为担保物的金融资产和金融负债，通过证券结算系统或其他类似机制进行结算（例如券款对付），即如果证券交付失败，则以证券作为抵押的应收款项或应付款项的处理也将失败，反之亦然；</w:t>
        <w:br/>
        <w:t>（五） 若发生本条（四）所述的失败交易，将重新进入处理程序，直至结算完成；</w:t>
        <w:br/>
        <w:t>（六） 由同一结算机构执行；</w:t>
        <w:br/>
        <w:t>（七） 有足够的日间信用额度，并且能够确保该日间信用额度一经申请提取即可履行，以支持各方能够在结算日进行支付处理。</w:t>
        <w:br/>
        <w:t>第三十三条　在下列情况下，通常认为不满足本准则第二十八条所列条件，不得抵销相关金融资产和金融负债：</w:t>
        <w:br/>
        <w:t>（一） 使用多项不同金融工具来仿效单项金融工具的特征，即“合成工具”。例如，利用浮动利率长期债券与收取浮动利息且支付固定利息的利率互换，合成一项固定利率长期负债。</w:t>
        <w:br/>
        <w:t>（二） 金融资产和金融负债虽然具有相同的主要风险敞口（例如远期合同或其他衍生工具组合中的资产和负债），但涉及不同的交易对手方。</w:t>
        <w:br/>
        <w:t>（三） 无追索权金融负债与作为其担保品的金融资产或其他资产。</w:t>
        <w:br/>
        <w:t>（四） 债务人为解除某项负债而将一定的金融资产进行托管（例如偿债基金或类似安排），但债权人尚未接受以这些资产清偿负债。</w:t>
        <w:br/>
        <w:t>（五） 因某些导致损失的事项而产生的义务预计可以通过保险合同向第三方索赔而得以补偿。</w:t>
        <w:br/>
        <w:t>第三十四条　企业与同一交易对手方进行多项金融工具交易时，可能与对手方签订“总互抵协议”。只有满足本准则第二十八条所列条件时，总互抵协议下的相关金融资产和金融负债才能抵销。</w:t>
        <w:br/>
        <w:t>总互抵协议，是指协议所涵盖的所有金融工具中的任何一项合同在发生违约或终止时，就协议所涵盖的所有金融工具按单一净额进行结算。</w:t>
        <w:br/>
        <w:t>第三十五条　企业应当区分金融资产和金融负债的抵销与终止确认。抵销金融资产和金融负债并在资产负债表中以净额列示，不应当产生利得或损失；终止确认是从资产负债表列示的项目中移除相关金融资产或金融负债，有可能产生利得或损失。</w:t>
        <w:br/>
        <w:t>第六章　金融工具对财务状况和经营成果影响的列报</w:t>
        <w:br/>
        <w:t>第一节　一般性规定</w:t>
        <w:br/>
        <w:t>第三十六条　企业在对金融工具各项目进行列报时，应当根据金融工具的特点及相关信息的性质对金融工具进行归类，并充分披露与金融工具相关的信息，使得财务报表附注中的披露与财务报表列示的各项目相互对应。</w:t>
        <w:br/>
        <w:t>第三十七条　在确定金融工具的列报类型时，企业至少应当将本准则范围内的金融工具区分为以摊余成本计量和以公允价值计量的类型。</w:t>
        <w:br/>
        <w:t>第三十八条　企业应当根据自身实际情况，按照本准则要求，合理确定列报金融工具的详细程度，既不应列报大量过于详细的信息从而掩盖了真正重要的信息，也不得列报过于汇总的信息从而难以区分各项交易或相关风险之间的重要差异。</w:t>
        <w:br/>
        <w:t>第三十九条　企业应当披露编制财务报表时对金融工具所采用的重要会计政策、计量基础和与理解财务报表相关的其他会计政策等信息，主要包括：</w:t>
        <w:br/>
        <w:t>（一） 对于指定为以公允价值计量且其变动计入当期损益的金融资产或金融负债，应当披露下列信息：</w:t>
        <w:br/>
        <w:t>1.指定的金融资产或金融负债的性质；</w:t>
        <w:br/>
        <w:t>2.初始确认时对上述金融资产或金融负债做出指定的标准；</w:t>
        <w:br/>
        <w:t>3.如何满足运用指定的标准。对于以消除或显著减少会计错配为目的的指定，企业应当披露该指定所针对的确认或计量不一致的描述性说明。对于以更好地反映组合的管理实质为目的的指定，企业应当披露该指定符合企业正式书面文件载明的风险管理或投资策略的描述性说明。对于整体指定为以公允价值计量且其变动计入当期损益的混合工具，企业应当披露运用指定标准的描述性说明。</w:t>
        <w:br/>
        <w:t>（二） 指定金融资产为可供出售金融资产的标准。</w:t>
        <w:br/>
        <w:t>（三） 金融资产常规购买和出售的会计政策。</w:t>
        <w:br/>
        <w:t>（四） 核销减值准备并减记金融资产账面价值的原则。</w:t>
        <w:br/>
        <w:t>（五） 如何确定每类金融工具的利得或损失。</w:t>
        <w:br/>
        <w:t>（六） 存在客观证据表明金融资产已发生减值的适用标准。</w:t>
        <w:br/>
        <w:t>（七） 为避免金融资产逾期或减值而重新议定条款的金融资产所适用的会计政策。</w:t>
        <w:br/>
        <w:t>第二节　资产负债表中的列示及相关披露</w:t>
        <w:br/>
        <w:t>第四十条　企业应当在资产负债表或相关附注中列报下列金融资产或金融负债的账面价值：</w:t>
        <w:br/>
        <w:t>（一） 以公允价值计量且其变动计入当期损益的金融资产，并分别反映交易性金融资产和在初始确认时指定为以公允价值计量且其变动计入当期损益的金融资产；</w:t>
        <w:br/>
        <w:t>（二）持有至到期投资；</w:t>
        <w:br/>
        <w:t>（三）贷款和应收款项；</w:t>
        <w:br/>
        <w:t>（四） 可供出售金融资产；</w:t>
        <w:br/>
        <w:t>（五） 以公允价值计量且其变动计入当期损益的金融负债，并分别反映交易性金融负债和在初始确认时指定为以公允价值计量且其变动计入当期损益的金融负债；</w:t>
        <w:br/>
        <w:t>（六） 其他金融负债。</w:t>
        <w:br/>
        <w:t>第四十一条　企业将单项或一组贷款或应收款项指定为以公允价值计量且其变动计入当期损益的金融资产的，应当披露下列信息：</w:t>
        <w:br/>
        <w:t>（一）资产负债表日该贷款或应收款项使企业面临的最大信用风险敞口。信用风险，是指金融工具的一方不履行义务，造成另一方发生财务损失的风险。</w:t>
        <w:br/>
        <w:t>（二） 相关信用衍生工具或类似工具使得该最大信用风险敞口降低的金额。</w:t>
        <w:br/>
        <w:t>（三） 该贷款或应收款项因信用风险变动引起的公允价值本期变</w:t>
        <w:br/>
        <w:t>动额和累计变动额。这些变动额，是该贷款或应收款项公允价值变动扣除由于市场风险因素的变化导致公允价值变动后的部分；或是企业以能够更真实地反映信用风险变动导致该贷款或应收款项公允价值变动的其他方法确定的金额。市场风险因素的变化包括，可观察的利率、商品价格、汇率以及价格指数、利率指数、汇率指数等指数的变动。</w:t>
        <w:br/>
        <w:t>（四） 相关信用衍生工具或类似工具的公允价值本期变动额和自该贷款或应收款项被指定以来的公允价值累计变动额。</w:t>
        <w:br/>
        <w:t>第四十二条　企业将一项金融负债指定为以公允价值计量且其变动计入当期损益的金融负债的，应当披露下列信息：</w:t>
        <w:br/>
        <w:t>（一） 该金融负债因信用风险变动引起的公允价值本期变动额和累计变动额。这些变动额，是该金融负债公允价值变动扣除由于市场风险因素的变化导致公允价值变动后的部分；或是企业以能够更真实地反映信用风险变动导致该金融负债公允价值变动的其他方法确定的金额。对于包含投资连结特征的合同，市场风险因素的变化包括相关内部或外部投资组合业绩的变动。</w:t>
        <w:br/>
        <w:t>（二） 该金融负债的账面价值与按合同约定到期应支付债权人金额之间的差额。</w:t>
        <w:br/>
        <w:t>第四十三条　企业应当披露本准则第四十一条（三）和第四十二条（一）中金额的确定方法。如果企业认为披露的信息未能真实反映相关金融工具公允价值变动中由信用风险引起的部分，则应当披露企业做出此结论的原因及其他需要考虑的因素。</w:t>
        <w:br/>
        <w:t>第四十四条　企业将金融资产进行重分类，改变了该金融资产后续计量基础的，应当披露该金融资产重分类前后的公允价值或账面价值和重分类的原因。</w:t>
        <w:br/>
        <w:t>第四十五条　对于所有可执行的总互抵协议或类似协议下的已确认金融工具，以及符合本准则第二十八条抵销条件的已确认金融工具，企业应当在报告期末以表格形式分别按金融资产和金融负债披露下列定量信息：</w:t>
        <w:br/>
        <w:t>（一） 已确认金融资产和金融负债的总额。</w:t>
        <w:br/>
        <w:t>（二） 按本准则规定抵销的金额。</w:t>
        <w:br/>
        <w:t>（三） 在资产负债表中列示的净额。</w:t>
        <w:br/>
        <w:t>（四） 可执行的总互抵协议或类似协议确定的，未包含在本条（二）中的金额，包括：</w:t>
        <w:br/>
        <w:t>1.不满足本准则抵销条件的已确认金融工具的金额；</w:t>
        <w:br/>
        <w:t>2.与财务担保物（包括现金担保）相关的金额，以在资产负债表中列示的净额扣除本条（四）第1项后的余额为限。</w:t>
        <w:br/>
        <w:t>（五） 资产负债表中列示的净额扣除本条（四）后的余额。</w:t>
        <w:br/>
        <w:t>企业应当披露本条（四）所述协议中抵销权的条款及其性质等信息，以及不同计量基础的金融工具适用本条时产生的计量差异。</w:t>
        <w:br/>
        <w:t>第四十六条　按照本准则第三章分类为权益工具的可回售工具，企业应当披露以下信息：</w:t>
        <w:br/>
        <w:t>（一） 可回售工具的汇总定量信息。</w:t>
        <w:br/>
        <w:t>（二） 对于按持有方要求承担的回购或赎回义务，企业的管理目标、政策和程序及其变化。</w:t>
        <w:br/>
        <w:t>（三） 回购或赎回可回售工具的预期现金流出金额以及确定方法。</w:t>
        <w:br/>
        <w:t>第四十七条　企业将本准则第三章规定的特殊金融工具在金融负债和权益工具之间重分类的，应当分别披露重分类前后的公允价值或账面价值，以及重分类的时间和原因。</w:t>
        <w:br/>
        <w:t>第四十八条　企业应当披露作为负债或或有负债担保物的金融资产的账面价值，以及与该项担保有关的条款和条件。其中，对于已转移金融资产的担保物，转入方有权出售或再抵押的，转出方应当在资产负债表中单独列示该金融资产。</w:t>
        <w:br/>
        <w:t>第四十九条　企业取得的担保物，在担保物所有人未违约时可出售或再抵押的，应当披露其公允价值、已出售或再抵押担保物的公允价值，以及承担的返还义务和使用担保物的条款和条件。</w:t>
        <w:br/>
        <w:t>第五十条　企业应当设置专门的备抵账户，记录每类金融资产因信用损失发生的减值，并披露减值准备的期初余额，本期计提、转回、转销、核销及其他变动的金额和期末余额等信息。</w:t>
        <w:br/>
        <w:t>第五十一条　对于企业发行的包含金融负债和权益工具成分的复合金融工具，嵌入了价值相互关联的多项衍生工具（如可赎回的可转换债务工具）的，应当披露相关特征。</w:t>
        <w:br/>
        <w:t>第五十二条　除短期应付款项之外的金融负债，企业应当披露下列信息：</w:t>
        <w:br/>
        <w:t>（一） 本期发生拖欠的金融负债的本金、利息、偿债基金、赎回条款的详细情况。</w:t>
        <w:br/>
        <w:t>（二） 发生拖欠的金融负债的期末账面价值。</w:t>
        <w:br/>
        <w:t>（三） 在财务报告批准对外报出前，就拖欠事项已采取的补救措施、对债务条款的重新议定等情况。</w:t>
        <w:br/>
        <w:t>企业本期发生了拖欠以外的其他违约情况，且债权人有权在发生违约时要求企业提前偿还的，企业应当按上述要求披露。如果在期末前相关违约情况已得到补救或已重新议定债务条款，则无需披露。</w:t>
        <w:br/>
        <w:t>第三节利润表中的列示及相关披露</w:t>
        <w:br/>
        <w:t>第五十三条　企业应当披露与金融工具有关的下列收入、费用、利得或损失：</w:t>
        <w:br/>
        <w:t>（一） 当期各类金融资产和金融负债所产生的利得或损失。其中，指定为以公允价值计量且其变动计入当期损益的金融资产和金融负债以及交易性金融资产和金融负债的利得或损失应当分别披露。对于可供出售金融资产，应当分别披露当期在其他综合收益中确认的以及当期从权益转入损益的利得或损失。</w:t>
        <w:br/>
        <w:t>（二） 除以公允价值计量且其变动计入当期损益的金融资产或金融负债外，按实际利率法计算的金融资产或金融负债产生的利息收入或利息费用总额，以及直接计入当期损益但在确定实际利率时未包括的手续费收入或支出。</w:t>
        <w:br/>
        <w:t>（三） 企业通过信托和其他托管活动代他人持有资产或进行投资而形成的，直接计入当期损益的手续费收入或支出。</w:t>
        <w:br/>
        <w:t>（四） 已发生减值的金融资产产生的利息收入。</w:t>
        <w:br/>
        <w:t>（五） 每类金融资产本期发生的减值损失。</w:t>
        <w:br/>
        <w:t>第四节套期保值相关披露</w:t>
        <w:br/>
        <w:t>第五十四条　企业应当披露与每类套期有关的下列信息：</w:t>
        <w:br/>
        <w:t>（一） 每类套期的描述。</w:t>
        <w:br/>
        <w:t>（二） 对套期工具的描述及其期末公允价值。</w:t>
        <w:br/>
        <w:t>（三） 被套期风险的性质。</w:t>
        <w:br/>
        <w:t>第五十五条　企业应当披露与现金流量套期有关的下列信息：</w:t>
        <w:br/>
        <w:t>（一） 现金流量预期发生期间及其预期影响损益的期间。</w:t>
        <w:br/>
        <w:t>（二） 对于前期运用套期会计方法但预期不再发生的交易的描述。</w:t>
        <w:br/>
        <w:t>（三） 本期在其他综合收益中确认的金额。</w:t>
        <w:br/>
        <w:t>（四） 本期从所有者权益中转出至利润表各项目的金额。</w:t>
        <w:br/>
        <w:t>（五） 本期预期交易形成的非金融资产或非金融负债在初始确认时从所有者权益转入的金额。</w:t>
        <w:br/>
        <w:t>第五十六条　企业应当单独披露下列关于套期会计的信息：</w:t>
        <w:br/>
        <w:t>（一） 在公允价值套期中，套期工具本期形成的利得或损失，以及被套期项目因被套期风险形成的利得或损失。</w:t>
        <w:br/>
        <w:t>（二） 在现金流量套期中，本期套期无效部分形成的利得或损失。</w:t>
        <w:br/>
        <w:t>（三） 在境外经营净投资套期中，本期套期无效部分形成的利得或损失。</w:t>
        <w:br/>
        <w:t>第五节　公允价值披露</w:t>
        <w:br/>
        <w:t>第五十七条　除了本准则第五十九条规定情况外，企业应当披露每一类金融资产和金融负债的公允价值，并与账面价值进行比较。对于在资产负债表中相互抵销的金融资产和金融负债，其公允价值应当以抵销后的金额披露。</w:t>
        <w:br/>
        <w:t>第五十八条　金融资产或金融负债初始确认的公允价值与交易价格存在差异时，如果其公允价值并非基于相同资产或负债在活跃市场中的报价，也非基于仅使用可观察市场数据的估值技术，企业在初始确认金融资产或金融负债时不应确认利得或损失。在此情况下，企业应当按金融资产或金融负债的类型披露下列信息：</w:t>
        <w:br/>
        <w:t>（一） 企业在损益中确认交易价格与初始确认的公允价值之间差额时所采用的会计政策，以反映市场参与者对资产或负债进行定价时所考虑的因素（包括时间因素）的变动。</w:t>
        <w:br/>
        <w:t>（二） 该项差异期初和期末尚未在损益中确认的金额和本期变动额。</w:t>
        <w:br/>
        <w:t>（三） 企业如何认定交易价格并非公允价值的最佳证据，以及确定公允价值的证据。</w:t>
        <w:br/>
        <w:t>第五十九条　企业可以不披露下列金融资产或金融负债的公允价值信息：</w:t>
        <w:br/>
        <w:t>（一） 账面价值与公允价值差异很小的金融资产或金融负债（如短期应收账款或应付账款）。</w:t>
        <w:br/>
        <w:t>（二） 活跃市场中没有报价且其公允价值无法可靠计量的权益工具投资以及与该工具挂钩的衍生工具。</w:t>
        <w:br/>
        <w:t>（三） 包含相机分红特征且其公允价值无法可靠计量的合同。</w:t>
        <w:br/>
        <w:t>第六十条　在第五十九条（二）、（三）所述的情况下，企业应当披露下列信息：</w:t>
        <w:br/>
        <w:t>（一） 对金融工具的描述及其账面价值，以及因公允价值无法可靠计量而未披露其公允价值的事实和说明。</w:t>
        <w:br/>
        <w:t>（二） 金融工具的相关市场信息。</w:t>
        <w:br/>
        <w:t>（三） 企业是否有意图及如何处置这些金融工具。</w:t>
        <w:br/>
        <w:t>（四） 已终止确认金融工具的事实，以及终止确认时的账面价值和形成的利得或损失。</w:t>
        <w:br/>
        <w:t>第七章　与金融工具相关的风险披露</w:t>
        <w:br/>
        <w:t>第一节　定性和定量信息</w:t>
        <w:br/>
        <w:t>第六十一条　企业应当披露与各类金融工具风险相关的定性和定量信息，以便财务报表使用者评估报告期末金融工具产生的风险的性质和程度，更好地评价企业所面临的风险敞口。相关风险包括信用风险、流动性风险、市场风险等。</w:t>
        <w:br/>
        <w:t>第六十二条　对金融工具产生的各类风险，企业应当披露下列定性信息：</w:t>
        <w:br/>
        <w:t>（一） 风险敞口及其形成原因，以及在本期发生的变化。</w:t>
        <w:br/>
        <w:t>（二） 风险管理目标、政策和程序以及计量风险的方法及其在本期发生的变化。</w:t>
        <w:br/>
        <w:t>第六十三条　对金融工具产生的各类风险，企业应当按类别披露下列定量信息：</w:t>
        <w:br/>
        <w:t>（一） 期末风险敞口的汇总数据。该数据应当以向内部关键管理人员提供的相关信息为基础。企业运用多种方法管理风险的，披露的信息应当以最相关和可靠的方法为基础。</w:t>
        <w:br/>
        <w:t>（二） 按照第六十四条至第七十四条披露的信息。</w:t>
        <w:br/>
        <w:t>（三） 期末风险集中度信息，包括管理层确定风险集中度的说明和参考因素（包括交易对手方、地理区域、货币种类、市场类型等），以及各风险集中度相关的风险敞口金额。</w:t>
        <w:br/>
        <w:t>上述期末定量信息不能代表企业本期风险敞口情况的，应当进一步提供相关信息。</w:t>
        <w:br/>
        <w:t>第二节　信用风险披露</w:t>
        <w:br/>
        <w:t>第六十四条　企业应当披露与每类金融工具信用风险有关的下列信息：</w:t>
        <w:br/>
        <w:t>（一） 在不考虑可利用的担保物或其他信用增级的情况下，企业在资产负债表日的最大信用风险敞口。金融工具的账面价值能代表最大信用风险敞口的，无需提供此项披露。</w:t>
        <w:br/>
        <w:t>（二） 可利用担保物或其他信用增级的信息及其对最大信用风险敞口的财务影响。</w:t>
        <w:br/>
        <w:t>（三） 未逾期且未减值的金融资产的信用质量信息。</w:t>
        <w:br/>
        <w:t>金融资产在资产负债表日的最大信用风险敞口，通常是账面余额减去减值损失的金额（已减去根据本准则规定已抵销的金额）。</w:t>
        <w:br/>
        <w:t>第六十五条　企业应当按类披露在资产负债表日已逾期或已减值的金融资产的下列信息：</w:t>
        <w:br/>
        <w:t>（一） 已逾期未减值的金融资产的账龄分析。</w:t>
        <w:br/>
        <w:t>（二） 已发生单项减值的金融资产的分析，包括判断该金融资产发生减值所考虑的因素。</w:t>
        <w:br/>
        <w:t>第六十六条　企业本期通过取得担保物或其他信用增级所确认的金融资产或非金融资产，应当披露下列信息：</w:t>
        <w:br/>
        <w:t>（一） 所确认资产的性质和账面价值。</w:t>
        <w:br/>
        <w:t>（二） 对于不易变现的资产，应当披露处置或拟将其用于日常经营的政策等。</w:t>
        <w:br/>
        <w:t>第三节　流动性风险披露</w:t>
        <w:br/>
        <w:t>第六十七条　企业应当披露金融负债按剩余到期期限进行的到期期限分析，以及管理这些金融负债流动性风险的方法：</w:t>
        <w:br/>
        <w:t>（一） 对于非衍生金融负债（包括财务担保合同），到期期限分析应当基于合同剩余到期期限。对于包含嵌入衍生工具的混合金融工具，应当将其整体视为非衍生金融负债进行披露。</w:t>
        <w:br/>
        <w:t>（二） 对于衍生金融负债，如果合同到期期限是理解现金流量时间分布的关键因素，到期期限分析应当基于合同剩余到期期限。</w:t>
        <w:br/>
        <w:t>当企业将所持有的金融资产作为流动性风险管理的一部分，且披露金融资产的到期期限分析使财务报表使用者能够恰当地评估企业流动性风险的性质和范围时，企业应当披露金融资产的到期期限分析。</w:t>
        <w:br/>
        <w:t>流动性风险，是指企业在履行以交付现金或其他金融资产的方式结算的义务时发生资金短缺的风险。</w:t>
        <w:br/>
        <w:t>第六十八条　企业在披露到期期限分析时，应当运用职业判断确定适当的时间段。列入各时间段内按照第六十七条所披露的金额，应当是未经折现的合同现金流量。</w:t>
        <w:br/>
        <w:t>企业可以但不限于按下列时间段进行到期期限分析：</w:t>
        <w:br/>
        <w:t>（一） 一个月以内（含本数，下同）；</w:t>
        <w:br/>
        <w:t>（二） 一个月至三个月以内；</w:t>
        <w:br/>
        <w:t>（三） 三个月至一年以内；</w:t>
        <w:br/>
        <w:t>（四） 一年至五年以内；</w:t>
        <w:br/>
        <w:t>（五） 五年以上。</w:t>
        <w:br/>
        <w:t>第六十九条　债权人可以选择收回债权时间的，债务人应当将相应的金融负债列入债权人可以要求收回债权的最早时间段内。</w:t>
        <w:br/>
        <w:t>债务人应付债务金额不固定的，应当根据资产负债表日的情况确定到期期限分析所披露的金额。如分期付款的，债务人应当把每期将支付的款项列入相应的最早时间段内。</w:t>
        <w:br/>
        <w:t>财务担保合同形成的金融负债，担保人应当将最大担保金额列入相关方可以要求支付的最早时间段内。</w:t>
        <w:br/>
        <w:t>第七十条　企业应当披露流动性风险敞口汇总定量信息的确定方法。此类汇总定量信息中的现金（或另一项金融资产）流出符合以下条件之一的，应当说明相关事实，并提供有助于评价该风险程度的额外定量信息：</w:t>
        <w:br/>
        <w:t>（一） 该现金的流出可能显著早于汇总定量信息中所列示的时间。</w:t>
        <w:br/>
        <w:t>（二） 该现金的流出可能与汇总定量信息中所列示的金额存在重大差异。</w:t>
        <w:br/>
        <w:t>如果以上信息已包括在本准则第六十七条规定的到期期限分析中，则无需披露上述额外定量信息。</w:t>
        <w:br/>
        <w:t>第四节　市场风险披露</w:t>
        <w:br/>
        <w:t>第七十一条　金融工具的市场风险，是指金融工具的公允价值或未来现金流量因市场价格变动而发生波动的风险，包括汇率风险、利率风险和其他价格风险。</w:t>
        <w:br/>
        <w:t>汇率风险，是指金融工具的公允价值或未来现金流量因外汇汇率变动而发生波动的风险。汇率风险可源于以记账本位币之外的外币进行计价的金融工具。</w:t>
        <w:br/>
        <w:t>利率风险，是指金融工具的公允价值或未来现金流量因市场利率变动而发生波动的风险。利率风险可源于已确认的计息金融工具和未确认的金融工具（如某些贷款承诺）。</w:t>
        <w:b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或权益工具价格等的变化。</w:t>
        <w:br/>
        <w:t>第七十二条　在对市场风险进行敏感性分析时，应当以整个企业为基础，披露下列信息：</w:t>
        <w:br/>
        <w:t>（一） 资产负债表日所面临的各类市场风险的敏感性分析。该项披露应当反映资产负债表日相关风险变量发生合理、可能的变动时，将对企业损益和所有者权益产生的影响。</w:t>
        <w:br/>
        <w:t>对具有重大汇率风险敞口的每一种货币，应当分币种进行敏感性分析。</w:t>
        <w:br/>
        <w:t>（二） 本期敏感性分析所使用的方法和假设，以及本期发生的变化和原因。</w:t>
        <w:br/>
        <w:t>第七十三条　企业采用风险价值法或类似方法进行敏感性分析能够反映金融风险变量之间（如利率和汇率之间等）的关联性，且企业已采用该种方法管理金融风险的，可不按照第七十二条的规定进行披露，但应当披露下列信息：</w:t>
        <w:br/>
        <w:t>（一） 用于该种敏感性分析的方法、选用的主要参数和假设。</w:t>
        <w:br/>
        <w:t>（二） 所用方法的目的，以及该方法提供的信息在反映相关资产和负债公允价值方面的局限性。</w:t>
        <w:br/>
        <w:t>第七十四条　按照第七十二条或第七十三条对敏感性分析的披露不能反映金融工具市场风险的（例如，期末的风险敞口不能反映当期的风险状况），企业应当披露这一事实及其原因。</w:t>
        <w:br/>
        <w:t>第八章　金融资产转移的披露</w:t>
        <w:br/>
        <w:t>第七十五条　企业应当就资产负债表日存在的所有未终止确认的已转移金融资产，以及对已转移金融资产的继续涉入，按本准则要求单独披露。</w:t>
        <w:br/>
        <w:t>本章所述的金融资产转移，是指下列两种情形：</w:t>
        <w:br/>
        <w:t>（一） 将收取金融资产现金流量的合同权利转移给另一方。</w:t>
        <w:br/>
        <w:t>（二） 将金融资产整体或部分转移给另一方，但保留收取金融资产现金流量的合同权利，并承担将收取的现金流量支付给一个或多个收款方的合同义务。</w:t>
        <w:br/>
        <w:t>第七十六条　企业对于金融资产转移所披露的信息，应当有助于财务报表使用者了解未整体终止确认的已转移金融资产与相关负债之间的关系，评价企业继续涉入已终止确认金融资产的性质和相关风险。</w:t>
        <w:br/>
        <w:t>企业按照本准则第七十八条和第七十九条所披露信息不能满足本条前款要求的，应当披露其他补充信息。</w:t>
        <w:br/>
        <w:t>第七十七条　本章所述的继续涉入，是指企业保留了已转移金融资产中内在的合同权利或义务，或者取得了与已转移金融资产相关的新合同权利或义务。转出方与转入方签订的转让协议或与第三方单独签订的与转让相关的协议，都有可能形成对已转移金融资产的继续涉入。如果企业对已转移金融资产的未来业绩不享有任何利益，也不承担与已转移金融资产相关的任何未来支付义务，则不形成继续涉入。以下情形不形成继续涉入：</w:t>
        <w:br/>
        <w:t>（一） 与转移的真实性以及合理、诚信和公平交易等原则有关的常规声明和保证，这些声明和保证可能因法律行为导致转移无效。</w:t>
        <w:br/>
        <w:t>（二） 以公允价值回购已转移金融资产的远期、期权和其他合同。</w:t>
        <w:br/>
        <w:t>（三） 使企业保留了获取金融资产现金流量的合同权利但承担了将这些现金流量支付给一个或多个收款方的合同义务的安排，且这类安排满足《企业会计准则第23号——金融资产转移》第四条（二）中三个条件。</w:t>
        <w:br/>
        <w:t>第七十八条　对于已转移但未整体终止确认的金融资产，应当按照类别披露下列信息：</w:t>
        <w:br/>
        <w:t>（一） 已转移金融资产的性质；</w:t>
        <w:br/>
        <w:t>（二） 仍保留的与所有权有关的风险和报酬的性质；</w:t>
        <w:br/>
        <w:t>（三） 已转移金融资产与相关负债之间关系的性质，包括因转移引起的对企业使用已转移金融资产的限制；</w:t>
        <w:br/>
        <w:t>（四） 在转移金融资产形成的相关负债的交易对手方仅对已转移金融资产有追索权的情况下，应当以表格形式披露所转移金融资产和相关负债的公允价值以及净头寸，即已转移金融资产和相关负债公允价值之间的差额；</w:t>
        <w:br/>
        <w:t>（五） 继续确认已转移金融资产整体的，披露已转移金融资产和相关负债的账面价值；</w:t>
        <w:br/>
        <w:t>（六） 按继续涉入程度确认所转移金融资产的，披露转移前该金融资产整体的账面价值、按继续涉入程度确认的资产和相关负债的账面价值。</w:t>
        <w:br/>
        <w:t>第七十九条　对于已整体终止确认但转出方继续涉入已转移金融资产的，应当至少按照类别披露下列信息：</w:t>
        <w:br/>
        <w:t>（一） 因继续涉入确认的资产和负债的账面价值和公允价值，以及在资产负债表中对应的项目；</w:t>
        <w:br/>
        <w:t>（二） 因继续涉入导致企业发生损失的最大风险敞口及确定方法；</w:t>
        <w:br/>
        <w:t>（三） 应当或可能回购已终止确认的金融资产需要支付的未折现现金流量（如期权协议中的行权价格）或其他应向转入方支付的款项，以及对这些现金流量或款项的到期期限分析。如果到期期限可能为一个区间，应当以企业必须或可能支付的最早日期为依据归入相应的时间段。到期期限分析应当分别反映企业应当支付的现金流量（如远期合同）、企业可能支付的现金流量（如签出看跌期权）以及企业可选择支付的现金流量（如购入看涨期权）。在现金流量不固定的情形下，上述金额应当基于每个资产负债表日的情况披露；</w:t>
        <w:br/>
        <w:t>（四） 对本条（一）至（三）定量信息的解释性说明，包括对已转移金融资产、继续涉入的性质和目的，以及企业所面临风险的描述等。其中，对企业所面临风险的描述包括以下各项：</w:t>
        <w:br/>
        <w:t>1.对继续涉入已终止确认金融资产的风险进行管理的方法。</w:t>
        <w:br/>
        <w:t>2.企业是否应先于其他方承担有关损失，以及先于本企业承担损失的其他方应承担损失的顺序及金额。</w:t>
        <w:br/>
        <w:t>3.向已转移金融资产提供财务支持或回购该金融资产的义务的触发条件。</w:t>
        <w:br/>
        <w:t>（五） 金融资产转移日确认的利得或损失，以及因继续涉入已终止确认金融资产当期和累计确认的收益或费用（如衍生工具的公允价值变动）。</w:t>
        <w:br/>
        <w:t>（六） 终止确认产生的收款总额在本期分布不均衡的（例如大部分转移金额在临近报告期末发生），应当披露本期最大转移活动发生的时间段、该段期间所确认的金额（如相关利得或损失）和收款总额。</w:t>
        <w:br/>
        <w:t>企业在披露本条所规定的信息时，应当按照其继续涉入面临的风险敞口类型分类汇总披露。例如，可按金融工具类别（如担保或看涨期权）或转让类型（如应收账款保理、证券化和融券）分类汇总披露。企业对某项终止确认的金融资产存在多种继续涉入方式的，可按其中一类汇总披露。</w:t>
        <w:br/>
        <w:t>第八十条　企业按照第七十七条确定是否继续涉入已转移金融资产时，应当以自身财务报告为基础进行考虑。</w:t>
        <w:br/>
        <w:t>第九章　衔接规定</w:t>
        <w:br/>
        <w:t>第八十一条　对于本准则施行之前存在的金融工具，其会计处理与本准则规定不一致的，应当按照《企业会计准则第28号——会计政策、会计估计变更和差错更正》的规定采用追溯调整法进行处理。追溯调整不切实可行的，则应当采用未来适用法。</w:t>
        <w:br/>
        <w:t>在对外提供比较期间的财务报表时，对于因会计政策变更产生的累积影响数，应当调整比较财务报表最早期间的期初留存收益，涉及财务报表其他相关项目的数字也应当一并调整。</w:t>
        <w:br/>
        <w:t>第十章　附则</w:t>
        <w:br/>
        <w:t>第八十二条　企业应当在2014年年度及以后期间的财务报告中按照本准则要求对金融工具进行列报。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