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1D550">
      <w:pPr>
        <w:jc w:val="center"/>
        <w:rPr>
          <w:rFonts w:hint="eastAsia" w:eastAsia="宋体"/>
          <w:b/>
          <w:bCs/>
          <w:sz w:val="36"/>
          <w:szCs w:val="36"/>
          <w:lang w:eastAsia="zh-CN"/>
        </w:rPr>
      </w:pPr>
      <w:bookmarkStart w:id="1" w:name="_GoBack"/>
      <w:bookmarkEnd w:id="1"/>
      <w:r>
        <w:rPr>
          <w:rFonts w:hint="eastAsia"/>
          <w:b/>
          <w:bCs/>
          <w:sz w:val="36"/>
          <w:szCs w:val="36"/>
        </w:rPr>
        <w:t>填写说明</w:t>
      </w:r>
    </w:p>
    <w:p w14:paraId="629CDC45">
      <w:pPr>
        <w:numPr>
          <w:ilvl w:val="0"/>
          <w:numId w:val="1"/>
        </w:numPr>
        <w:spacing w:before="100" w:beforeAutospacing="1" w:after="100" w:afterAutospacing="1" w:line="640" w:lineRule="atLeast"/>
        <w:rPr>
          <w:rFonts w:ascii="仿宋" w:hAnsi="仿宋" w:eastAsia="仿宋"/>
          <w:sz w:val="30"/>
          <w:szCs w:val="30"/>
        </w:rPr>
      </w:pPr>
      <w:r>
        <w:rPr>
          <w:rFonts w:hint="eastAsia" w:ascii="仿宋" w:hAnsi="仿宋" w:eastAsia="仿宋"/>
          <w:sz w:val="30"/>
          <w:szCs w:val="30"/>
        </w:rPr>
        <w:t>本申请书所列各项内容均须实事求是，认真填写，表达明确严谨，简明扼要。</w:t>
      </w:r>
    </w:p>
    <w:p w14:paraId="6B3F36F1">
      <w:pPr>
        <w:numPr>
          <w:ilvl w:val="0"/>
          <w:numId w:val="1"/>
        </w:numPr>
        <w:spacing w:before="100" w:beforeAutospacing="1" w:after="100" w:afterAutospacing="1" w:line="640" w:lineRule="atLeast"/>
        <w:rPr>
          <w:rFonts w:ascii="仿宋" w:hAnsi="仿宋" w:eastAsia="仿宋"/>
          <w:sz w:val="30"/>
          <w:szCs w:val="30"/>
        </w:rPr>
      </w:pPr>
      <w:r>
        <w:rPr>
          <w:rFonts w:hint="eastAsia" w:ascii="仿宋" w:hAnsi="仿宋" w:eastAsia="仿宋"/>
          <w:sz w:val="30"/>
          <w:szCs w:val="30"/>
        </w:rPr>
        <w:t>申请人可以是个人，也可为创新团队，首页只填负责人。“项目编号”一栏不填。项目团队一般不超过5个人。</w:t>
      </w:r>
    </w:p>
    <w:p w14:paraId="5247A9F0">
      <w:pPr>
        <w:numPr>
          <w:ilvl w:val="0"/>
          <w:numId w:val="1"/>
        </w:numPr>
        <w:spacing w:before="100" w:beforeAutospacing="1" w:after="100" w:afterAutospacing="1" w:line="640" w:lineRule="atLeast"/>
        <w:rPr>
          <w:rFonts w:ascii="仿宋" w:hAnsi="仿宋" w:eastAsia="仿宋"/>
          <w:sz w:val="30"/>
          <w:szCs w:val="30"/>
        </w:rPr>
      </w:pPr>
      <w:r>
        <w:rPr>
          <w:rFonts w:hint="eastAsia" w:ascii="仿宋" w:hAnsi="仿宋" w:eastAsia="仿宋"/>
          <w:sz w:val="30"/>
          <w:szCs w:val="30"/>
        </w:rPr>
        <w:t>本申请书为大16开本（A4），左侧装订成册。可网上下载、自行复印或加页，但格式、内容、大小均须与原件一致。</w:t>
      </w:r>
    </w:p>
    <w:p w14:paraId="07A6A6F9">
      <w:pPr>
        <w:numPr>
          <w:ilvl w:val="0"/>
          <w:numId w:val="1"/>
        </w:numPr>
        <w:spacing w:before="100" w:beforeAutospacing="1" w:after="100" w:afterAutospacing="1" w:line="640" w:lineRule="atLeast"/>
        <w:rPr>
          <w:rFonts w:ascii="仿宋" w:hAnsi="仿宋" w:eastAsia="仿宋"/>
          <w:sz w:val="30"/>
          <w:szCs w:val="30"/>
        </w:rPr>
      </w:pPr>
      <w:r>
        <w:rPr>
          <w:rFonts w:hint="eastAsia" w:ascii="仿宋" w:hAnsi="仿宋" w:eastAsia="仿宋"/>
          <w:sz w:val="30"/>
          <w:szCs w:val="30"/>
        </w:rPr>
        <w:t>申请国家级、省级项目的负责人提交的申请书经所在学院认真审核,经初评和答辩，签署意见后，将申请书（一式两份）报送南京农业大学教务处实践科。</w:t>
      </w:r>
    </w:p>
    <w:p w14:paraId="3F26ABD3">
      <w:pPr>
        <w:numPr>
          <w:ilvl w:val="0"/>
          <w:numId w:val="1"/>
        </w:numPr>
        <w:spacing w:before="100" w:beforeAutospacing="1" w:after="100" w:afterAutospacing="1" w:line="640" w:lineRule="atLeast"/>
        <w:rPr>
          <w:rFonts w:ascii="仿宋" w:hAnsi="仿宋" w:eastAsia="仿宋"/>
          <w:sz w:val="30"/>
          <w:szCs w:val="30"/>
        </w:rPr>
      </w:pPr>
      <w:r>
        <w:rPr>
          <w:rFonts w:hint="eastAsia" w:ascii="仿宋" w:hAnsi="仿宋" w:eastAsia="仿宋"/>
          <w:sz w:val="30"/>
          <w:szCs w:val="30"/>
        </w:rPr>
        <w:t>“经费预算”主要包括：元器件费、实验耗材费、测试化验加工费、资料费、学术交流会议费、调研费、在学术期刊发表论文的版面费、知识产权事务费、市内交通费、其他与项目研究有关的费用等。不得包括下列事项相关费用：餐饮、旅游、通讯、计算机及其配件、设备维修、办公耗材（墨盒、硒鼓、打印纸等）、劳务费、其它与项目研究无关的事务。</w:t>
      </w:r>
    </w:p>
    <w:p w14:paraId="3FFF9B36">
      <w:pPr>
        <w:pStyle w:val="2"/>
        <w:keepNext/>
        <w:spacing w:line="600" w:lineRule="atLeast"/>
        <w:textAlignment w:val="center"/>
        <w:rPr>
          <w:rFonts w:hint="eastAsia" w:ascii="黑体" w:hAnsi="黑体" w:eastAsia="黑体"/>
          <w:b w:val="0"/>
          <w:bCs w:val="0"/>
          <w:sz w:val="28"/>
          <w:szCs w:val="28"/>
        </w:rPr>
      </w:pPr>
    </w:p>
    <w:p w14:paraId="65DC36E2">
      <w:pPr>
        <w:pStyle w:val="2"/>
        <w:keepNext/>
        <w:spacing w:line="600" w:lineRule="atLeast"/>
        <w:textAlignment w:val="center"/>
        <w:rPr>
          <w:rFonts w:hint="eastAsia" w:ascii="黑体" w:hAnsi="黑体" w:eastAsia="黑体"/>
          <w:b w:val="0"/>
          <w:bCs w:val="0"/>
          <w:sz w:val="28"/>
          <w:szCs w:val="28"/>
          <w:lang w:eastAsia="zh-CN"/>
        </w:rPr>
      </w:pPr>
      <w:r>
        <w:rPr>
          <w:rFonts w:hint="eastAsia" w:ascii="黑体" w:hAnsi="黑体" w:eastAsia="黑体"/>
          <w:b w:val="0"/>
          <w:bCs w:val="0"/>
          <w:sz w:val="28"/>
          <w:szCs w:val="28"/>
        </w:rPr>
        <w:t>二、项目内容（可加页）</w:t>
      </w:r>
    </w:p>
    <w:tbl>
      <w:tblPr>
        <w:tblStyle w:val="7"/>
        <w:tblW w:w="5000" w:type="pct"/>
        <w:tblInd w:w="0" w:type="dxa"/>
        <w:tblLayout w:type="autofit"/>
        <w:tblCellMar>
          <w:top w:w="0" w:type="dxa"/>
          <w:left w:w="108" w:type="dxa"/>
          <w:bottom w:w="0" w:type="dxa"/>
          <w:right w:w="108" w:type="dxa"/>
        </w:tblCellMar>
      </w:tblPr>
      <w:tblGrid>
        <w:gridCol w:w="9380"/>
      </w:tblGrid>
      <w:tr w14:paraId="28B83295">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noWrap w:val="0"/>
            <w:tcMar>
              <w:top w:w="0" w:type="dxa"/>
              <w:left w:w="0" w:type="dxa"/>
              <w:bottom w:w="0" w:type="dxa"/>
              <w:right w:w="0" w:type="dxa"/>
            </w:tcMar>
            <w:vAlign w:val="center"/>
          </w:tcPr>
          <w:p w14:paraId="291FB1E7">
            <w:pPr>
              <w:keepNext w:val="0"/>
              <w:keepLines w:val="0"/>
              <w:pageBreakBefore w:val="0"/>
              <w:widowControl/>
              <w:kinsoku/>
              <w:wordWrap/>
              <w:overflowPunct/>
              <w:topLinePunct w:val="0"/>
              <w:autoSpaceDE/>
              <w:autoSpaceDN/>
              <w:bidi w:val="0"/>
              <w:adjustRightInd/>
              <w:snapToGrid/>
              <w:spacing w:line="360" w:lineRule="auto"/>
              <w:rPr>
                <w:rFonts w:hint="eastAsia" w:cs="宋体"/>
                <w:b/>
                <w:bCs/>
                <w:sz w:val="24"/>
                <w:szCs w:val="24"/>
                <w:lang w:val="en-US" w:eastAsia="zh-CN" w:bidi="ar-SA"/>
              </w:rPr>
            </w:pPr>
            <w:r>
              <w:rPr>
                <w:rFonts w:hint="eastAsia" w:cs="宋体"/>
                <w:b/>
                <w:bCs/>
                <w:sz w:val="24"/>
                <w:szCs w:val="24"/>
                <w:lang w:val="en-US" w:eastAsia="zh-CN" w:bidi="ar-SA"/>
              </w:rPr>
              <w:t>（一）研究目的</w:t>
            </w:r>
          </w:p>
          <w:p w14:paraId="4B5278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农业文化遗产是具有重要历史人文价值、对现代生态循环农业有重要借鉴意义的传统农业系统。对农业文化遗产进行有效保护，可以更好地挖掘传统农业价值，促进农业可持续发展和乡村繁荣。我国农业文化遗产资源禀赋优异，为更好实现其价值，对农业文化遗产实行系统化保护是应有之义。</w:t>
            </w:r>
            <w:r>
              <w:rPr>
                <w:rFonts w:hint="eastAsia"/>
              </w:rPr>
              <w:t>2024年7月18日中国共产党第二十届中央委员会第三次全体会议通过的《党的二十届三中全会决定》强调“推动文化遗产系统性保护和统一监管”，</w:t>
            </w:r>
            <w:r>
              <w:rPr>
                <w:rFonts w:hint="eastAsia"/>
                <w:lang w:val="en-US" w:eastAsia="zh-CN"/>
              </w:rPr>
              <w:t>指出系统性保护是加强文化遗产保护传承工作的内在要求，</w:t>
            </w:r>
            <w:r>
              <w:rPr>
                <w:rFonts w:hint="eastAsia"/>
                <w:lang w:eastAsia="zh-CN"/>
              </w:rPr>
              <w:t>为文化遗产的协同发展提供宏观指导。</w:t>
            </w:r>
            <w:r>
              <w:rPr>
                <w:rFonts w:hint="default"/>
                <w:lang w:val="en-US" w:eastAsia="zh-CN"/>
              </w:rPr>
              <w:t>2022年8月，中共中央办公厅、国务院办公厅印发《“十四五”文化发展规划》提出“强化整体性系统性保护，建设国家级文化生态保护区、非遗特色村镇和街区”。2024年10月28日，习近平总书记在中央政治局就建设文化强国进行第十七次集体学习时指出，要坚持保护第一、合理利用和最小干预原则，推动文化遗产系统性保护和统一监管。为未来推动文化遗产的协同保护提供了政策指导。</w:t>
            </w:r>
            <w:r>
              <w:rPr>
                <w:rFonts w:hint="eastAsia"/>
                <w:lang w:val="en-US" w:eastAsia="zh-CN"/>
              </w:rPr>
              <w:t>由此可见</w:t>
            </w:r>
            <w:r>
              <w:rPr>
                <w:rFonts w:hint="default"/>
                <w:lang w:val="en-US" w:eastAsia="zh-CN"/>
              </w:rPr>
              <w:t>，国内外的文化遗产保护理念正经历从“单一要素”保护向“整体性”、“系统性”保护的深刻转变。</w:t>
            </w:r>
            <w:r>
              <w:rPr>
                <w:rFonts w:hint="eastAsia"/>
                <w:lang w:val="en-US" w:eastAsia="zh-CN"/>
              </w:rPr>
              <w:t>与此同时，农业文化遗产作为重要遗产，受到党和国家高度重视，而农业文化遗产的系统性保护路径尚不完善，亟待深化研究。</w:t>
            </w:r>
          </w:p>
          <w:p w14:paraId="190088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default"/>
                <w:lang w:val="en-US" w:eastAsia="zh-CN"/>
              </w:rPr>
              <w:t>2017年5月</w:t>
            </w:r>
            <w:r>
              <w:rPr>
                <w:rFonts w:hint="eastAsia"/>
                <w:lang w:val="en-US" w:eastAsia="zh-CN"/>
              </w:rPr>
              <w:t>，</w:t>
            </w:r>
            <w:r>
              <w:rPr>
                <w:rFonts w:hint="default"/>
                <w:lang w:val="en-US" w:eastAsia="zh-CN"/>
              </w:rPr>
              <w:t>里下河地区的高邮湖泊湿地农业系统成功入选了中国重要农业文化遗产</w:t>
            </w:r>
            <w:r>
              <w:rPr>
                <w:rFonts w:hint="eastAsia"/>
                <w:lang w:val="en-US" w:eastAsia="zh-CN"/>
              </w:rPr>
              <w:t>，</w:t>
            </w:r>
            <w:r>
              <w:rPr>
                <w:rFonts w:hint="default"/>
                <w:lang w:val="en-US" w:eastAsia="zh-CN"/>
              </w:rPr>
              <w:t>并成为全球重要农业文化遗产项目候选</w:t>
            </w:r>
            <w:r>
              <w:rPr>
                <w:rFonts w:hint="eastAsia"/>
                <w:lang w:val="en-US" w:eastAsia="zh-CN"/>
              </w:rPr>
              <w:t>。2021年11月26日，里运河-高邮灌区正式列入世界灌溉工程遗产名录。高邮湖地区具有丰富的遗产资源：高邮湖泊湿地系统、里运河-高邮灌区、大运河高邮段、非物质文化遗产深度互动，是多类型遗产系统性保护的典范。然而，本项目通过文献研究和社会调研发现，高邮湖泊湿地系统的系统性保护仍不够完善。各类型遗产的主体多元割裂、政策协同缺乏、保护认知局限，忽视了高邮湖文化遗产系统的整体性，保护方式仍待改进。对此，本项目以系统性保护为研究视角，以高邮湖湿地系统这一多类型遗产互相作用的体系为案例，其核心目的在于超越单一类型遗产保护的局限，探索并构建一条适用于多类型遗产互相作用情境下的系统性保护新路径。具体细化为以下四个研究方面：</w:t>
            </w:r>
          </w:p>
          <w:p w14:paraId="23631C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1.</w:t>
            </w:r>
            <w:r>
              <w:rPr>
                <w:rFonts w:hint="eastAsia"/>
                <w:lang w:val="en-US" w:eastAsia="zh-CN"/>
              </w:rPr>
              <w:t>资料收集和现状了解：</w:t>
            </w:r>
            <w:r>
              <w:rPr>
                <w:rFonts w:hint="default"/>
                <w:lang w:val="en-US" w:eastAsia="zh-CN"/>
              </w:rPr>
              <w:t>通过文献回顾与实地调研，收集包括但不限于当地农民访谈记录、实践观察报告、地方志记载等一手资料，</w:t>
            </w:r>
            <w:r>
              <w:rPr>
                <w:rFonts w:hint="eastAsia" w:cs="宋体"/>
                <w:b w:val="0"/>
                <w:bCs w:val="0"/>
                <w:kern w:val="2"/>
                <w:sz w:val="24"/>
                <w:szCs w:val="24"/>
                <w:lang w:val="en-US" w:eastAsia="zh-CN" w:bidi="ar-SA"/>
              </w:rPr>
              <w:t>本地统计年鉴、历年政策公文、政府工作报告等二手资料，</w:t>
            </w:r>
            <w:r>
              <w:rPr>
                <w:rFonts w:hint="default"/>
                <w:lang w:val="en-US" w:eastAsia="zh-CN"/>
              </w:rPr>
              <w:t>系统梳理</w:t>
            </w:r>
            <w:r>
              <w:rPr>
                <w:rFonts w:hint="eastAsia"/>
                <w:lang w:val="en-US" w:eastAsia="zh-CN"/>
              </w:rPr>
              <w:t>高邮湖湿地系统的</w:t>
            </w:r>
            <w:r>
              <w:rPr>
                <w:rFonts w:hint="default"/>
                <w:lang w:val="en-US" w:eastAsia="zh-CN"/>
              </w:rPr>
              <w:t>历史演变、</w:t>
            </w:r>
            <w:r>
              <w:rPr>
                <w:rFonts w:hint="eastAsia"/>
                <w:lang w:val="en-US" w:eastAsia="zh-CN"/>
              </w:rPr>
              <w:t>文化价值、保护举措、经济效益及</w:t>
            </w:r>
            <w:r>
              <w:rPr>
                <w:rFonts w:hint="default"/>
                <w:lang w:val="en-US" w:eastAsia="zh-CN"/>
              </w:rPr>
              <w:t>生态功能等方面</w:t>
            </w:r>
            <w:r>
              <w:rPr>
                <w:rFonts w:hint="eastAsia"/>
                <w:lang w:val="en-US" w:eastAsia="zh-CN"/>
              </w:rPr>
              <w:t>的研究成果</w:t>
            </w:r>
            <w:r>
              <w:rPr>
                <w:rFonts w:hint="default"/>
                <w:lang w:val="en-US" w:eastAsia="zh-CN"/>
              </w:rPr>
              <w:t>。全面梳理由农业文化遗产、灌溉工程遗产、非物质文化遗产构成的复合</w:t>
            </w:r>
            <w:r>
              <w:rPr>
                <w:rFonts w:hint="eastAsia"/>
                <w:lang w:val="en-US" w:eastAsia="zh-CN"/>
              </w:rPr>
              <w:t>遗产</w:t>
            </w:r>
            <w:r>
              <w:rPr>
                <w:rFonts w:hint="default"/>
                <w:lang w:val="en-US" w:eastAsia="zh-CN"/>
              </w:rPr>
              <w:t>系统结构。重点研究各类遗产的内在关联与互动机制。</w:t>
            </w:r>
          </w:p>
          <w:p w14:paraId="0E2796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default"/>
                <w:lang w:val="en-US" w:eastAsia="zh-CN"/>
              </w:rPr>
              <w:t>2.</w:t>
            </w:r>
            <w:r>
              <w:rPr>
                <w:rFonts w:hint="eastAsia"/>
                <w:lang w:val="en-US" w:eastAsia="zh-CN"/>
              </w:rPr>
              <w:t>问题诊断和根源剖析：从政策文件释读和社会调查入手，深入理解高邮湖湿地系统现有的保护政策、制度建设和遗产活化成果。在此基础上，深入揭示在多类型遗产场景下，因管理条块分割、政策叠加冲突、价值认知片面所导致的系统性保护障碍，剖析其制度性与机制性根源。</w:t>
            </w:r>
          </w:p>
          <w:p w14:paraId="59723D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3.</w:t>
            </w:r>
            <w:r>
              <w:rPr>
                <w:rFonts w:hint="eastAsia"/>
                <w:lang w:val="en-US" w:eastAsia="zh-CN"/>
              </w:rPr>
              <w:t>经验借鉴和对策探索：通过比较研究法</w:t>
            </w:r>
            <w:r>
              <w:rPr>
                <w:rFonts w:hint="default"/>
                <w:lang w:val="en-US" w:eastAsia="zh-CN"/>
              </w:rPr>
              <w:t>，</w:t>
            </w:r>
            <w:r>
              <w:rPr>
                <w:rFonts w:hint="eastAsia"/>
                <w:lang w:val="en-US" w:eastAsia="zh-CN"/>
              </w:rPr>
              <w:t>分析</w:t>
            </w:r>
            <w:r>
              <w:rPr>
                <w:rFonts w:hint="default"/>
                <w:lang w:val="en-US" w:eastAsia="zh-CN"/>
              </w:rPr>
              <w:t>全球范围内其他重要农业文化遗产</w:t>
            </w:r>
            <w:r>
              <w:rPr>
                <w:rFonts w:hint="eastAsia"/>
                <w:lang w:val="en-US" w:eastAsia="zh-CN"/>
              </w:rPr>
              <w:t>与其他类型遗产协同保护的典型案例</w:t>
            </w:r>
            <w:r>
              <w:rPr>
                <w:rFonts w:hint="default"/>
                <w:lang w:val="en-US" w:eastAsia="zh-CN"/>
              </w:rPr>
              <w:t>，借鉴其在</w:t>
            </w:r>
            <w:r>
              <w:rPr>
                <w:rFonts w:hint="eastAsia"/>
                <w:lang w:val="en-US" w:eastAsia="zh-CN"/>
              </w:rPr>
              <w:t>多类型遗产系统性保护方面</w:t>
            </w:r>
            <w:r>
              <w:rPr>
                <w:rFonts w:hint="default"/>
                <w:lang w:val="en-US" w:eastAsia="zh-CN"/>
              </w:rPr>
              <w:t>的经验及教训，</w:t>
            </w:r>
            <w:bookmarkStart w:id="0" w:name="OLE_LINK3"/>
            <w:r>
              <w:rPr>
                <w:rFonts w:hint="eastAsia"/>
                <w:lang w:val="en-US" w:eastAsia="zh-CN"/>
              </w:rPr>
              <w:t>围绕“主体多元割裂、政策协同缺乏、保护认知局限”三大问题，探索适用于高邮湖泊湿地系统的多类型遗产系统性保护新路径</w:t>
            </w:r>
            <w:bookmarkEnd w:id="0"/>
            <w:r>
              <w:rPr>
                <w:rFonts w:hint="eastAsia"/>
                <w:lang w:val="en-US" w:eastAsia="zh-CN"/>
              </w:rPr>
              <w:t>。</w:t>
            </w:r>
          </w:p>
          <w:p w14:paraId="740D56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lang w:val="en-US" w:eastAsia="zh-CN"/>
              </w:rPr>
              <w:t>4.</w:t>
            </w:r>
            <w:r>
              <w:rPr>
                <w:rFonts w:hint="eastAsia"/>
                <w:lang w:val="en-US" w:eastAsia="zh-CN"/>
              </w:rPr>
              <w:t>实地再调研和路径形成：</w:t>
            </w:r>
            <w:r>
              <w:rPr>
                <w:rFonts w:hint="default"/>
                <w:lang w:val="en-US" w:eastAsia="zh-CN"/>
              </w:rPr>
              <w:t>结合文献研究与实地调研，更进一步</w:t>
            </w:r>
            <w:r>
              <w:rPr>
                <w:rFonts w:hint="eastAsia"/>
                <w:lang w:val="en-US" w:eastAsia="zh-CN"/>
              </w:rPr>
              <w:t>挖掘</w:t>
            </w:r>
            <w:r>
              <w:rPr>
                <w:rFonts w:hint="default"/>
                <w:lang w:val="en-US" w:eastAsia="zh-CN"/>
              </w:rPr>
              <w:t>农业文化遗产及与之相关的非物质文化遗产、</w:t>
            </w:r>
            <w:r>
              <w:rPr>
                <w:rFonts w:hint="eastAsia"/>
                <w:lang w:val="en-US" w:eastAsia="zh-CN"/>
              </w:rPr>
              <w:t>世界灌溉工程遗产、</w:t>
            </w:r>
            <w:r>
              <w:rPr>
                <w:rFonts w:hint="default"/>
                <w:lang w:val="en-US" w:eastAsia="zh-CN"/>
              </w:rPr>
              <w:t>传统村落之间的</w:t>
            </w:r>
            <w:r>
              <w:rPr>
                <w:rFonts w:hint="eastAsia"/>
                <w:lang w:val="en-US" w:eastAsia="zh-CN"/>
              </w:rPr>
              <w:t>内在</w:t>
            </w:r>
            <w:r>
              <w:rPr>
                <w:rFonts w:hint="default"/>
                <w:lang w:val="en-US" w:eastAsia="zh-CN"/>
              </w:rPr>
              <w:t>关联</w:t>
            </w:r>
            <w:r>
              <w:rPr>
                <w:rFonts w:hint="eastAsia"/>
                <w:lang w:val="en-US" w:eastAsia="zh-CN"/>
              </w:rPr>
              <w:t>，</w:t>
            </w:r>
            <w:r>
              <w:rPr>
                <w:rFonts w:hint="default"/>
                <w:lang w:val="en-US" w:eastAsia="zh-CN"/>
              </w:rPr>
              <w:t>以系统性保护的视角整合其中的共同点，发掘可能存在的</w:t>
            </w:r>
            <w:r>
              <w:rPr>
                <w:rFonts w:hint="eastAsia"/>
                <w:lang w:val="en-US" w:eastAsia="zh-CN"/>
              </w:rPr>
              <w:t>多类型遗产</w:t>
            </w:r>
            <w:r>
              <w:rPr>
                <w:rFonts w:hint="default"/>
                <w:lang w:val="en-US" w:eastAsia="zh-CN"/>
              </w:rPr>
              <w:t>系统性保护</w:t>
            </w:r>
            <w:r>
              <w:rPr>
                <w:rFonts w:hint="eastAsia"/>
                <w:lang w:val="en-US" w:eastAsia="zh-CN"/>
              </w:rPr>
              <w:t>方式</w:t>
            </w:r>
            <w:r>
              <w:rPr>
                <w:rFonts w:hint="default"/>
                <w:lang w:val="en-US" w:eastAsia="zh-CN"/>
              </w:rPr>
              <w:t>，</w:t>
            </w:r>
            <w:r>
              <w:rPr>
                <w:rFonts w:hint="eastAsia"/>
                <w:lang w:val="en-US" w:eastAsia="zh-CN"/>
              </w:rPr>
              <w:t>总结出一条</w:t>
            </w:r>
            <w:r>
              <w:rPr>
                <w:rFonts w:hint="default"/>
                <w:lang w:val="en-US" w:eastAsia="zh-CN"/>
              </w:rPr>
              <w:t>可迁移、可验证的“多类型遗产系统性保护</w:t>
            </w:r>
            <w:r>
              <w:rPr>
                <w:rFonts w:hint="eastAsia"/>
                <w:lang w:val="en-US" w:eastAsia="zh-CN"/>
              </w:rPr>
              <w:t>路径”，</w:t>
            </w:r>
            <w:r>
              <w:rPr>
                <w:rFonts w:hint="default"/>
                <w:lang w:val="en-US" w:eastAsia="zh-CN"/>
              </w:rPr>
              <w:t>为</w:t>
            </w:r>
            <w:r>
              <w:rPr>
                <w:rFonts w:hint="eastAsia"/>
                <w:lang w:val="en-US" w:eastAsia="zh-CN"/>
              </w:rPr>
              <w:t>其他重要</w:t>
            </w:r>
            <w:r>
              <w:rPr>
                <w:rFonts w:hint="default"/>
                <w:lang w:val="en-US" w:eastAsia="zh-CN"/>
              </w:rPr>
              <w:t>农业文化遗产的系统性保护提供参考建议。</w:t>
            </w:r>
          </w:p>
          <w:p w14:paraId="25C378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default"/>
                <w:lang w:val="en-US" w:eastAsia="zh-CN"/>
              </w:rPr>
              <w:t>通过上述研究，本项目期望为</w:t>
            </w:r>
            <w:r>
              <w:rPr>
                <w:rFonts w:hint="eastAsia"/>
                <w:lang w:val="en-US" w:eastAsia="zh-CN"/>
              </w:rPr>
              <w:t>高邮湖泊湿地系统</w:t>
            </w:r>
            <w:r>
              <w:rPr>
                <w:rFonts w:hint="default"/>
                <w:lang w:val="en-US" w:eastAsia="zh-CN"/>
              </w:rPr>
              <w:t>及其他相似农业文化遗产</w:t>
            </w:r>
            <w:r>
              <w:rPr>
                <w:rFonts w:hint="eastAsia"/>
                <w:lang w:val="en-US" w:eastAsia="zh-CN"/>
              </w:rPr>
              <w:t>进行多类型遗产系统性保护</w:t>
            </w:r>
            <w:r>
              <w:rPr>
                <w:rFonts w:hint="default"/>
                <w:lang w:val="en-US" w:eastAsia="zh-CN"/>
              </w:rPr>
              <w:t>提供理论依据和实践指导，</w:t>
            </w:r>
            <w:r>
              <w:rPr>
                <w:rFonts w:hint="eastAsia"/>
                <w:lang w:val="en-US" w:eastAsia="zh-CN"/>
              </w:rPr>
              <w:t>助力实现农业文化遗产和各类型遗产的联动保护、一体设计，促进农业文化遗产的保护与活化。</w:t>
            </w:r>
          </w:p>
          <w:p w14:paraId="1E783C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p>
          <w:p w14:paraId="0FE02EEB">
            <w:pPr>
              <w:keepNext w:val="0"/>
              <w:keepLines w:val="0"/>
              <w:pageBreakBefore w:val="0"/>
              <w:widowControl/>
              <w:numPr>
                <w:ilvl w:val="0"/>
                <w:numId w:val="2"/>
              </w:numPr>
              <w:kinsoku/>
              <w:wordWrap/>
              <w:overflowPunct/>
              <w:topLinePunct w:val="0"/>
              <w:autoSpaceDE/>
              <w:autoSpaceDN/>
              <w:bidi w:val="0"/>
              <w:adjustRightInd/>
              <w:snapToGrid/>
              <w:spacing w:line="360" w:lineRule="auto"/>
              <w:rPr>
                <w:rFonts w:hint="eastAsia" w:cs="宋体"/>
                <w:b/>
                <w:bCs/>
                <w:sz w:val="24"/>
                <w:szCs w:val="24"/>
                <w:lang w:val="en-US" w:eastAsia="zh-CN" w:bidi="ar-SA"/>
              </w:rPr>
            </w:pPr>
            <w:r>
              <w:rPr>
                <w:rFonts w:hint="eastAsia" w:cs="宋体"/>
                <w:b/>
                <w:bCs/>
                <w:sz w:val="24"/>
                <w:szCs w:val="24"/>
                <w:lang w:val="en-US" w:eastAsia="zh-CN" w:bidi="ar-SA"/>
              </w:rPr>
              <w:t>研究内容</w:t>
            </w:r>
          </w:p>
          <w:p w14:paraId="2189664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ascii="仿宋" w:hAnsi="仿宋" w:eastAsia="仿宋" w:cs="仿宋"/>
                <w:b/>
                <w:bCs/>
                <w:sz w:val="24"/>
                <w:szCs w:val="24"/>
                <w:lang w:val="en-US" w:eastAsia="zh-CN"/>
              </w:rPr>
              <w:t>1.</w:t>
            </w:r>
            <w:r>
              <w:rPr>
                <w:rFonts w:hint="eastAsia" w:ascii="仿宋" w:hAnsi="仿宋" w:eastAsia="仿宋" w:cs="仿宋"/>
                <w:b w:val="0"/>
                <w:bCs w:val="0"/>
                <w:sz w:val="24"/>
                <w:szCs w:val="24"/>
                <w:lang w:val="en-US" w:eastAsia="zh-CN"/>
              </w:rPr>
              <w:t>多类型文化遗产的内涵、构成与保护现状</w:t>
            </w:r>
          </w:p>
          <w:p w14:paraId="25DA00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高邮湖地区的遗产构成了一个典型的、层级结构复杂的多类型文化遗产复合系统。高邮湖泊湿地系统即是其中的一个子系统，该子系统内部以诸多系要素构成了一个复合型生态农业系统。高邮湖泊湿地系统的核心技术是稻、鸭、鱼、蟹结合的立体式农作，即在湖区陆地和水陆交错空间内实行稻鸭共作，在水体空间中实行鸭、鱼、蟹混养。在整套系统中，各物种基于生物链原理，实现了不同生物特性的高度契合与完美互补，形成了一个稳定的系统，是高邮湖地区多类型文化遗产系统的重要组成部分。</w:t>
            </w:r>
          </w:p>
          <w:p w14:paraId="306D93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里运河—高邮灌区作为世界灌溉工程遗产，是我国古代利用河湖水位水量、合理调控河湖的灌溉工程典范，在高邮湖泊湿地农业系统的演进与发展中起到不可或缺的作用。整个里运河-高邮灌区灌溉工程自西向东共有三大块功能区，分别是高邮湖、里运河、灌区。高邮湖与里运河间有西堤三闸，里运河与灌区间通过这些运堤的水闸、水关、水洞，实现了蓄水、调水、配水的功能，由此形成一个完善的灌溉调配体系，最终达到灌溉目的。可以看出，里运河-高邮灌区与高邮湖泊湿地农业文化遗产具有高度互动性，作为高邮地区多类型文化遗产系统的一个子系统，是多类型文化遗产耦合发展的典范。</w:t>
            </w:r>
          </w:p>
          <w:p w14:paraId="5DD081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不仅于此，里运河-高邮灌区是我国首个依托运河的世界灌溉工程遗产，高邮地区丰富的运河文化与农业文化遗产、灌溉工程遗产深度联系，构成了多类型文化遗产保护过程中不可或缺的要素。在长期的农业劳作和水运文化滋养下，高邮地区形成了高邮民歌、高邮咸鸭蛋制作技艺等非物质文化遗产，也是研究的重要对象。</w:t>
            </w:r>
          </w:p>
          <w:p w14:paraId="207661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当前，高邮市政府采取了一定的措施来保护这些多样的文化遗产。例如，针对高邮湖泊湿地系统，该市设湖泊管理处对高邮湖湿地的生态维护进行监督，还建立了高宝邵伯湖国家级水产种质资源保护区和高邮湖青虾国家级水产种质资源保护区对关键物种进行保护。针对里运河-高邮灌区，高邮市政府印发了《“里运河—高邮灌区”灌溉工程遗产保护管理办法》，规定了不同部门的职权，由高邮市水利局编订高邮灌区灌溉工程遗产保护名录，进行规制化管理。可见对于遗产保护，高邮已经开始了初步探索。</w:t>
            </w:r>
          </w:p>
          <w:p w14:paraId="29E2DB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本部分将通过文献回顾与实地调研，系统梳理高邮湖泊湿地农业系统、里运河——高邮灌区、高邮地区非物质文化遗产和大运河遗产的研究成果和保护政策，重点剖析三大子系统间的互动耦合与保护现状，探索重要农业文化遗产的多类型遗产系统性保护路径。</w:t>
            </w:r>
          </w:p>
          <w:p w14:paraId="680908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p>
          <w:p w14:paraId="0B1AAACD">
            <w:pPr>
              <w:keepNext w:val="0"/>
              <w:keepLines w:val="0"/>
              <w:pageBreakBefore w:val="0"/>
              <w:widowControl/>
              <w:numPr>
                <w:ilvl w:val="0"/>
                <w:numId w:val="3"/>
              </w:numPr>
              <w:kinsoku/>
              <w:wordWrap/>
              <w:overflowPunct/>
              <w:topLinePunct w:val="0"/>
              <w:autoSpaceDE/>
              <w:autoSpaceDN/>
              <w:bidi w:val="0"/>
              <w:adjustRightInd/>
              <w:snapToGrid/>
              <w:spacing w:line="360" w:lineRule="auto"/>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重要农业文化遗产系统性保护的研究</w:t>
            </w:r>
          </w:p>
          <w:p w14:paraId="60185F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2017年，高邮湖泊湿地农业系统入选第四批中国重要农业文化遗产；2021年，“里运河-高邮灌区”正式列入世界灌溉工程遗产名录。高邮湖泊湿地农业系统作为中国重要农业文化遗产，与世界灌溉工程遗产“里下河</w:t>
            </w:r>
            <w:r>
              <w:rPr>
                <w:rFonts w:hint="default"/>
                <w:lang w:val="en-US" w:eastAsia="zh-CN"/>
              </w:rPr>
              <w:t>-</w:t>
            </w:r>
            <w:r>
              <w:rPr>
                <w:rFonts w:hint="eastAsia"/>
                <w:lang w:val="en-US" w:eastAsia="zh-CN"/>
              </w:rPr>
              <w:t>高邮灌区”息息相关，高邮民歌、高邮咸鸭蛋制作技艺等非物质文化遗产的诞生也离不开高邮湖泊湿地系统的土壤，高邮湖还拥有“高邮鸭”等地理标志产品，构成了一个复杂的多类型遗产体系。然而，目前对于高邮湖泊湿地系统的保护忽视了不同遗产之间的联系，农村老龄化、湿地消减、生态环境失衡等问题给高邮湖泊湿地系统的发展带来了前所未有的危机。在此情况下，实施多类型遗产系统性保护更显紧迫。</w:t>
            </w:r>
          </w:p>
          <w:p w14:paraId="65752C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本研究以高邮湖泊湿地系统为研究对象，通过文献研读和湿地调研，总结出高邮湖泊湿地系统进行多类型遗产系统性保护的三大障碍：</w:t>
            </w:r>
          </w:p>
          <w:p w14:paraId="64C655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其一，主体多元割裂。在高邮湖湿地系统复杂的历史发展中，形成了多类型遗产互相交织的现状。在高邮地区等遗产类型多样的遗产地，政府部门、社区、传承人等保护主体往往同时具备农业文化遗产、非遗等多类型遗产保护的主体性质。但在现行模式下，保护主体内在的多元属性与丰富角色被忽视，导致功能趋于同质化。其二，保护认知局限。政府、社区、传承人等主体的多类型文化遗产保护意识薄弱，对农业文化遗产保护缺乏系统性认知。农业文化遗产及相关遗产被条块分割管理，</w:t>
            </w:r>
            <w:r>
              <w:rPr>
                <w:rFonts w:hint="eastAsia"/>
              </w:rPr>
              <w:t>未能将高邮</w:t>
            </w:r>
            <w:r>
              <w:rPr>
                <w:rFonts w:hint="eastAsia"/>
                <w:lang w:val="en-US" w:eastAsia="zh-CN"/>
              </w:rPr>
              <w:t>地区</w:t>
            </w:r>
            <w:r>
              <w:rPr>
                <w:rFonts w:hint="eastAsia"/>
              </w:rPr>
              <w:t>遗产视为一个有机整体</w:t>
            </w:r>
            <w:r>
              <w:rPr>
                <w:rFonts w:hint="eastAsia"/>
                <w:lang w:eastAsia="zh-CN"/>
              </w:rPr>
              <w:t>。</w:t>
            </w:r>
            <w:r>
              <w:rPr>
                <w:rFonts w:hint="eastAsia"/>
              </w:rPr>
              <w:t>从而在保护中倾向于采取静态、孤立的干预方式，难以适应其动态平衡的内在需求。</w:t>
            </w:r>
            <w:r>
              <w:rPr>
                <w:rFonts w:hint="eastAsia"/>
                <w:lang w:val="en-US" w:eastAsia="zh-CN"/>
              </w:rPr>
              <w:t>其三，政策协同缺乏。现行保护政策并行叠加，其结构性矛盾导致效能内耗与系统性缺失。缺乏有效的跨部门协调平台和统一的监测评估体系。既没有建立统筹多方利益的常态化协调机构，也未能构建评估系统整体健康的科学指标体系，这使得保护工作难以形成持续稳定的制度保障，资源投入分散，无法产生协同增效的系统性保护效果。</w:t>
            </w:r>
          </w:p>
          <w:p w14:paraId="1905F1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本研究将通过进一步的实地调研和文献整理，广泛搜集居民访谈记录、政策文件等资料，深化对高邮湖泊湿地系统多类型遗产系统性保护的认知，探究该系统在生态平衡、经济发展、文化传承与社会治理层面的整体价值与综合功能，进而为重要农业文化遗产的保护提供多类型遗产系统性保护路径。</w:t>
            </w:r>
          </w:p>
          <w:p w14:paraId="2067D7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p>
          <w:p w14:paraId="4CE161F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lang w:val="en-US" w:eastAsia="zh-CN"/>
              </w:rPr>
            </w:pPr>
            <w:r>
              <w:rPr>
                <w:rFonts w:hint="eastAsia" w:ascii="仿宋" w:hAnsi="仿宋" w:eastAsia="仿宋" w:cs="仿宋"/>
                <w:lang w:val="en-US" w:eastAsia="zh-CN"/>
              </w:rPr>
              <w:t>多类型遗产中重要农业文化遗产的系统性保护路径</w:t>
            </w:r>
          </w:p>
          <w:p w14:paraId="0BB94C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lang w:val="en-US" w:eastAsia="zh-CN"/>
              </w:rPr>
            </w:pPr>
            <w:r>
              <w:rPr>
                <w:rFonts w:hint="eastAsia"/>
                <w:lang w:val="en-US" w:eastAsia="zh-CN"/>
              </w:rPr>
              <w:t>针对高邮湖湿地系统多类型遗产保护中存在的主体多元割裂、保护认知局限与政策协同缺乏等系统性困境，本项目旨在构建一条以“协同治理”为核心的系统性保护路径。该路径围绕两大方向展开：</w:t>
            </w:r>
          </w:p>
          <w:p w14:paraId="4228B9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lang w:val="en-US" w:eastAsia="zh-CN"/>
              </w:rPr>
            </w:pPr>
            <w:r>
              <w:rPr>
                <w:rFonts w:hint="eastAsia"/>
                <w:lang w:val="en-US" w:eastAsia="zh-CN"/>
              </w:rPr>
              <w:t>首先，在治理层面，首先需构建一个以“协同治理”为核心的多元主体保护路径，重点在于打破固有的管理割裂与政策壁垒，通过在政府层面建立统筹协调的体制机制、培养社区的协同力量、推动市场主体进行创新融合等策略推进多元主体统筹协调。通过体制机制创新，有效统筹政府、社区与市场等各方力量，形成保护合力。</w:t>
            </w:r>
          </w:p>
          <w:p w14:paraId="02C4DC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lang w:val="en-US" w:eastAsia="zh-CN"/>
              </w:rPr>
            </w:pPr>
            <w:r>
              <w:rPr>
                <w:rFonts w:hint="eastAsia"/>
                <w:lang w:val="en-US" w:eastAsia="zh-CN"/>
              </w:rPr>
              <w:t>其次，在实践层面，推动保护措施从“单一化”向“整合化”创新。核心是探索能够恢复并强化各类遗产间内在有机联系的融合性策略，超越对单一遗产点的孤立保护，建立多类型遗产协同的创新保护措施。例如，建立文化生态廊道，设计多类型遗产体验线路，构建数字化共享平台等。</w:t>
            </w:r>
          </w:p>
          <w:p w14:paraId="5A71FA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lang w:val="en-US" w:eastAsia="zh-CN"/>
              </w:rPr>
            </w:pPr>
            <w:r>
              <w:rPr>
                <w:rFonts w:hint="eastAsia"/>
                <w:lang w:val="en-US" w:eastAsia="zh-CN"/>
              </w:rPr>
              <w:t>这一系统性保护路径的核心在于，不再满足于单一遗产类型的保护成效，而是着力于恢复和强化农业文化遗产与相关遗产类型之间的内在联系，最终实现多类型文化遗产的整体性保护与可持续利用，为乡村振兴和文化传承提供系统支撑。</w:t>
            </w:r>
          </w:p>
          <w:p w14:paraId="34A857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lang w:val="en-US" w:eastAsia="zh-CN"/>
              </w:rPr>
            </w:pPr>
          </w:p>
          <w:p w14:paraId="31EC5E73">
            <w:pPr>
              <w:keepNext w:val="0"/>
              <w:keepLines w:val="0"/>
              <w:pageBreakBefore w:val="0"/>
              <w:widowControl/>
              <w:numPr>
                <w:ilvl w:val="0"/>
                <w:numId w:val="4"/>
              </w:numPr>
              <w:kinsoku/>
              <w:wordWrap/>
              <w:overflowPunct/>
              <w:topLinePunct w:val="0"/>
              <w:autoSpaceDE/>
              <w:autoSpaceDN/>
              <w:bidi w:val="0"/>
              <w:adjustRightInd/>
              <w:snapToGrid/>
              <w:spacing w:line="360" w:lineRule="auto"/>
              <w:rPr>
                <w:rFonts w:hint="eastAsia" w:cs="宋体"/>
                <w:b/>
                <w:bCs/>
                <w:sz w:val="24"/>
                <w:szCs w:val="24"/>
                <w:lang w:val="en-US" w:eastAsia="zh-CN" w:bidi="ar-SA"/>
              </w:rPr>
            </w:pPr>
            <w:r>
              <w:rPr>
                <w:rFonts w:hint="eastAsia" w:cs="宋体"/>
                <w:b/>
                <w:bCs/>
                <w:sz w:val="24"/>
                <w:szCs w:val="24"/>
                <w:lang w:val="en-US" w:eastAsia="zh-CN" w:bidi="ar-SA"/>
              </w:rPr>
              <w:t>国内外研究现状和发展动态</w:t>
            </w:r>
          </w:p>
          <w:p w14:paraId="06CED140">
            <w:pPr>
              <w:numPr>
                <w:ilvl w:val="0"/>
                <w:numId w:val="0"/>
              </w:numPr>
              <w:spacing w:line="360" w:lineRule="auto"/>
              <w:ind w:firstLine="480" w:firstLineChars="200"/>
              <w:rPr>
                <w:rFonts w:hint="eastAsia" w:cs="宋体"/>
                <w:sz w:val="24"/>
                <w:szCs w:val="24"/>
                <w:lang w:val="en-US" w:eastAsia="zh-CN"/>
              </w:rPr>
            </w:pPr>
            <w:r>
              <w:rPr>
                <w:rFonts w:hint="eastAsia" w:ascii="宋体" w:hAnsi="宋体" w:eastAsia="宋体" w:cs="宋体"/>
                <w:sz w:val="24"/>
                <w:szCs w:val="24"/>
                <w:lang w:val="en-US" w:eastAsia="zh-CN"/>
              </w:rPr>
              <w:t>2002年8月联合国粮农组织提出农业文化遗产</w:t>
            </w:r>
            <w:r>
              <w:rPr>
                <w:rFonts w:hint="eastAsia" w:cs="宋体"/>
                <w:sz w:val="24"/>
                <w:szCs w:val="24"/>
                <w:lang w:val="en-US" w:eastAsia="zh-CN"/>
              </w:rPr>
              <w:t>是</w:t>
            </w:r>
            <w:r>
              <w:rPr>
                <w:rFonts w:hint="eastAsia" w:ascii="宋体" w:hAnsi="宋体" w:eastAsia="宋体" w:cs="宋体"/>
                <w:sz w:val="24"/>
                <w:szCs w:val="24"/>
                <w:lang w:val="en-US" w:eastAsia="zh-CN"/>
              </w:rPr>
              <w:t>文化遗产的重要组成部分</w:t>
            </w:r>
            <w:r>
              <w:rPr>
                <w:rFonts w:hint="eastAsia" w:cs="宋体"/>
                <w:sz w:val="24"/>
                <w:szCs w:val="24"/>
                <w:lang w:val="en-US" w:eastAsia="zh-CN"/>
              </w:rPr>
              <w:t>。</w:t>
            </w:r>
            <w:r>
              <w:rPr>
                <w:rFonts w:hint="eastAsia" w:ascii="宋体" w:hAnsi="宋体" w:eastAsia="宋体" w:cs="宋体"/>
                <w:sz w:val="24"/>
                <w:szCs w:val="24"/>
                <w:lang w:val="en-US" w:eastAsia="zh-CN"/>
              </w:rPr>
              <w:t>经过十年的探索，我国对</w:t>
            </w:r>
            <w:r>
              <w:rPr>
                <w:rFonts w:hint="eastAsia" w:cs="宋体"/>
                <w:sz w:val="24"/>
                <w:szCs w:val="24"/>
                <w:lang w:val="en-US" w:eastAsia="zh-CN"/>
              </w:rPr>
              <w:t>学术届对于农业文化遗产的研究不断深化，</w:t>
            </w:r>
            <w:r>
              <w:rPr>
                <w:rFonts w:hint="eastAsia" w:ascii="宋体" w:hAnsi="宋体" w:eastAsia="宋体" w:cs="宋体"/>
                <w:sz w:val="24"/>
                <w:szCs w:val="24"/>
                <w:lang w:val="en-US" w:eastAsia="zh-CN"/>
              </w:rPr>
              <w:t>农业文化遗产已形成“保护优先，合理利用，整体保护，协调发展，动态保护，功能拓展，多方参与，惠益共享”的保护原则。</w:t>
            </w:r>
            <w:r>
              <w:rPr>
                <w:rFonts w:hint="eastAsia" w:cs="宋体"/>
                <w:sz w:val="24"/>
                <w:szCs w:val="24"/>
                <w:lang w:val="en-US" w:eastAsia="zh-CN"/>
              </w:rPr>
              <w:t>近年来，随着农业文化遗产不断受到重视，文化遗产申报类型不断增多，学术界对于多类型遗产以及农业文化遗产系统性保护的研究不断深入。多类型遗产保护的研究从双遗产保护向三遗产系统发展，系统性保护从局限于非物质文化遗产领域逐渐深入到物质遗产、生态遗产、农业遗产以及遗产子系统领域。目前，学术界虽已对多类型遗产保护和农遗系统性保护进行了初步探索，并取得了一定成果，但</w:t>
            </w:r>
            <w:r>
              <w:rPr>
                <w:rFonts w:hint="eastAsia" w:ascii="宋体" w:hAnsi="宋体" w:eastAsia="宋体" w:cs="宋体"/>
                <w:sz w:val="24"/>
                <w:szCs w:val="24"/>
                <w:lang w:val="en-US" w:eastAsia="zh-CN"/>
              </w:rPr>
              <w:t>当前的研究与管理仍呈现“碎片化”状态。如何实现多遗产协同发展，尚缺乏清晰的实施路径。</w:t>
            </w:r>
            <w:r>
              <w:rPr>
                <w:rFonts w:hint="eastAsia" w:cs="宋体"/>
                <w:sz w:val="24"/>
                <w:szCs w:val="24"/>
                <w:lang w:val="en-US" w:eastAsia="zh-CN"/>
              </w:rPr>
              <w:t>同时，高邮湖泊湿地生态系统作为本项目的研究对象，针对其内部系统性保护研究较少，相关保护政策较缺乏，有待深入研究。</w:t>
            </w:r>
          </w:p>
          <w:p w14:paraId="3DC1C30D">
            <w:pPr>
              <w:numPr>
                <w:ilvl w:val="0"/>
                <w:numId w:val="0"/>
              </w:numPr>
              <w:spacing w:line="360" w:lineRule="auto"/>
              <w:ind w:firstLine="480" w:firstLineChars="200"/>
              <w:rPr>
                <w:rFonts w:hint="eastAsia" w:cs="宋体"/>
                <w:sz w:val="24"/>
                <w:szCs w:val="24"/>
                <w:lang w:val="en-US" w:eastAsia="zh-CN"/>
              </w:rPr>
            </w:pPr>
          </w:p>
          <w:p w14:paraId="003C7E14">
            <w:pPr>
              <w:numPr>
                <w:ilvl w:val="0"/>
                <w:numId w:val="0"/>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1.文化遗产系统性保护的研究</w:t>
            </w:r>
          </w:p>
          <w:p w14:paraId="40BFACEA">
            <w:pPr>
              <w:numPr>
                <w:ilvl w:val="0"/>
                <w:numId w:val="0"/>
              </w:numPr>
              <w:spacing w:line="360" w:lineRule="auto"/>
              <w:ind w:firstLine="480"/>
              <w:rPr>
                <w:rFonts w:hint="default" w:ascii="宋体" w:hAnsi="宋体" w:eastAsia="宋体" w:cs="宋体"/>
                <w:sz w:val="24"/>
                <w:szCs w:val="24"/>
                <w:lang w:val="en-US" w:eastAsia="zh-CN"/>
              </w:rPr>
            </w:pPr>
            <w:r>
              <w:rPr>
                <w:rFonts w:hint="eastAsia"/>
                <w:sz w:val="24"/>
                <w:szCs w:val="24"/>
                <w:lang w:val="en-US" w:eastAsia="zh-CN"/>
              </w:rPr>
              <w:t>2020年，</w:t>
            </w:r>
            <w:r>
              <w:rPr>
                <w:rFonts w:hint="eastAsia" w:ascii="宋体" w:hAnsi="宋体" w:eastAsia="宋体" w:cs="宋体"/>
                <w:sz w:val="24"/>
                <w:szCs w:val="24"/>
                <w:lang w:val="en-US" w:eastAsia="zh-CN"/>
              </w:rPr>
              <w:t>《中共中央关于制定国民经济和社会发展第十四个五年规划和二〇三五年远景目标的建议》提出对非物质文化遗产进行系统性保护的要求，这意味着各地政府必须因地制宜、因地施策,不断提高非遗保护工作的决策水平和治理水平（丁元竹，2020）。</w:t>
            </w:r>
            <w:r>
              <w:rPr>
                <w:rFonts w:hint="eastAsia" w:cs="宋体"/>
                <w:sz w:val="24"/>
                <w:szCs w:val="24"/>
                <w:lang w:val="en-US" w:eastAsia="zh-CN"/>
              </w:rPr>
              <w:t>由此推动了</w:t>
            </w:r>
            <w:r>
              <w:rPr>
                <w:rFonts w:hint="eastAsia" w:ascii="宋体" w:hAnsi="宋体" w:eastAsia="宋体" w:cs="宋体"/>
                <w:sz w:val="24"/>
                <w:szCs w:val="24"/>
                <w:lang w:val="en-US" w:eastAsia="zh-CN"/>
              </w:rPr>
              <w:t>相关研究层出不穷，并经历了一个由理论走向实践的过程。2021年中办、国办印发的《关于在城乡建设中加强历史文化保护传承的意见》，提出建立城乡历史文化保护传承体系，到2025年初步构建，到2035年全面建成。事实上，整体性、系统性保护已经成为提升中国文化遗产保护水平的关键之一。</w:t>
            </w:r>
            <w:r>
              <w:rPr>
                <w:rFonts w:hint="eastAsia" w:cs="宋体"/>
                <w:sz w:val="24"/>
                <w:szCs w:val="24"/>
                <w:lang w:val="en-US" w:eastAsia="zh-CN"/>
              </w:rPr>
              <w:t>（吕舟，2025）</w:t>
            </w:r>
            <w:r>
              <w:rPr>
                <w:rFonts w:hint="eastAsia" w:ascii="宋体" w:hAnsi="宋体" w:eastAsia="宋体" w:cs="宋体"/>
                <w:sz w:val="24"/>
                <w:szCs w:val="24"/>
                <w:lang w:val="en-US" w:eastAsia="zh-CN"/>
              </w:rPr>
              <w:t>在此背景下，系统化保护成为了</w:t>
            </w:r>
            <w:r>
              <w:rPr>
                <w:rFonts w:hint="eastAsia" w:cs="宋体"/>
                <w:sz w:val="24"/>
                <w:szCs w:val="24"/>
                <w:lang w:val="en-US" w:eastAsia="zh-CN"/>
              </w:rPr>
              <w:t>文化遗产保护</w:t>
            </w:r>
            <w:r>
              <w:rPr>
                <w:rFonts w:hint="eastAsia" w:ascii="宋体" w:hAnsi="宋体" w:eastAsia="宋体" w:cs="宋体"/>
                <w:sz w:val="24"/>
                <w:szCs w:val="24"/>
                <w:lang w:val="en-US" w:eastAsia="zh-CN"/>
              </w:rPr>
              <w:t>领域的热门话题，</w:t>
            </w:r>
            <w:r>
              <w:rPr>
                <w:rFonts w:hint="eastAsia" w:cs="宋体"/>
                <w:sz w:val="24"/>
                <w:szCs w:val="24"/>
                <w:lang w:val="en-US" w:eastAsia="zh-CN"/>
              </w:rPr>
              <w:t>关于系统化保护的研究也成为了文化遗产保护研究的重点，使其具有独特的研究价值。</w:t>
            </w:r>
          </w:p>
          <w:p w14:paraId="400000D4">
            <w:pPr>
              <w:numPr>
                <w:ilvl w:val="0"/>
                <w:numId w:val="0"/>
              </w:numPr>
              <w:spacing w:line="360" w:lineRule="auto"/>
              <w:ind w:firstLine="480"/>
              <w:rPr>
                <w:rFonts w:hint="default" w:ascii="宋体" w:hAnsi="宋体" w:eastAsia="宋体" w:cs="宋体"/>
                <w:sz w:val="24"/>
                <w:szCs w:val="24"/>
                <w:lang w:val="en-US" w:eastAsia="zh-CN"/>
              </w:rPr>
            </w:pPr>
            <w:r>
              <w:rPr>
                <w:rFonts w:hint="eastAsia"/>
                <w:sz w:val="24"/>
                <w:szCs w:val="24"/>
                <w:lang w:val="en-US" w:eastAsia="zh-CN"/>
              </w:rPr>
              <w:t>纵观国内外研究，学者们对于文化遗产的系统性保护有着不同的侧重。Francesco Francioni提出文化遗产保护应系统性考虑文化遗产、国际法、公共权力、私人利益的关系以及文化遗产内在多样表达和公共保护的关系。也有学者在1972年《世界遗产公约》（1972 WHC）框架下讨论了文化遗产保护应系统性综合自然遗产、人文景观、物质遗产和非物质成分的保护。国内的</w:t>
            </w:r>
            <w:r>
              <w:rPr>
                <w:rFonts w:hint="eastAsia" w:ascii="宋体" w:hAnsi="宋体" w:eastAsia="宋体" w:cs="宋体"/>
                <w:sz w:val="24"/>
                <w:szCs w:val="24"/>
                <w:lang w:val="en-US" w:eastAsia="zh-CN"/>
              </w:rPr>
              <w:t>系统性保护理论研究首先在非物质文化遗产保护的研究中得到突破。林继富、黄紫坛（2018）选取“梅里神山祭祀”为研究对象，指出非物质文化遗产系统性保护与历史文化记忆、区域社会结构和民众生活实践紧密交织</w:t>
            </w:r>
            <w:r>
              <w:rPr>
                <w:rFonts w:hint="eastAsia" w:cs="宋体"/>
                <w:sz w:val="24"/>
                <w:szCs w:val="24"/>
                <w:lang w:val="en-US" w:eastAsia="zh-CN"/>
              </w:rPr>
              <w:t>。</w:t>
            </w:r>
            <w:r>
              <w:rPr>
                <w:rFonts w:hint="eastAsia" w:ascii="宋体" w:hAnsi="宋体" w:eastAsia="宋体" w:cs="宋体"/>
                <w:sz w:val="24"/>
                <w:szCs w:val="24"/>
                <w:lang w:val="en-US" w:eastAsia="zh-CN"/>
              </w:rPr>
              <w:t>胡昌领、邹序桂（2022）以传统武术、太极拳为例，从系统性保护的实践与路径角度指出系统性保护应发挥社区参与作用，调动国家，社会，基层民众各方作用。随着非遗系统性保护路径日渐成熟，学界进行了更多拓展这一理念应用场景的尝试，将系统性保护理论引入其他类型遗产的保护。全小国、苑利在《非物质文化遗产系统性保护研究</w:t>
            </w:r>
            <w:r>
              <w:rPr>
                <w:rFonts w:hint="eastAsia" w:cs="宋体"/>
                <w:sz w:val="24"/>
                <w:szCs w:val="24"/>
                <w:lang w:val="en-US" w:eastAsia="zh-CN"/>
              </w:rPr>
              <w:t>》</w:t>
            </w:r>
            <w:r>
              <w:rPr>
                <w:rFonts w:hint="eastAsia" w:ascii="宋体" w:hAnsi="宋体" w:eastAsia="宋体" w:cs="宋体"/>
                <w:sz w:val="24"/>
                <w:szCs w:val="24"/>
                <w:lang w:val="en-US" w:eastAsia="zh-CN"/>
              </w:rPr>
              <w:t>（2023）一文中对系统性保护的本体理论进行解构和演绎，提出“</w:t>
            </w:r>
            <w:r>
              <w:rPr>
                <w:rFonts w:hint="default" w:ascii="宋体" w:hAnsi="宋体" w:eastAsia="宋体" w:cs="宋体"/>
                <w:sz w:val="24"/>
                <w:szCs w:val="24"/>
                <w:lang w:val="en-US" w:eastAsia="zh-CN"/>
              </w:rPr>
              <w:t>非遗的系统性保护，就是通过观照非遗自身的整体性、非遗构成要素的层次性、非遗对外在环境的开放性和非遗文化基因的稳定性，对非遗实施系统的、整体的乃至全面的保护</w:t>
            </w:r>
            <w:r>
              <w:rPr>
                <w:rFonts w:hint="eastAsia" w:ascii="宋体" w:hAnsi="宋体" w:eastAsia="宋体" w:cs="宋体"/>
                <w:sz w:val="24"/>
                <w:szCs w:val="24"/>
                <w:lang w:val="en-US" w:eastAsia="zh-CN"/>
              </w:rPr>
              <w:t>”。由此明确，文化遗产的系统性保护，即凭借文化遗产本身的整体性、构成要素的层次性、对外在环境的开放性、文化基因的稳定性实施的系统、整体、全面的保护。农业文化遗产具有很强的整体性和层次性，不同层次和要素相互作用，构成了</w:t>
            </w:r>
            <w:r>
              <w:rPr>
                <w:rFonts w:hint="default" w:ascii="宋体" w:hAnsi="宋体" w:eastAsia="宋体" w:cs="宋体"/>
                <w:sz w:val="24"/>
                <w:szCs w:val="24"/>
                <w:lang w:val="en-US" w:eastAsia="zh-CN"/>
              </w:rPr>
              <w:t>一个开放</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稳定的活系统</w:t>
            </w:r>
            <w:r>
              <w:rPr>
                <w:rFonts w:hint="eastAsia" w:ascii="宋体" w:hAnsi="宋体" w:eastAsia="宋体" w:cs="宋体"/>
                <w:sz w:val="24"/>
                <w:szCs w:val="24"/>
                <w:lang w:val="en-US" w:eastAsia="zh-CN"/>
              </w:rPr>
              <w:t>，对农业文化遗产进行系统性保护是未来农遗保护的必然趋势。</w:t>
            </w:r>
          </w:p>
          <w:p w14:paraId="03243002">
            <w:pPr>
              <w:numPr>
                <w:ilvl w:val="0"/>
                <w:numId w:val="0"/>
              </w:num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宋俊华（2025）讨论了可持续发展的系统性实施路径，针对出现的新挑战如城市化、现代化和信息化的迅猛发展，国际上民族主义、反全球化、零和博弈等思潮的泛滥提出了应对措施。孔庆夫、郝达（2025）揭示了系统性保护中区域协调联动的重要性，提出粤闽浙文遗发展的“文旅融合赋能非遗传承”“联动协作赋能非遗双创”“海外侨胞寻根铸魂”三条路径。</w:t>
            </w:r>
          </w:p>
          <w:p w14:paraId="27E0C413">
            <w:pPr>
              <w:numPr>
                <w:ilvl w:val="0"/>
                <w:numId w:val="0"/>
              </w:numPr>
              <w:spacing w:line="360" w:lineRule="auto"/>
              <w:ind w:firstLine="480" w:firstLineChars="200"/>
              <w:rPr>
                <w:rFonts w:hint="eastAsia" w:cs="宋体"/>
                <w:sz w:val="24"/>
                <w:szCs w:val="24"/>
                <w:lang w:val="en-US" w:eastAsia="zh-CN"/>
              </w:rPr>
            </w:pPr>
            <w:r>
              <w:rPr>
                <w:rFonts w:hint="eastAsia" w:ascii="宋体" w:hAnsi="宋体" w:eastAsia="宋体" w:cs="宋体"/>
                <w:sz w:val="24"/>
                <w:szCs w:val="24"/>
                <w:lang w:val="en-US" w:eastAsia="zh-CN"/>
              </w:rPr>
              <w:t>这些研究丰富了系统性保护的理论基石，形成了较为成熟的实施路径。在此基础上，将系统性保护理论引入农业文化遗产保护成为必然趋势。</w:t>
            </w:r>
            <w:r>
              <w:rPr>
                <w:rFonts w:hint="eastAsia" w:cs="宋体"/>
                <w:sz w:val="24"/>
                <w:szCs w:val="24"/>
                <w:lang w:val="en-US" w:eastAsia="zh-CN"/>
              </w:rPr>
              <w:t>然而，文化遗产的系统性保护研究仍有不足，相关研究多集中在非物质文化遗产领域，关于物质文化遗产系统性保护的研究不够深入，且仍面临与非遗系统性保护、地方民俗等关联要素联系不够等问题。</w:t>
            </w:r>
          </w:p>
          <w:p w14:paraId="12883D01">
            <w:pPr>
              <w:numPr>
                <w:ilvl w:val="0"/>
                <w:numId w:val="0"/>
              </w:numPr>
              <w:spacing w:line="360" w:lineRule="auto"/>
              <w:ind w:firstLine="480" w:firstLineChars="200"/>
              <w:rPr>
                <w:rFonts w:hint="eastAsia" w:cs="宋体"/>
                <w:sz w:val="24"/>
                <w:szCs w:val="24"/>
                <w:lang w:val="en-US" w:eastAsia="zh-CN"/>
              </w:rPr>
            </w:pPr>
          </w:p>
          <w:p w14:paraId="39011BF2">
            <w:pPr>
              <w:numPr>
                <w:ilvl w:val="0"/>
                <w:numId w:val="0"/>
              </w:numPr>
              <w:spacing w:line="360" w:lineRule="auto"/>
              <w:rPr>
                <w:rFonts w:hint="eastAsia" w:ascii="宋体" w:hAnsi="宋体" w:eastAsia="宋体" w:cs="宋体"/>
                <w:sz w:val="24"/>
                <w:szCs w:val="24"/>
                <w:lang w:val="en-US" w:eastAsia="zh-CN"/>
              </w:rPr>
            </w:pPr>
            <w:r>
              <w:rPr>
                <w:rFonts w:hint="eastAsia" w:ascii="仿宋" w:hAnsi="仿宋" w:eastAsia="仿宋" w:cs="仿宋"/>
                <w:b w:val="0"/>
                <w:bCs w:val="0"/>
                <w:sz w:val="24"/>
                <w:szCs w:val="24"/>
                <w:lang w:val="en-US" w:eastAsia="zh-CN"/>
              </w:rPr>
              <w:t>2.多类型遗产保护的研究</w:t>
            </w:r>
          </w:p>
          <w:p w14:paraId="5C266DF4">
            <w:pPr>
              <w:numPr>
                <w:ilvl w:val="0"/>
                <w:numId w:val="0"/>
              </w:numPr>
              <w:spacing w:line="360" w:lineRule="auto"/>
              <w:ind w:firstLine="480" w:firstLineChars="200"/>
              <w:rPr>
                <w:rFonts w:hint="eastAsia" w:cs="宋体"/>
                <w:sz w:val="24"/>
                <w:szCs w:val="24"/>
                <w:lang w:val="en-US" w:eastAsia="zh-CN"/>
              </w:rPr>
            </w:pPr>
            <w:r>
              <w:rPr>
                <w:rFonts w:hint="eastAsia" w:ascii="宋体" w:hAnsi="宋体" w:eastAsia="宋体" w:cs="宋体"/>
                <w:sz w:val="24"/>
                <w:szCs w:val="24"/>
                <w:lang w:val="en-US" w:eastAsia="zh-CN"/>
              </w:rPr>
              <w:t>多类型遗产保护的研究从双遗产保护开始。1987年泰山被联合国教科文组织首批列入世界首例自然与文化双遗产，推动了国内对于双遗产保护的探索和研究。</w:t>
            </w:r>
            <w:r>
              <w:rPr>
                <w:rFonts w:hint="eastAsia" w:cs="宋体"/>
                <w:sz w:val="24"/>
                <w:szCs w:val="24"/>
                <w:lang w:val="en-US" w:eastAsia="zh-CN"/>
              </w:rPr>
              <w:t>地方相关针对性法规的出台也在强调着双遗产保护的紧迫性和重要性。在这一背景下，关于双遗产保护的研究不断推进，逐渐深入。</w:t>
            </w:r>
          </w:p>
          <w:p w14:paraId="4C897E3C">
            <w:pPr>
              <w:numPr>
                <w:ilvl w:val="0"/>
                <w:numId w:val="0"/>
              </w:num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孙硕（2011）在《我国世界双重遗产的可持续发展研究——以泰山世界双遗产地为例》中提出双遗产的保护和管理应从单一目标向多重目标转变，让遗产的多重目标相互协调；调整分区管理现状，实现统一管理；将各部门统摄到一起，解决行政权力不合理运用带来的政出多局的问题。随着双重遗产的增多以及国内对于双重遗产申报的重视加强，相关研究也在推进。《峨眉山—乐山大佛混合遗产的可持续发展研究》（2012）一文中提出了双遗产保护面临管理模式不统一，文化底蕴挖掘不够，相关法律不健全等问题，并提出了推动生态旅游，促进双遗产的可持续发展的保护观点。陈沙沙在2012年对我国的四项世界文化与自然双遗产进行了对比研究，分析并指出了双遗产保护中的问题，提出了加强环境治理、法制建设和统一管理模式等解决措施。在《黄山世界文化与自然双遗产的可持续发展研究》中，刘正威（2013）通过分析黄山的遗产开发现状，针对性地提出了黄山的双遗产保护应采取遗产分区保护方式，分类规划游览路线，带动推广周边文化遗产。孙志国，桑霞，戴光忠，殷瑰姣，田敏（2014）以武夷山片区的双遗产为例，从旅游保护与开发角度指出双遗产保护应加强自然与文化的融合，制定相关发展规划的策略。同时针对遗产中的农业文化遗产部分的保护提出了要收集与整理片区内各种农业文化遗产与传统农业景观资源，采用基于循环农业视角下的“农旅双链”模式，发展休闲农业，推动片区农村扶贫的对策。但双遗产保护的相关研究总体上看较为单一，且集中在旅游开发领域，学界的相关理论和研究也有待丰富。</w:t>
            </w:r>
          </w:p>
          <w:p w14:paraId="43FC4D0F">
            <w:pPr>
              <w:numPr>
                <w:ilvl w:val="0"/>
                <w:numId w:val="0"/>
              </w:num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2025年哈尼梯田成为全球首个“三遗产”典范，使多类型遗产受到学界的关注和重视，</w:t>
            </w:r>
            <w:r>
              <w:rPr>
                <w:rFonts w:hint="eastAsia" w:cs="宋体"/>
                <w:sz w:val="24"/>
                <w:szCs w:val="24"/>
                <w:lang w:val="en-US" w:eastAsia="zh-CN"/>
              </w:rPr>
              <w:t>多类型遗产保护路径研究逐渐成为遗产保护领域的热点和重点，</w:t>
            </w:r>
            <w:r>
              <w:rPr>
                <w:rFonts w:hint="eastAsia" w:ascii="宋体" w:hAnsi="宋体" w:eastAsia="宋体" w:cs="宋体"/>
                <w:sz w:val="24"/>
                <w:szCs w:val="24"/>
                <w:lang w:val="en-US" w:eastAsia="zh-CN"/>
              </w:rPr>
              <w:t>也让学界更多关注到多类型遗产保护中出现的新问题，推进了对多遗产保护的相关研究。张多（2025）提出多类型遗产的保护存在在地交叠的问题，提出应在行政层面构建大遗产观，对遗产地进行整体性、综合性保护，推动社区重组与多方行动，构建大遗产系统性保护体系。将多遗产保护的理论推进到更具体、更有层次性的层面。但仍面临相关研究少，总体研究不够深入的问题。</w:t>
            </w:r>
          </w:p>
          <w:p w14:paraId="33C7D1E4">
            <w:pPr>
              <w:numPr>
                <w:ilvl w:val="0"/>
                <w:numId w:val="0"/>
              </w:numPr>
              <w:spacing w:line="360" w:lineRule="auto"/>
              <w:ind w:firstLine="480" w:firstLineChars="200"/>
              <w:rPr>
                <w:rFonts w:hint="default" w:ascii="宋体" w:hAnsi="宋体" w:eastAsia="宋体" w:cs="宋体"/>
                <w:sz w:val="24"/>
                <w:szCs w:val="24"/>
                <w:lang w:val="en-US" w:eastAsia="zh-CN"/>
              </w:rPr>
            </w:pPr>
          </w:p>
          <w:p w14:paraId="6E4BCB9F">
            <w:pPr>
              <w:numPr>
                <w:ilvl w:val="0"/>
                <w:numId w:val="0"/>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3.农业文化遗产的系统性保护研究</w:t>
            </w:r>
          </w:p>
          <w:p w14:paraId="4C7F5150">
            <w:pPr>
              <w:numPr>
                <w:ilvl w:val="0"/>
                <w:numId w:val="0"/>
              </w:numPr>
              <w:spacing w:line="360" w:lineRule="auto"/>
              <w:ind w:firstLine="480" w:firstLineChars="200"/>
              <w:rPr>
                <w:rFonts w:hint="default" w:ascii="宋体" w:hAnsi="宋体" w:eastAsia="宋体" w:cs="宋体"/>
                <w:sz w:val="24"/>
                <w:szCs w:val="24"/>
                <w:lang w:val="en-US" w:eastAsia="zh-CN"/>
              </w:rPr>
            </w:pPr>
            <w:r>
              <w:rPr>
                <w:rFonts w:hint="eastAsia" w:ascii="Times New Roman" w:hAnsi="Times New Roman" w:cs="宋体"/>
                <w:b w:val="0"/>
                <w:bCs/>
                <w:color w:val="auto"/>
                <w:sz w:val="24"/>
                <w:szCs w:val="24"/>
                <w:highlight w:val="none"/>
                <w:shd w:val="clear" w:color="auto" w:fill="auto"/>
                <w:lang w:val="en-US" w:eastAsia="zh-CN"/>
              </w:rPr>
              <w:t>农业文化遗产保护的研究视角呈现向系统性保护转变的趋势，</w:t>
            </w:r>
            <w:r>
              <w:rPr>
                <w:rFonts w:hint="eastAsia" w:ascii="宋体" w:hAnsi="宋体" w:eastAsia="宋体" w:cs="宋体"/>
                <w:sz w:val="24"/>
                <w:szCs w:val="24"/>
                <w:lang w:val="en-US" w:eastAsia="zh-CN"/>
              </w:rPr>
              <w:t>2025年4月，孙庆忠教授在接受采访时指出：“农业文化遗产的特性很多，但有两个最为重要，一是系统性</w:t>
            </w:r>
            <w:r>
              <w:rPr>
                <w:rFonts w:hint="eastAsia" w:cs="宋体"/>
                <w:sz w:val="24"/>
                <w:szCs w:val="24"/>
                <w:lang w:val="en-US" w:eastAsia="zh-CN"/>
              </w:rPr>
              <w:t>……</w:t>
            </w:r>
            <w:r>
              <w:rPr>
                <w:rFonts w:hint="eastAsia" w:ascii="宋体" w:hAnsi="宋体" w:eastAsia="宋体" w:cs="宋体"/>
                <w:sz w:val="24"/>
                <w:szCs w:val="24"/>
                <w:lang w:val="en-US" w:eastAsia="zh-CN"/>
              </w:rPr>
              <w:t>二是活化性”；同年9月，云南元阳哈尼梯田入选第十二批“世界灌溉工程遗产”，自此，云南哈尼梯田具备“世界文化遗产”“全球重要农业遗产”“世界灌溉工程遗产”三</w:t>
            </w:r>
            <w:r>
              <w:rPr>
                <w:rFonts w:hint="eastAsia" w:cs="宋体"/>
                <w:sz w:val="24"/>
                <w:szCs w:val="24"/>
                <w:lang w:val="en-US" w:eastAsia="zh-CN"/>
              </w:rPr>
              <w:t>重</w:t>
            </w:r>
            <w:r>
              <w:rPr>
                <w:rFonts w:hint="eastAsia" w:ascii="宋体" w:hAnsi="宋体" w:eastAsia="宋体" w:cs="宋体"/>
                <w:sz w:val="24"/>
                <w:szCs w:val="24"/>
                <w:lang w:val="en-US" w:eastAsia="zh-CN"/>
              </w:rPr>
              <w:t>身份。张多发表的《从哈尼梯田到伊富高梯田——多重遗产化进程中的稻作社区》和《通往大遗产观之路——多类型遗产统筹保护的红河哈尼梯田经验及其启示》两篇文章，从系统性保护出发，以红河哈尼梯田为例，提出了“多重遗产”和“大遗产观”的概念，文章总结了红河哈尼梯田治理的成功经验，分不同主体揭示了他们为遗产的“再在地化”所做的努力和成功的试验。农业文化遗产配合其他遗产进行综合保护的“多重遗产化”是较新的名词，遗产保护的“系统性”理论则在近几年得到了很大发展。</w:t>
            </w:r>
            <w:r>
              <w:rPr>
                <w:rFonts w:hint="eastAsia" w:cs="宋体"/>
                <w:sz w:val="24"/>
                <w:szCs w:val="24"/>
                <w:lang w:val="en-US" w:eastAsia="zh-CN"/>
              </w:rPr>
              <w:t>农业文化遗产系统性保护研究愈加受到学界重视。</w:t>
            </w:r>
          </w:p>
          <w:p w14:paraId="302F9C09">
            <w:pPr>
              <w:keepNext w:val="0"/>
              <w:keepLines w:val="0"/>
              <w:pageBreakBefore w:val="0"/>
              <w:widowControl/>
              <w:numPr>
                <w:ilvl w:val="0"/>
                <w:numId w:val="0"/>
              </w:numPr>
              <w:kinsoku/>
              <w:wordWrap w:val="0"/>
              <w:overflowPunct/>
              <w:topLinePunct w:val="0"/>
              <w:autoSpaceDE/>
              <w:autoSpaceDN/>
              <w:bidi w:val="0"/>
              <w:adjustRightInd/>
              <w:snapToGrid/>
              <w:spacing w:line="360" w:lineRule="auto"/>
              <w:ind w:leftChars="0" w:firstLine="480"/>
              <w:jc w:val="left"/>
              <w:textAlignment w:val="auto"/>
              <w:rPr>
                <w:rFonts w:hint="eastAsia" w:ascii="宋体" w:hAnsi="宋体" w:eastAsia="宋体" w:cs="宋体"/>
                <w:sz w:val="24"/>
                <w:szCs w:val="24"/>
                <w:lang w:val="en-US" w:eastAsia="zh-CN"/>
              </w:rPr>
            </w:pPr>
            <w:r>
              <w:rPr>
                <w:rFonts w:hint="eastAsia" w:ascii="Times New Roman" w:hAnsi="Times New Roman" w:cs="宋体"/>
                <w:b w:val="0"/>
                <w:bCs/>
                <w:color w:val="auto"/>
                <w:sz w:val="24"/>
                <w:szCs w:val="24"/>
                <w:highlight w:val="none"/>
                <w:shd w:val="clear" w:color="auto" w:fill="auto"/>
                <w:lang w:val="en-US" w:eastAsia="zh-CN"/>
              </w:rPr>
              <w:t>虽然目前</w:t>
            </w:r>
            <w:r>
              <w:rPr>
                <w:rFonts w:hint="eastAsia" w:ascii="宋体" w:hAnsi="宋体" w:eastAsia="宋体" w:cs="宋体"/>
                <w:sz w:val="24"/>
                <w:szCs w:val="24"/>
                <w:lang w:val="en-US" w:eastAsia="zh-CN"/>
              </w:rPr>
              <w:t>关</w:t>
            </w:r>
            <w:r>
              <w:rPr>
                <w:rFonts w:hint="eastAsia" w:ascii="宋体" w:hAnsi="宋体" w:eastAsia="宋体" w:cs="宋体"/>
                <w:kern w:val="0"/>
                <w:sz w:val="24"/>
                <w:szCs w:val="24"/>
                <w:lang w:val="en-US" w:eastAsia="zh-CN" w:bidi="ar-SA"/>
              </w:rPr>
              <w:t>于农业文化的系统性保护的理论和路径研究相对较少，</w:t>
            </w:r>
            <w:r>
              <w:rPr>
                <w:rFonts w:hint="eastAsia" w:cs="宋体"/>
                <w:kern w:val="0"/>
                <w:sz w:val="24"/>
                <w:szCs w:val="24"/>
                <w:lang w:val="en-US" w:eastAsia="zh-CN" w:bidi="ar-SA"/>
              </w:rPr>
              <w:t>但是</w:t>
            </w:r>
            <w:r>
              <w:rPr>
                <w:rFonts w:hint="eastAsia" w:ascii="宋体" w:hAnsi="宋体" w:eastAsia="宋体" w:cs="宋体"/>
                <w:kern w:val="0"/>
                <w:sz w:val="24"/>
                <w:szCs w:val="24"/>
                <w:lang w:val="en-US" w:eastAsia="zh-CN" w:bidi="ar-SA"/>
              </w:rPr>
              <w:t>这些关于文化遗产系统性保护的丰富成果为相关研究提供了理论借鉴，推动其发展。苑利、顾军（2022）指出，农业文化遗产是将经济、生物、技术、文化、景观等融为一体的复合性遗产系统</w:t>
            </w:r>
            <w:r>
              <w:rPr>
                <w:rFonts w:hint="eastAsia" w:cs="宋体"/>
                <w:kern w:val="0"/>
                <w:sz w:val="24"/>
                <w:szCs w:val="24"/>
                <w:lang w:val="en-US" w:eastAsia="zh-CN" w:bidi="ar-SA"/>
              </w:rPr>
              <w:t>，初步提出系统性保护的概念</w:t>
            </w:r>
            <w:r>
              <w:rPr>
                <w:rFonts w:hint="eastAsia" w:ascii="宋体" w:hAnsi="宋体" w:eastAsia="宋体" w:cs="宋体"/>
                <w:kern w:val="0"/>
                <w:sz w:val="24"/>
                <w:szCs w:val="24"/>
                <w:lang w:val="en-US" w:eastAsia="zh-CN" w:bidi="ar-SA"/>
              </w:rPr>
              <w:t>；</w:t>
            </w:r>
            <w:r>
              <w:rPr>
                <w:rFonts w:hint="eastAsia" w:ascii="宋体" w:hAnsi="宋体" w:eastAsia="宋体" w:cs="宋体"/>
                <w:sz w:val="24"/>
                <w:szCs w:val="24"/>
                <w:lang w:val="en-US" w:eastAsia="zh-CN"/>
              </w:rPr>
              <w:t>马随随</w:t>
            </w:r>
            <w:r>
              <w:rPr>
                <w:rFonts w:hint="eastAsia" w:cs="宋体"/>
                <w:sz w:val="24"/>
                <w:szCs w:val="24"/>
                <w:lang w:val="en-US" w:eastAsia="zh-CN"/>
              </w:rPr>
              <w:t>、</w:t>
            </w:r>
            <w:r>
              <w:rPr>
                <w:rFonts w:hint="eastAsia" w:ascii="宋体" w:hAnsi="宋体" w:eastAsia="宋体" w:cs="宋体"/>
                <w:sz w:val="24"/>
                <w:szCs w:val="24"/>
                <w:lang w:val="en-US" w:eastAsia="zh-CN"/>
              </w:rPr>
              <w:t>张华兵</w:t>
            </w:r>
            <w:r>
              <w:rPr>
                <w:rFonts w:hint="eastAsia" w:cs="宋体"/>
                <w:sz w:val="24"/>
                <w:szCs w:val="24"/>
                <w:lang w:val="en-US" w:eastAsia="zh-CN"/>
              </w:rPr>
              <w:t>、</w:t>
            </w:r>
            <w:r>
              <w:rPr>
                <w:rFonts w:hint="eastAsia" w:ascii="宋体" w:hAnsi="宋体" w:eastAsia="宋体" w:cs="宋体"/>
                <w:sz w:val="24"/>
                <w:szCs w:val="24"/>
                <w:lang w:val="en-US" w:eastAsia="zh-CN"/>
              </w:rPr>
              <w:t>王清</w:t>
            </w:r>
            <w:r>
              <w:rPr>
                <w:rFonts w:hint="eastAsia" w:cs="宋体"/>
                <w:sz w:val="24"/>
                <w:szCs w:val="24"/>
                <w:lang w:val="en-US" w:eastAsia="zh-CN"/>
              </w:rPr>
              <w:t>（2023）对里下河地区生态系统服务价值、农户生计的时空特征及二者的耦合协调关系进行系统研究，以期实现协同系统性发展，为</w:t>
            </w:r>
            <w:r>
              <w:rPr>
                <w:rFonts w:hint="eastAsia" w:ascii="Times New Roman" w:hAnsi="Times New Roman" w:cs="宋体"/>
                <w:b w:val="0"/>
                <w:bCs/>
                <w:color w:val="auto"/>
                <w:sz w:val="24"/>
                <w:szCs w:val="24"/>
                <w:highlight w:val="none"/>
                <w:shd w:val="clear" w:color="auto" w:fill="auto"/>
                <w:lang w:val="en-US" w:eastAsia="zh-CN"/>
              </w:rPr>
              <w:t>农业文化遗产系统性保护提供了模型上的支持</w:t>
            </w:r>
            <w:r>
              <w:rPr>
                <w:rFonts w:hint="eastAsia" w:cs="宋体"/>
                <w:sz w:val="24"/>
                <w:szCs w:val="24"/>
                <w:lang w:val="en-US" w:eastAsia="zh-CN"/>
              </w:rPr>
              <w:t>；</w:t>
            </w:r>
            <w:r>
              <w:rPr>
                <w:rFonts w:hint="eastAsia" w:ascii="宋体" w:hAnsi="宋体" w:eastAsia="宋体" w:cs="宋体"/>
                <w:kern w:val="0"/>
                <w:sz w:val="24"/>
                <w:szCs w:val="24"/>
                <w:lang w:val="en-US" w:eastAsia="zh-CN" w:bidi="ar-SA"/>
              </w:rPr>
              <w:t>2025年4月，苑利</w:t>
            </w:r>
            <w:r>
              <w:rPr>
                <w:rFonts w:hint="eastAsia" w:ascii="宋体" w:hAnsi="宋体" w:eastAsia="宋体" w:cs="宋体"/>
                <w:sz w:val="24"/>
                <w:szCs w:val="24"/>
                <w:lang w:val="en-US" w:eastAsia="zh-CN"/>
              </w:rPr>
              <w:t>和全小国在</w:t>
            </w:r>
            <w:r>
              <w:rPr>
                <w:rFonts w:hint="eastAsia" w:ascii="宋体" w:hAnsi="宋体" w:eastAsia="宋体" w:cs="宋体"/>
                <w:kern w:val="0"/>
                <w:sz w:val="24"/>
                <w:szCs w:val="24"/>
                <w:lang w:val="en-US" w:eastAsia="zh-CN" w:bidi="ar-SA"/>
              </w:rPr>
              <w:t>复合性遗产系统</w:t>
            </w:r>
            <w:r>
              <w:rPr>
                <w:rFonts w:hint="eastAsia" w:ascii="宋体" w:hAnsi="宋体" w:eastAsia="宋体" w:cs="宋体"/>
                <w:sz w:val="24"/>
                <w:szCs w:val="24"/>
                <w:lang w:val="en-US" w:eastAsia="zh-CN"/>
              </w:rPr>
              <w:t>这一基础上，发表了《农遗与非遗系统性保护的耦合关系及互促路径——以东乌珠穆沁旗游牧生产系统为例》一文。文中探索了农业文化遗产和非物质文化遗产的耦合关系，将系统化保护的理论引入对农业文化遗产的分析中，初步阐释了多遗产系统性保护的可能性</w:t>
            </w:r>
            <w:r>
              <w:rPr>
                <w:rFonts w:hint="eastAsia" w:cs="宋体"/>
                <w:sz w:val="24"/>
                <w:szCs w:val="24"/>
                <w:lang w:val="en-US" w:eastAsia="zh-CN"/>
              </w:rPr>
              <w:t>，提出了部分</w:t>
            </w:r>
            <w:r>
              <w:rPr>
                <w:rFonts w:hint="eastAsia" w:ascii="宋体" w:hAnsi="宋体" w:eastAsia="宋体" w:cs="宋体"/>
                <w:sz w:val="24"/>
                <w:szCs w:val="24"/>
                <w:lang w:val="en-US" w:eastAsia="zh-CN"/>
              </w:rPr>
              <w:t>农遗与非遗系统性保护的互促路径。</w:t>
            </w:r>
          </w:p>
          <w:p w14:paraId="168EB8F2">
            <w:pPr>
              <w:keepNext w:val="0"/>
              <w:keepLines w:val="0"/>
              <w:pageBreakBefore w:val="0"/>
              <w:widowControl/>
              <w:numPr>
                <w:ilvl w:val="0"/>
                <w:numId w:val="0"/>
              </w:numPr>
              <w:kinsoku/>
              <w:wordWrap w:val="0"/>
              <w:overflowPunct/>
              <w:topLinePunct w:val="0"/>
              <w:autoSpaceDE/>
              <w:autoSpaceDN/>
              <w:bidi w:val="0"/>
              <w:adjustRightInd/>
              <w:snapToGrid/>
              <w:spacing w:line="360" w:lineRule="auto"/>
              <w:ind w:leftChars="0" w:firstLine="48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些研究虽然从理论上论证了农业文化遗产和非物质文化遗产统筹保护的可能性，但是缺乏案例支持，更没有进一步将农业文化遗产置于多类型遗产的系统性保护中。这些成果发表时间较近，缺乏后继研究，使得“多遗产系统性保护”的概念没有得到充分阐发。</w:t>
            </w:r>
          </w:p>
          <w:p w14:paraId="5E6F75EC">
            <w:pPr>
              <w:numPr>
                <w:ilvl w:val="0"/>
                <w:numId w:val="0"/>
              </w:num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以上研究初步探索了农业文化遗产的系统性保护路径，又因其从其内涵范围和不同载体遗产关系角度指导农业文化遗产的系统性保护，为多类型遗产保护提供了方法论启发。</w:t>
            </w:r>
          </w:p>
          <w:p w14:paraId="68FC8D87">
            <w:pPr>
              <w:numPr>
                <w:ilvl w:val="0"/>
                <w:numId w:val="0"/>
              </w:numPr>
              <w:spacing w:line="360" w:lineRule="auto"/>
              <w:ind w:firstLine="480" w:firstLineChars="200"/>
              <w:rPr>
                <w:rFonts w:hint="eastAsia" w:ascii="宋体" w:hAnsi="宋体" w:eastAsia="宋体" w:cs="宋体"/>
                <w:sz w:val="24"/>
                <w:szCs w:val="24"/>
                <w:lang w:val="en-US" w:eastAsia="zh-CN"/>
              </w:rPr>
            </w:pPr>
          </w:p>
          <w:p w14:paraId="25C0835B">
            <w:pPr>
              <w:numPr>
                <w:ilvl w:val="0"/>
                <w:numId w:val="0"/>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4.高邮湖泊湿地农业系统的有关研究</w:t>
            </w:r>
          </w:p>
          <w:p w14:paraId="2A9D627F">
            <w:pPr>
              <w:numPr>
                <w:ilvl w:val="0"/>
                <w:numId w:val="0"/>
              </w:numPr>
              <w:spacing w:line="360" w:lineRule="auto"/>
              <w:ind w:firstLine="480" w:firstLineChars="200"/>
              <w:rPr>
                <w:rFonts w:hint="default" w:ascii="Times New Roman" w:hAnsi="Times New Roman" w:eastAsia="宋体" w:cs="宋体"/>
                <w:color w:val="auto"/>
                <w:kern w:val="0"/>
                <w:sz w:val="24"/>
                <w:szCs w:val="24"/>
                <w:highlight w:val="none"/>
                <w:lang w:val="en-US" w:eastAsia="zh-CN" w:bidi="ar"/>
              </w:rPr>
            </w:pPr>
            <w:r>
              <w:rPr>
                <w:rFonts w:hint="eastAsia" w:ascii="Times New Roman" w:hAnsi="Times New Roman" w:eastAsia="宋体" w:cs="宋体"/>
                <w:color w:val="auto"/>
                <w:kern w:val="0"/>
                <w:sz w:val="24"/>
                <w:szCs w:val="24"/>
                <w:highlight w:val="none"/>
                <w:lang w:val="en-US" w:eastAsia="zh-CN" w:bidi="ar"/>
              </w:rPr>
              <w:t>高邮湖</w:t>
            </w:r>
            <w:r>
              <w:rPr>
                <w:rFonts w:hint="eastAsia" w:ascii="Times New Roman" w:hAnsi="Times New Roman" w:cs="宋体"/>
                <w:color w:val="auto"/>
                <w:kern w:val="0"/>
                <w:sz w:val="24"/>
                <w:szCs w:val="24"/>
                <w:highlight w:val="none"/>
                <w:lang w:val="en-US" w:eastAsia="zh-CN" w:bidi="ar"/>
              </w:rPr>
              <w:t>泊湿地</w:t>
            </w:r>
            <w:r>
              <w:rPr>
                <w:rFonts w:hint="eastAsia" w:ascii="Times New Roman" w:hAnsi="Times New Roman" w:eastAsia="宋体" w:cs="宋体"/>
                <w:color w:val="auto"/>
                <w:kern w:val="0"/>
                <w:sz w:val="24"/>
                <w:szCs w:val="24"/>
                <w:highlight w:val="none"/>
                <w:lang w:val="en-US" w:eastAsia="zh-CN" w:bidi="ar"/>
              </w:rPr>
              <w:t>农业系统</w:t>
            </w:r>
            <w:r>
              <w:rPr>
                <w:rFonts w:hint="eastAsia" w:ascii="Times New Roman" w:hAnsi="Times New Roman" w:cs="宋体"/>
                <w:color w:val="auto"/>
                <w:kern w:val="0"/>
                <w:sz w:val="24"/>
                <w:szCs w:val="24"/>
                <w:highlight w:val="none"/>
                <w:lang w:val="en-US" w:eastAsia="zh-CN" w:bidi="ar"/>
              </w:rPr>
              <w:t>作为集</w:t>
            </w:r>
            <w:r>
              <w:rPr>
                <w:rFonts w:hint="default" w:ascii="Times New Roman" w:hAnsi="Times New Roman" w:cs="宋体"/>
                <w:b w:val="0"/>
                <w:bCs/>
                <w:color w:val="auto"/>
                <w:sz w:val="24"/>
                <w:szCs w:val="24"/>
                <w:highlight w:val="none"/>
                <w:shd w:val="clear" w:color="auto" w:fill="auto"/>
                <w:lang w:val="en-US" w:eastAsia="zh-CN"/>
              </w:rPr>
              <w:t>中国重要农业文化遗产</w:t>
            </w:r>
            <w:r>
              <w:rPr>
                <w:rFonts w:hint="eastAsia" w:ascii="Times New Roman" w:hAnsi="Times New Roman" w:cs="宋体"/>
                <w:b w:val="0"/>
                <w:bCs/>
                <w:color w:val="auto"/>
                <w:sz w:val="24"/>
                <w:szCs w:val="24"/>
                <w:highlight w:val="none"/>
                <w:shd w:val="clear" w:color="auto" w:fill="auto"/>
                <w:lang w:val="en-US" w:eastAsia="zh-CN"/>
              </w:rPr>
              <w:t>、世界灌溉工程遗产等多类型物质和非物质文化遗产为一体的</w:t>
            </w:r>
            <w:r>
              <w:rPr>
                <w:rFonts w:hint="default" w:ascii="Times New Roman" w:hAnsi="Times New Roman" w:cs="宋体"/>
                <w:b w:val="0"/>
                <w:bCs/>
                <w:color w:val="auto"/>
                <w:sz w:val="24"/>
                <w:szCs w:val="24"/>
                <w:highlight w:val="none"/>
                <w:shd w:val="clear" w:color="auto" w:fill="auto"/>
                <w:lang w:val="en-US" w:eastAsia="zh-CN"/>
              </w:rPr>
              <w:t>全球重要农业文化遗产项目候选</w:t>
            </w:r>
            <w:r>
              <w:rPr>
                <w:rFonts w:hint="eastAsia" w:ascii="Times New Roman" w:hAnsi="Times New Roman" w:cs="宋体"/>
                <w:b w:val="0"/>
                <w:bCs/>
                <w:color w:val="auto"/>
                <w:sz w:val="24"/>
                <w:szCs w:val="24"/>
                <w:highlight w:val="none"/>
                <w:shd w:val="clear" w:color="auto" w:fill="auto"/>
                <w:lang w:val="en-US" w:eastAsia="zh-CN"/>
              </w:rPr>
              <w:t>地，相较于红河哈尼梯田的“三遗产”，属于我国一个重要的、具有复合价值的遗产地</w:t>
            </w:r>
            <w:r>
              <w:rPr>
                <w:rFonts w:hint="eastAsia" w:cs="宋体"/>
                <w:sz w:val="24"/>
                <w:szCs w:val="24"/>
                <w:lang w:val="en-US" w:eastAsia="zh-CN"/>
              </w:rPr>
              <w:t>。从生态效益、经济价值、文化传承三个方面，</w:t>
            </w:r>
            <w:r>
              <w:rPr>
                <w:rFonts w:hint="eastAsia" w:ascii="Times New Roman" w:hAnsi="Times New Roman" w:eastAsia="宋体" w:cs="宋体"/>
                <w:color w:val="auto"/>
                <w:kern w:val="0"/>
                <w:sz w:val="24"/>
                <w:szCs w:val="24"/>
                <w:highlight w:val="none"/>
                <w:lang w:val="en-US" w:eastAsia="zh-CN" w:bidi="ar"/>
              </w:rPr>
              <w:t>高邮湖</w:t>
            </w:r>
            <w:r>
              <w:rPr>
                <w:rFonts w:hint="eastAsia" w:ascii="Times New Roman" w:hAnsi="Times New Roman" w:cs="宋体"/>
                <w:color w:val="auto"/>
                <w:kern w:val="0"/>
                <w:sz w:val="24"/>
                <w:szCs w:val="24"/>
                <w:highlight w:val="none"/>
                <w:lang w:val="en-US" w:eastAsia="zh-CN" w:bidi="ar"/>
              </w:rPr>
              <w:t>泊湿地</w:t>
            </w:r>
            <w:r>
              <w:rPr>
                <w:rFonts w:hint="eastAsia" w:ascii="Times New Roman" w:hAnsi="Times New Roman" w:eastAsia="宋体" w:cs="宋体"/>
                <w:color w:val="auto"/>
                <w:kern w:val="0"/>
                <w:sz w:val="24"/>
                <w:szCs w:val="24"/>
                <w:highlight w:val="none"/>
                <w:lang w:val="en-US" w:eastAsia="zh-CN" w:bidi="ar"/>
              </w:rPr>
              <w:t>农业系统</w:t>
            </w:r>
            <w:r>
              <w:rPr>
                <w:rFonts w:hint="eastAsia" w:ascii="Times New Roman" w:hAnsi="Times New Roman" w:cs="宋体"/>
                <w:color w:val="auto"/>
                <w:kern w:val="0"/>
                <w:sz w:val="24"/>
                <w:szCs w:val="24"/>
                <w:highlight w:val="none"/>
                <w:lang w:val="en-US" w:eastAsia="zh-CN" w:bidi="ar"/>
              </w:rPr>
              <w:t>都极具重要性和可研究性，尤其是在多遗产协同保护方面，处于一种重要但不够重视的状态。</w:t>
            </w:r>
          </w:p>
          <w:p w14:paraId="726481F3">
            <w:pPr>
              <w:numPr>
                <w:ilvl w:val="0"/>
                <w:numId w:val="0"/>
              </w:numPr>
              <w:spacing w:line="360" w:lineRule="auto"/>
              <w:ind w:firstLine="480" w:firstLineChars="200"/>
              <w:rPr>
                <w:rFonts w:hint="default" w:ascii="Times New Roman" w:hAnsi="Times New Roman" w:eastAsia="宋体" w:cs="宋体"/>
                <w:color w:val="auto"/>
                <w:kern w:val="0"/>
                <w:sz w:val="24"/>
                <w:szCs w:val="24"/>
                <w:highlight w:val="none"/>
                <w:lang w:val="en-US" w:eastAsia="zh-CN" w:bidi="ar"/>
              </w:rPr>
            </w:pPr>
            <w:r>
              <w:rPr>
                <w:rFonts w:hint="eastAsia" w:ascii="Times New Roman" w:hAnsi="Times New Roman" w:eastAsia="宋体" w:cs="宋体"/>
                <w:color w:val="auto"/>
                <w:kern w:val="0"/>
                <w:sz w:val="24"/>
                <w:szCs w:val="24"/>
                <w:highlight w:val="none"/>
                <w:lang w:val="en-US" w:eastAsia="zh-CN" w:bidi="ar"/>
              </w:rPr>
              <w:t>本研究考察的代表性案例以高邮湖</w:t>
            </w:r>
            <w:r>
              <w:rPr>
                <w:rFonts w:hint="eastAsia" w:ascii="Times New Roman" w:hAnsi="Times New Roman" w:cs="宋体"/>
                <w:color w:val="auto"/>
                <w:kern w:val="0"/>
                <w:sz w:val="24"/>
                <w:szCs w:val="24"/>
                <w:highlight w:val="none"/>
                <w:lang w:val="en-US" w:eastAsia="zh-CN" w:bidi="ar"/>
              </w:rPr>
              <w:t>泊湿地</w:t>
            </w:r>
            <w:r>
              <w:rPr>
                <w:rFonts w:hint="eastAsia" w:ascii="Times New Roman" w:hAnsi="Times New Roman" w:eastAsia="宋体" w:cs="宋体"/>
                <w:color w:val="auto"/>
                <w:kern w:val="0"/>
                <w:sz w:val="24"/>
                <w:szCs w:val="24"/>
                <w:highlight w:val="none"/>
                <w:lang w:val="en-US" w:eastAsia="zh-CN" w:bidi="ar"/>
              </w:rPr>
              <w:t>农业系统和里运河</w:t>
            </w:r>
            <w:r>
              <w:rPr>
                <w:rFonts w:hint="eastAsia" w:ascii="Times New Roman" w:hAnsi="Times New Roman" w:cs="宋体"/>
                <w:color w:val="auto"/>
                <w:kern w:val="0"/>
                <w:sz w:val="24"/>
                <w:szCs w:val="24"/>
                <w:highlight w:val="none"/>
                <w:lang w:val="en-US" w:eastAsia="zh-CN" w:bidi="ar"/>
              </w:rPr>
              <w:t>-</w:t>
            </w:r>
            <w:r>
              <w:rPr>
                <w:rFonts w:hint="eastAsia" w:ascii="Times New Roman" w:hAnsi="Times New Roman" w:eastAsia="宋体" w:cs="宋体"/>
                <w:color w:val="auto"/>
                <w:kern w:val="0"/>
                <w:sz w:val="24"/>
                <w:szCs w:val="24"/>
                <w:highlight w:val="none"/>
                <w:lang w:val="en-US" w:eastAsia="zh-CN" w:bidi="ar"/>
              </w:rPr>
              <w:t>高邮灌区为主，</w:t>
            </w:r>
            <w:r>
              <w:rPr>
                <w:rFonts w:hint="eastAsia" w:ascii="Times New Roman" w:hAnsi="Times New Roman" w:cs="宋体"/>
                <w:color w:val="auto"/>
                <w:kern w:val="0"/>
                <w:sz w:val="24"/>
                <w:szCs w:val="24"/>
                <w:highlight w:val="none"/>
                <w:lang w:val="en-US" w:eastAsia="zh-CN" w:bidi="ar"/>
              </w:rPr>
              <w:t>该部分处于发展阶段，有待弥补空白</w:t>
            </w:r>
            <w:r>
              <w:rPr>
                <w:rFonts w:hint="eastAsia" w:ascii="Times New Roman" w:hAnsi="Times New Roman" w:eastAsia="宋体" w:cs="宋体"/>
                <w:color w:val="auto"/>
                <w:kern w:val="0"/>
                <w:sz w:val="24"/>
                <w:szCs w:val="24"/>
                <w:highlight w:val="none"/>
                <w:lang w:val="en-US" w:eastAsia="zh-CN" w:bidi="ar"/>
              </w:rPr>
              <w:t>，但</w:t>
            </w:r>
            <w:r>
              <w:rPr>
                <w:rFonts w:hint="eastAsia" w:ascii="Times New Roman" w:hAnsi="Times New Roman" w:cs="宋体"/>
                <w:color w:val="auto"/>
                <w:kern w:val="0"/>
                <w:sz w:val="24"/>
                <w:szCs w:val="24"/>
                <w:highlight w:val="none"/>
                <w:lang w:val="en-US" w:eastAsia="zh-CN" w:bidi="ar"/>
              </w:rPr>
              <w:t>在单一遗产方面仍</w:t>
            </w:r>
            <w:r>
              <w:rPr>
                <w:rFonts w:hint="eastAsia" w:ascii="Times New Roman" w:hAnsi="Times New Roman" w:eastAsia="宋体" w:cs="宋体"/>
                <w:color w:val="auto"/>
                <w:kern w:val="0"/>
                <w:sz w:val="24"/>
                <w:szCs w:val="24"/>
                <w:highlight w:val="none"/>
                <w:lang w:val="en-US" w:eastAsia="zh-CN" w:bidi="ar"/>
              </w:rPr>
              <w:t>取得一些成果。卢勇</w:t>
            </w:r>
            <w:r>
              <w:rPr>
                <w:rFonts w:hint="eastAsia" w:ascii="Times New Roman" w:hAnsi="Times New Roman" w:cs="宋体"/>
                <w:color w:val="auto"/>
                <w:kern w:val="0"/>
                <w:sz w:val="24"/>
                <w:szCs w:val="24"/>
                <w:highlight w:val="none"/>
                <w:lang w:val="en-US" w:eastAsia="zh-CN" w:bidi="ar"/>
              </w:rPr>
              <w:t>、</w:t>
            </w:r>
            <w:r>
              <w:rPr>
                <w:rFonts w:hint="eastAsia" w:ascii="Times New Roman" w:hAnsi="Times New Roman" w:eastAsia="宋体" w:cs="宋体"/>
                <w:color w:val="auto"/>
                <w:kern w:val="0"/>
                <w:sz w:val="24"/>
                <w:szCs w:val="24"/>
                <w:highlight w:val="none"/>
                <w:lang w:val="en-US" w:eastAsia="zh-CN" w:bidi="ar"/>
              </w:rPr>
              <w:t>陈加晋</w:t>
            </w:r>
            <w:r>
              <w:rPr>
                <w:rFonts w:hint="eastAsia" w:ascii="Times New Roman" w:hAnsi="Times New Roman" w:cs="宋体"/>
                <w:color w:val="auto"/>
                <w:kern w:val="0"/>
                <w:sz w:val="24"/>
                <w:szCs w:val="24"/>
                <w:highlight w:val="none"/>
                <w:lang w:val="en-US" w:eastAsia="zh-CN" w:bidi="ar"/>
              </w:rPr>
              <w:t>、</w:t>
            </w:r>
            <w:r>
              <w:rPr>
                <w:rFonts w:hint="eastAsia" w:ascii="Times New Roman" w:hAnsi="Times New Roman" w:eastAsia="宋体" w:cs="宋体"/>
                <w:color w:val="auto"/>
                <w:kern w:val="0"/>
                <w:sz w:val="24"/>
                <w:szCs w:val="24"/>
                <w:highlight w:val="none"/>
                <w:lang w:val="en-US" w:eastAsia="zh-CN" w:bidi="ar"/>
              </w:rPr>
              <w:t>陈晓艳（2017）在《从洪灾走廊到水乡天堂:明清治淮与里下河湿地农业系统的形成》一文中系统梳理了里下河地区的水文变化，详细考证了高邮湖“五荡十二湖”的由来，描述了湿地农业系统的概况。陆立才、姜兆全、朱凌宇、张家宏（2019）等学者对里下河地区的“一稻两虾”共作模式中各主体的交织作用进行了阐释，对这一生态系统的发展前景做出展望，为其系统性保护提供了有益经验。马随随</w:t>
            </w:r>
            <w:r>
              <w:rPr>
                <w:rFonts w:hint="eastAsia" w:ascii="Times New Roman" w:hAnsi="Times New Roman" w:cs="宋体"/>
                <w:color w:val="auto"/>
                <w:kern w:val="0"/>
                <w:sz w:val="24"/>
                <w:szCs w:val="24"/>
                <w:highlight w:val="none"/>
                <w:lang w:val="en-US" w:eastAsia="zh-CN" w:bidi="ar"/>
              </w:rPr>
              <w:t>、</w:t>
            </w:r>
            <w:r>
              <w:rPr>
                <w:rFonts w:hint="eastAsia" w:ascii="Times New Roman" w:hAnsi="Times New Roman" w:eastAsia="宋体" w:cs="宋体"/>
                <w:color w:val="auto"/>
                <w:kern w:val="0"/>
                <w:sz w:val="24"/>
                <w:szCs w:val="24"/>
                <w:highlight w:val="none"/>
                <w:lang w:val="en-US" w:eastAsia="zh-CN" w:bidi="ar"/>
              </w:rPr>
              <w:t>张华兵</w:t>
            </w:r>
            <w:r>
              <w:rPr>
                <w:rFonts w:hint="eastAsia" w:ascii="Times New Roman" w:hAnsi="Times New Roman" w:cs="宋体"/>
                <w:color w:val="auto"/>
                <w:kern w:val="0"/>
                <w:sz w:val="24"/>
                <w:szCs w:val="24"/>
                <w:highlight w:val="none"/>
                <w:lang w:val="en-US" w:eastAsia="zh-CN" w:bidi="ar"/>
              </w:rPr>
              <w:t>、</w:t>
            </w:r>
            <w:r>
              <w:rPr>
                <w:rFonts w:hint="eastAsia" w:ascii="Times New Roman" w:hAnsi="Times New Roman" w:eastAsia="宋体" w:cs="宋体"/>
                <w:color w:val="auto"/>
                <w:kern w:val="0"/>
                <w:sz w:val="24"/>
                <w:szCs w:val="24"/>
                <w:highlight w:val="none"/>
                <w:lang w:val="en-US" w:eastAsia="zh-CN" w:bidi="ar"/>
              </w:rPr>
              <w:t>王清（2023）根据2000—2020年里下河地区的土地利用遥感数据和农户生计相关统计数据对生态系统服务与农户生计的时空耦合关系进行研究，为农业文化遗产系统性保护提供了模型上的支持。卢勇、陈加晋（2025）在《黄淮水灾视野下明清里下河地区环境演变与特色农业发展》中指出，地处淮河下游的里下河地区在黄河夺淮中是受灾最为严重的片区之一，当地人民以兴圩堆垛的方式治理水患，变害为利，创造了新的农业生产模式新的水乡格局，构成农业特色化转型的新资源与新动力。陈圆圆和卢勇（2019、2020）有关高邮湖湿地系统的研究深入探讨高邮湖湿地“稻鸭鱼蟹”共作系统的主体关系和运作模式，全面展示了高邮丰富的民风民俗和非物质文化遗产，并且从农业文化遗产的视角对高邮湖泊湿地农业系统性的保护与发展工作提出可操作性建议。</w:t>
            </w:r>
          </w:p>
          <w:p w14:paraId="4D491EF9">
            <w:pPr>
              <w:numPr>
                <w:ilvl w:val="0"/>
                <w:numId w:val="0"/>
              </w:numPr>
              <w:spacing w:line="360" w:lineRule="auto"/>
              <w:ind w:firstLine="480" w:firstLineChars="200"/>
              <w:rPr>
                <w:rFonts w:hint="eastAsia" w:ascii="Times New Roman" w:hAnsi="Times New Roman" w:eastAsia="宋体" w:cs="宋体"/>
                <w:color w:val="auto"/>
                <w:kern w:val="0"/>
                <w:sz w:val="24"/>
                <w:szCs w:val="24"/>
                <w:highlight w:val="none"/>
                <w:lang w:val="en-US" w:eastAsia="zh-CN" w:bidi="ar"/>
              </w:rPr>
            </w:pPr>
            <w:r>
              <w:rPr>
                <w:rFonts w:hint="eastAsia" w:ascii="Times New Roman" w:hAnsi="Times New Roman" w:eastAsia="宋体" w:cs="宋体"/>
                <w:color w:val="auto"/>
                <w:kern w:val="0"/>
                <w:sz w:val="24"/>
                <w:szCs w:val="24"/>
                <w:highlight w:val="none"/>
                <w:lang w:val="en-US" w:eastAsia="zh-CN" w:bidi="ar"/>
              </w:rPr>
              <w:t>从以上分析可以看出，学界对于高邮湖湿地系统和里运河-高邮灌区灌溉工程遗产的历史源流、形成要素、特色农业的研究已较为丰富全面，但都集中于单一遗产本身的研究。高邮地区的各类文化遗产以其当地独特的民俗文化、经济水平、生活习惯具有强相关性，是研究多类型遗产保护的绝佳范本。如何在现有的条件下，加强对高邮地区文化遗产的保护，促进各类型遗产传统知识和技术体系的传承，实现多遗产的系统性保护，是一个值得研究的课题。</w:t>
            </w:r>
          </w:p>
          <w:p w14:paraId="6E187A25">
            <w:pPr>
              <w:numPr>
                <w:ilvl w:val="0"/>
                <w:numId w:val="0"/>
              </w:numPr>
              <w:spacing w:line="360" w:lineRule="auto"/>
              <w:ind w:firstLine="480" w:firstLineChars="200"/>
              <w:rPr>
                <w:rFonts w:hint="eastAsia" w:ascii="Times New Roman" w:hAnsi="Times New Roman" w:eastAsia="宋体" w:cs="宋体"/>
                <w:color w:val="auto"/>
                <w:kern w:val="0"/>
                <w:sz w:val="24"/>
                <w:szCs w:val="24"/>
                <w:highlight w:val="none"/>
                <w:lang w:val="en-US" w:eastAsia="zh-CN" w:bidi="ar"/>
              </w:rPr>
            </w:pPr>
          </w:p>
          <w:p w14:paraId="6F25518A">
            <w:pPr>
              <w:numPr>
                <w:ilvl w:val="0"/>
                <w:numId w:val="0"/>
              </w:numPr>
              <w:spacing w:line="360" w:lineRule="auto"/>
              <w:ind w:firstLine="480" w:firstLineChars="200"/>
              <w:rPr>
                <w:rFonts w:hint="eastAsia" w:ascii="Times New Roman" w:hAnsi="Times New Roman" w:eastAsia="宋体" w:cs="宋体"/>
                <w:color w:val="auto"/>
                <w:kern w:val="0"/>
                <w:sz w:val="24"/>
                <w:szCs w:val="24"/>
                <w:highlight w:val="none"/>
                <w:lang w:val="en-US" w:eastAsia="zh-CN" w:bidi="ar"/>
              </w:rPr>
            </w:pPr>
          </w:p>
          <w:p w14:paraId="1FD489BE">
            <w:pPr>
              <w:numPr>
                <w:ilvl w:val="0"/>
                <w:numId w:val="0"/>
              </w:num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5.文献评述</w:t>
            </w:r>
          </w:p>
          <w:p w14:paraId="35BE56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宋体"/>
                <w:color w:val="231F20"/>
                <w:kern w:val="0"/>
                <w:sz w:val="24"/>
                <w:szCs w:val="24"/>
                <w:lang w:val="en-US" w:eastAsia="zh-CN" w:bidi="ar"/>
              </w:rPr>
            </w:pPr>
            <w:r>
              <w:rPr>
                <w:rFonts w:hint="eastAsia" w:ascii="宋体" w:hAnsi="宋体" w:eastAsia="宋体" w:cs="宋体"/>
                <w:color w:val="231F20"/>
                <w:kern w:val="0"/>
                <w:sz w:val="24"/>
                <w:szCs w:val="24"/>
                <w:lang w:val="en-US" w:eastAsia="zh-CN" w:bidi="ar"/>
              </w:rPr>
              <w:t>通过对既有文献的梳理可知，国内外诸多学者或基于自身研究兴趣或基于现实问题导向或采用不同的研究方法，从不同</w:t>
            </w:r>
            <w:r>
              <w:rPr>
                <w:rFonts w:hint="eastAsia" w:cs="宋体"/>
                <w:color w:val="231F20"/>
                <w:kern w:val="0"/>
                <w:sz w:val="24"/>
                <w:szCs w:val="24"/>
                <w:lang w:val="en-US" w:eastAsia="zh-CN" w:bidi="ar"/>
              </w:rPr>
              <w:t>角度</w:t>
            </w:r>
            <w:r>
              <w:rPr>
                <w:rFonts w:hint="eastAsia" w:ascii="宋体" w:hAnsi="宋体" w:eastAsia="宋体" w:cs="宋体"/>
                <w:color w:val="231F20"/>
                <w:kern w:val="0"/>
                <w:sz w:val="24"/>
                <w:szCs w:val="24"/>
                <w:lang w:val="en-US" w:eastAsia="zh-CN" w:bidi="ar"/>
              </w:rPr>
              <w:t>对文化遗产系统性保护</w:t>
            </w:r>
            <w:r>
              <w:rPr>
                <w:rFonts w:hint="eastAsia" w:cs="宋体"/>
                <w:color w:val="231F20"/>
                <w:kern w:val="0"/>
                <w:sz w:val="24"/>
                <w:szCs w:val="24"/>
                <w:lang w:val="en-US" w:eastAsia="zh-CN" w:bidi="ar"/>
              </w:rPr>
              <w:t>、多类型遗产保护、农业文化遗产系统性保护</w:t>
            </w:r>
            <w:r>
              <w:rPr>
                <w:rFonts w:hint="eastAsia" w:ascii="宋体" w:hAnsi="宋体" w:eastAsia="宋体" w:cs="宋体"/>
                <w:color w:val="231F20"/>
                <w:kern w:val="0"/>
                <w:sz w:val="24"/>
                <w:szCs w:val="24"/>
                <w:lang w:val="en-US" w:eastAsia="zh-CN" w:bidi="ar"/>
              </w:rPr>
              <w:t>进行了系列讨论并取得丰硕的成果。</w:t>
            </w:r>
            <w:r>
              <w:rPr>
                <w:rFonts w:hint="eastAsia" w:cs="宋体"/>
                <w:color w:val="231F20"/>
                <w:kern w:val="0"/>
                <w:sz w:val="24"/>
                <w:szCs w:val="24"/>
                <w:lang w:val="en-US" w:eastAsia="zh-CN" w:bidi="ar"/>
              </w:rPr>
              <w:t>然而其研究亦存在不足之处。</w:t>
            </w:r>
          </w:p>
          <w:p w14:paraId="47A9F6B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rPr>
                <w:rFonts w:hint="eastAsia" w:cs="宋体"/>
                <w:color w:val="231F20"/>
                <w:kern w:val="0"/>
                <w:sz w:val="24"/>
                <w:szCs w:val="24"/>
                <w:lang w:val="en-US" w:eastAsia="zh-CN" w:bidi="ar"/>
              </w:rPr>
            </w:pPr>
            <w:r>
              <w:rPr>
                <w:rFonts w:hint="eastAsia" w:cs="宋体"/>
                <w:color w:val="231F20"/>
                <w:kern w:val="0"/>
                <w:sz w:val="24"/>
                <w:szCs w:val="24"/>
                <w:lang w:val="en-US" w:eastAsia="zh-CN" w:bidi="ar"/>
              </w:rPr>
              <w:t>其一，在关于文化遗产系统性保护的研究上，国内外学者多聚焦于非物质文化遗产，缺乏对于同样具有系统性特征的农业文化遗产、物质文化遗产等文化遗产的关注。随着系统性保护理论的不断发展，越来越多的学者开始将系统性保护理论运用到农业文化遗产保护领域，然而相关研究尚且处于起步阶段，论文数量较少且研究层次相对较浅。</w:t>
            </w:r>
          </w:p>
          <w:p w14:paraId="6787ACD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rPr>
                <w:rFonts w:hint="eastAsia" w:cs="宋体"/>
                <w:color w:val="231F20"/>
                <w:kern w:val="0"/>
                <w:sz w:val="24"/>
                <w:szCs w:val="24"/>
                <w:lang w:val="en-US" w:eastAsia="zh-CN" w:bidi="ar"/>
              </w:rPr>
            </w:pPr>
            <w:r>
              <w:rPr>
                <w:rFonts w:hint="eastAsia" w:cs="宋体"/>
                <w:color w:val="231F20"/>
                <w:kern w:val="0"/>
                <w:sz w:val="24"/>
                <w:szCs w:val="24"/>
                <w:lang w:val="en-US" w:eastAsia="zh-CN" w:bidi="ar"/>
              </w:rPr>
              <w:t>其二，在关于多类型遗产保护的研究上，学术界主要关注多重文化遗产的保护开发，如对世界文化与自然双重遗产的关注明显较多。而且研究层次较浅，研究通常聚焦于旅游开发和经济价值，缺少对多类型文化遗产互动耦合关系的学理性研究。近来，随着哈尼梯田、高邮湖泊湿地系统等地被评为多种遗产，部分学者开始进行多类型遗产保护的研究。然而，目前的研究仍然较少，且缺乏普遍性和可复制性，研究仍待深化。</w:t>
            </w:r>
          </w:p>
          <w:p w14:paraId="40AE270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rPr>
                <w:rFonts w:hint="eastAsia" w:ascii="宋体" w:hAnsi="宋体" w:eastAsia="宋体" w:cs="宋体"/>
                <w:sz w:val="24"/>
                <w:szCs w:val="24"/>
                <w:lang w:val="en-US" w:eastAsia="zh-CN"/>
              </w:rPr>
            </w:pPr>
            <w:r>
              <w:rPr>
                <w:rFonts w:hint="eastAsia" w:cs="宋体"/>
                <w:color w:val="231F20"/>
                <w:kern w:val="0"/>
                <w:sz w:val="24"/>
                <w:szCs w:val="24"/>
                <w:lang w:val="en-US" w:eastAsia="zh-CN" w:bidi="ar"/>
              </w:rPr>
              <w:t>其三，在关于农业文化遗产系统性保护的研究上，现有研究虽然发展了对于农业文化遗产和非物质文化遗产统筹保护的理论，初步证实了两者的系统互动关系。但是，当前研究领域仍然较为狭小，缺乏对于将农业文化遗产置于</w:t>
            </w:r>
            <w:r>
              <w:rPr>
                <w:rFonts w:hint="eastAsia" w:ascii="宋体" w:hAnsi="宋体" w:eastAsia="宋体" w:cs="宋体"/>
                <w:sz w:val="24"/>
                <w:szCs w:val="24"/>
                <w:lang w:val="en-US" w:eastAsia="zh-CN"/>
              </w:rPr>
              <w:t>多类型遗产系统性保护背景的研究。这些成果发表时间较近，缺乏后继研究，使得“多遗产系统性保护”的概念没有得到充分阐发。</w:t>
            </w:r>
          </w:p>
          <w:p w14:paraId="0420A25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rPr>
                <w:rFonts w:hint="eastAsia" w:cs="宋体"/>
                <w:color w:val="231F20"/>
                <w:kern w:val="0"/>
                <w:sz w:val="24"/>
                <w:szCs w:val="24"/>
                <w:lang w:val="en-US" w:eastAsia="zh-CN" w:bidi="ar"/>
              </w:rPr>
            </w:pPr>
            <w:r>
              <w:rPr>
                <w:rFonts w:hint="eastAsia" w:ascii="宋体" w:hAnsi="宋体" w:eastAsia="宋体" w:cs="宋体"/>
                <w:sz w:val="24"/>
                <w:szCs w:val="24"/>
                <w:lang w:val="en-US" w:eastAsia="zh-CN"/>
              </w:rPr>
              <w:t>其四，</w:t>
            </w:r>
            <w:r>
              <w:rPr>
                <w:rFonts w:hint="eastAsia" w:cs="宋体"/>
                <w:color w:val="231F20"/>
                <w:kern w:val="0"/>
                <w:sz w:val="24"/>
                <w:szCs w:val="24"/>
                <w:lang w:val="en-US" w:eastAsia="zh-CN" w:bidi="ar"/>
              </w:rPr>
              <w:t>在关于高邮湖泊湿地系统的研究上，相关研究与保护措施提出较少，对其的关注度仍有待提高。</w:t>
            </w:r>
          </w:p>
          <w:p w14:paraId="43D215D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rPr>
                <w:rFonts w:hint="default" w:cs="宋体"/>
                <w:color w:val="231F20"/>
                <w:kern w:val="0"/>
                <w:sz w:val="24"/>
                <w:szCs w:val="24"/>
                <w:lang w:val="en-US" w:eastAsia="zh-CN" w:bidi="ar"/>
              </w:rPr>
            </w:pPr>
            <w:r>
              <w:rPr>
                <w:rFonts w:hint="eastAsia" w:cs="宋体"/>
                <w:color w:val="231F20"/>
                <w:kern w:val="0"/>
                <w:sz w:val="24"/>
                <w:szCs w:val="24"/>
                <w:lang w:val="en-US" w:eastAsia="zh-CN" w:bidi="ar"/>
              </w:rPr>
              <w:t>因此，本研究以高邮湖泊湿地系统为切入点，在系统性保护的视角下探究其与当地其他文化遗产如里运河-高邮灌区、高邮鸭蛋技艺等非物质文化遗产的互动关系、保护困境及其背后的深层次原因，并结合其他重要农业文化遗产地相关经验，找出相应对策与方法。在此基础上，发掘重要农业文化遗产的多类型遗产系统性保护路径，助力重要农业文化遗产的传承与发展。</w:t>
            </w:r>
          </w:p>
          <w:p w14:paraId="4E74C776">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p w14:paraId="191DD355">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b/>
                <w:bCs/>
                <w:lang w:val="en-US" w:eastAsia="zh-CN"/>
              </w:rPr>
            </w:pPr>
          </w:p>
          <w:p w14:paraId="2A18699F">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b/>
                <w:bCs/>
                <w:lang w:val="en-US" w:eastAsia="zh-CN"/>
              </w:rPr>
            </w:pPr>
          </w:p>
          <w:p w14:paraId="55D4D2CB">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b/>
                <w:bCs/>
                <w:lang w:val="en-US" w:eastAsia="zh-CN"/>
              </w:rPr>
            </w:pPr>
          </w:p>
          <w:p w14:paraId="08411B5C">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ascii="仿宋" w:hAnsi="仿宋" w:eastAsia="仿宋" w:cs="仿宋"/>
                <w:b/>
                <w:bCs/>
                <w:lang w:val="en-US" w:eastAsia="zh-CN"/>
              </w:rPr>
              <w:t>参考文献</w:t>
            </w:r>
            <w:r>
              <w:rPr>
                <w:rFonts w:hint="eastAsia"/>
                <w:lang w:val="en-US" w:eastAsia="zh-CN"/>
              </w:rPr>
              <w:t>：</w:t>
            </w:r>
          </w:p>
          <w:p w14:paraId="3A311C15">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[1]全小国,苑利.农遗与非遗系统性保护的耦合关系及互促路径——以东乌珠穆沁旗游牧生产系统为例[J].三峡大学学报(人文社会科学版),2025,47(05):41-47+117.</w:t>
            </w:r>
          </w:p>
          <w:p w14:paraId="7D73CA17">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[2]孔庆夫,郝达.交往交流交融驱动粤闽浙非遗系统性保护的实践进路[J].广西民族大学学报(哲学社会科学版),2025,47(03):74-84.</w:t>
            </w:r>
          </w:p>
          <w:p w14:paraId="03350130">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[3]滕菲.系统韧性与农业文化遗产的保护[J].科学·经济·社会,2025,43(04):63-74+2.</w:t>
            </w:r>
          </w:p>
          <w:p w14:paraId="3B101606">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[4]聂奇,刘亚煊,罗亮,等.农业文化遗产研究进展可视化分析[J].辽宁农业科学,2025,(04):47-51.</w:t>
            </w:r>
          </w:p>
          <w:p w14:paraId="2EA16083">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[5]林继富,黄紫坛.“梅里神山祭祀”系统性保护研究[J].中国藏学,2025,(03):155-165+218.</w:t>
            </w:r>
          </w:p>
          <w:p w14:paraId="5F005AE2">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[6]孙庆忠,张金垚.农业文化遗产研究的核心议题与保护实践——孙庆忠教授访谈录[J].中国农业大学学报(社会科学版),2025,42(02):95-109.</w:t>
            </w:r>
          </w:p>
          <w:p w14:paraId="029D65AE">
            <w:pPr>
              <w:numPr>
                <w:ilvl w:val="0"/>
                <w:numId w:val="0"/>
              </w:numPr>
              <w:spacing w:line="360" w:lineRule="auto"/>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[7]卢勇,陈加晋.黄淮水灾视野下明清里下河地区环境演变与特色农业发展[J].史学月</w:t>
            </w:r>
            <w:r>
              <w:rPr>
                <w:rFonts w:hint="eastAsia" w:cs="宋体"/>
                <w:sz w:val="21"/>
                <w:szCs w:val="21"/>
                <w:lang w:val="en-US" w:eastAsia="zh-CN"/>
              </w:rPr>
              <w:t>刊，2025，(02)：17-34.</w:t>
            </w:r>
          </w:p>
          <w:p w14:paraId="4823EA02">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[8]全小国,程波涛.逻辑理路与策略路径：从非物质文化遗产的系统性到系统性保护[J].民族艺术研究,2024,37(04):142-151.</w:t>
            </w:r>
          </w:p>
          <w:p w14:paraId="000BB4AA">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[9]张多.通往大遗产观之路——多类型遗产统筹保护的红河哈尼梯田经验及其启示[J].西北民族研究,2023,(06):118-128.</w:t>
            </w:r>
          </w:p>
          <w:p w14:paraId="70411FBC">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[10]伽红凯,卢勇.农业文化遗产供给侧改革:矛盾表征、肇因分析与策略选择[J].中国农业大学学报(社会科学版),2023,40(05):189-202.</w:t>
            </w:r>
          </w:p>
          <w:p w14:paraId="4FD79473">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[11]全小国,苑利.非物质文化遗产系统性保护研究[J].东南文化,2023,(04):6-13.</w:t>
            </w:r>
          </w:p>
          <w:p w14:paraId="51580CF0">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[12]马随随,张华兵,王清.生态系统服务与农户生计的时空耦合关系研究——以里下河地区为例[J].中国农业资源与区划,2023,44(03):79-88.</w:t>
            </w:r>
          </w:p>
          <w:p w14:paraId="231B8D8D">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[13]胡昌领,邹序桂.社区参与传统武术非遗系统性保护探究[J].体育文化导刊,2022,(01):72-78.</w:t>
            </w:r>
          </w:p>
          <w:p w14:paraId="144693B6">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[14]张灿强,吴良.中国重要农业文化遗产:内涵再识、保护进展与难点突破[J].华中农业大学学报(社会科学版),2021,(01):148-155+181.</w:t>
            </w:r>
          </w:p>
          <w:p w14:paraId="748943D1">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[15]陈园园.江苏高邮湖泊湿地农业系统的历史演变与保护研究[D].南京农业大学,2020.</w:t>
            </w:r>
          </w:p>
          <w:p w14:paraId="438B4590">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[16]王思明.农业文化遗产概念的演变及其学科体系的构建[J].中国农史,2019,38(06):113-121</w:t>
            </w:r>
          </w:p>
          <w:p w14:paraId="0EB7B3CE">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[17]陈园园,卢勇.江苏高邮湖泊湿地农业系统的保护与发展[J].农村经济与科技,2019,30(10):1-3.</w:t>
            </w:r>
          </w:p>
          <w:p w14:paraId="6055FB88">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[18]陆立才,姜兆全,蒋守清,等.江苏里下河地区稻田鱼蟹生态共生模式及其关键技术集成[J].现代农业科技,2019,(06):184-186.</w:t>
            </w:r>
          </w:p>
          <w:p w14:paraId="6A464605">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[19]张多.从哈尼梯田到伊富高梯田——多重遗产化进程中的稻作社区[J].西北民族研究,2018,(01):35-44.</w:t>
            </w:r>
          </w:p>
          <w:p w14:paraId="167B44FE">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[20]卢勇,陈加晋,陈晓艳.从洪灾走廊到水乡天堂:明清治淮与里下河湿地农业系统的形成[J].南京农业大学学报(社会科学版),2017,17(06):152-161+166.</w:t>
            </w:r>
          </w:p>
          <w:p w14:paraId="3561ED3F">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[21]朱凌宇,张家宏,寇祥明,等.江苏里下河地区“一稻两虾”共作模式生产技术规程[J].湖北农业科学,2017,56(15):2811-2813.</w:t>
            </w:r>
          </w:p>
          <w:p w14:paraId="1904B232">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[22]闵庆文,赵贵根,焦雯珺.世界遗产监测评估进展及对农业文化遗产管理的启示[J].世界农业,2015,(11):97-100+255.</w:t>
            </w:r>
          </w:p>
          <w:p w14:paraId="0AF1A8F4">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[23]庞世明,孙业红,魏云洁,等.农业文化遗产动态保护途径的经济学分析——以云南省哈尼梯田为例[J].世界农业,2015,(11):101-106+255-256.</w:t>
            </w:r>
          </w:p>
          <w:p w14:paraId="16779261">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[24]路璐,王思明.我国民俗类农业文化遗产:研究范式与复兴路径[J].中国农史,2013,32(06):103-113.</w:t>
            </w:r>
          </w:p>
          <w:p w14:paraId="63A2ED7A">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[25]杨柳.生态民俗学视角下的农业文化遗产研究[D].温州大学,2012.</w:t>
            </w:r>
          </w:p>
          <w:p w14:paraId="552A5DE8">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[26]马萧,张蓉.通过发展旅游保护农业文化遗产的社会学探析——以浙江青田“稻鱼共生”系统为例[J].安徽农业科学,2011,39(02):936-938.</w:t>
            </w:r>
          </w:p>
          <w:p w14:paraId="41ADE00A">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[27]叶正伟,许有鹏,徐金涛.江苏里下河地区洪涝灾害演变趋势与成灾机理分析[J].地理科学,2009,29(06):880-885.</w:t>
            </w:r>
          </w:p>
          <w:p w14:paraId="6E74D4C9">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[28]闵庆文,孙业红.农业文化遗产的概念、特点与保护要求[J].资源科学,2009,31(06):914-918.</w:t>
            </w:r>
          </w:p>
          <w:p w14:paraId="3637E2DB">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[29]刘正威.黄山世界文化与自然双遗产的可持续发展研究[D].中国地质大学（北京）,2013.</w:t>
            </w:r>
          </w:p>
          <w:p w14:paraId="48B0FE4A">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[30]陈沙沙.峨眉山—乐山大佛混合遗产的可持续发展研究[D].中国地质大学(北京),2012.</w:t>
            </w:r>
          </w:p>
          <w:p w14:paraId="1C1B6846">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[31]孙硕.我国世界双重遗产的可持续发展研究[D].中国地质大学（北京）,2011.</w:t>
            </w:r>
          </w:p>
          <w:p w14:paraId="139A06A1">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32</w:t>
            </w:r>
            <w:r>
              <w:rPr>
                <w:rFonts w:hint="eastAsia" w:ascii="宋体" w:hAnsi="宋体" w:eastAsia="宋体" w:cs="宋体"/>
                <w:sz w:val="21"/>
                <w:szCs w:val="21"/>
                <w:lang w:val="en-US" w:eastAsia="zh-CN"/>
              </w:rPr>
              <w:t>]孙庆忠.农业文化遗产与乡土中国[M].中央编译出版社:202109.473.</w:t>
            </w:r>
          </w:p>
          <w:p w14:paraId="27256621">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33</w:t>
            </w:r>
            <w:r>
              <w:rPr>
                <w:rFonts w:hint="eastAsia" w:ascii="宋体" w:hAnsi="宋体" w:eastAsia="宋体" w:cs="宋体"/>
                <w:sz w:val="21"/>
                <w:szCs w:val="21"/>
                <w:lang w:val="en-US" w:eastAsia="zh-CN"/>
              </w:rPr>
              <w:t>]石鼎.文化景观视野中的乡村遗产保护[M].中国书籍出版社:202009.275.</w:t>
            </w:r>
          </w:p>
          <w:p w14:paraId="1B8C485C">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34</w:t>
            </w:r>
            <w:r>
              <w:rPr>
                <w:rFonts w:hint="eastAsia" w:ascii="宋体" w:hAnsi="宋体" w:eastAsia="宋体" w:cs="宋体"/>
                <w:sz w:val="21"/>
                <w:szCs w:val="21"/>
                <w:lang w:val="en-US" w:eastAsia="zh-CN"/>
              </w:rPr>
              <w:t>]王堞凡.江苏地区农业景观的保护与更新[M].天津科学技术出版社:202007.217.</w:t>
            </w:r>
          </w:p>
          <w:p w14:paraId="3B5AC795">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35</w:t>
            </w:r>
            <w:r>
              <w:rPr>
                <w:rFonts w:hint="eastAsia" w:ascii="宋体" w:hAnsi="宋体" w:eastAsia="宋体" w:cs="宋体"/>
                <w:sz w:val="21"/>
                <w:szCs w:val="21"/>
                <w:lang w:val="en-US" w:eastAsia="zh-CN"/>
              </w:rPr>
              <w:t>]田阡;苑利.多学科视野下的农业文化遗产与乡村振兴[M].知识产权出版社:201808.481.</w:t>
            </w:r>
          </w:p>
          <w:p w14:paraId="1E7E59DA">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36</w:t>
            </w:r>
            <w:r>
              <w:rPr>
                <w:rFonts w:hint="eastAsia" w:ascii="宋体" w:hAnsi="宋体" w:eastAsia="宋体" w:cs="宋体"/>
                <w:sz w:val="21"/>
                <w:szCs w:val="21"/>
                <w:lang w:val="en-US" w:eastAsia="zh-CN"/>
              </w:rPr>
              <w:t>]李明,王思明.农业文化遗产学[M].南京大学出版社:201506.300.</w:t>
            </w:r>
          </w:p>
          <w:p w14:paraId="7C502CA9">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37</w:t>
            </w:r>
            <w:r>
              <w:rPr>
                <w:rFonts w:hint="eastAsia" w:ascii="宋体" w:hAnsi="宋体" w:eastAsia="宋体" w:cs="宋体"/>
                <w:sz w:val="21"/>
                <w:szCs w:val="21"/>
                <w:lang w:val="en-US" w:eastAsia="zh-CN"/>
              </w:rPr>
              <w:t>]苑利,顾军.非物质文化遗产学（第二版）[M].北京</w:t>
            </w:r>
            <w:r>
              <w:rPr>
                <w:rFonts w:hint="eastAsia" w:cs="宋体"/>
                <w:sz w:val="21"/>
                <w:szCs w:val="21"/>
                <w:lang w:val="en-US" w:eastAsia="zh-CN"/>
              </w:rPr>
              <w:t>:</w:t>
            </w:r>
            <w:r>
              <w:rPr>
                <w:rFonts w:hint="eastAsia" w:ascii="宋体" w:hAnsi="宋体" w:eastAsia="宋体" w:cs="宋体"/>
                <w:sz w:val="21"/>
                <w:szCs w:val="21"/>
                <w:lang w:val="en-US" w:eastAsia="zh-CN"/>
              </w:rPr>
              <w:t>高等教育出版社</w:t>
            </w:r>
            <w:r>
              <w:rPr>
                <w:rFonts w:hint="eastAsia" w:cs="宋体"/>
                <w:sz w:val="21"/>
                <w:szCs w:val="21"/>
                <w:lang w:val="en-US" w:eastAsia="zh-CN"/>
              </w:rPr>
              <w:t>,</w:t>
            </w:r>
            <w:r>
              <w:rPr>
                <w:rFonts w:hint="eastAsia" w:ascii="宋体" w:hAnsi="宋体" w:eastAsia="宋体" w:cs="宋体"/>
                <w:sz w:val="21"/>
                <w:szCs w:val="21"/>
                <w:lang w:val="en-US" w:eastAsia="zh-CN"/>
              </w:rPr>
              <w:t>2022.</w:t>
            </w:r>
          </w:p>
          <w:p w14:paraId="06BB5453">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38</w:t>
            </w:r>
            <w:r>
              <w:rPr>
                <w:rFonts w:hint="eastAsia" w:ascii="宋体" w:hAnsi="宋体" w:eastAsia="宋体" w:cs="宋体"/>
                <w:sz w:val="21"/>
                <w:szCs w:val="21"/>
                <w:lang w:val="en-US" w:eastAsia="zh-CN"/>
              </w:rPr>
              <w:t>]李文华.中国重要农业文化遗产保护与发展战略研究[M].北京</w:t>
            </w:r>
            <w:r>
              <w:rPr>
                <w:rFonts w:hint="eastAsia" w:cs="宋体"/>
                <w:sz w:val="21"/>
                <w:szCs w:val="21"/>
                <w:lang w:val="en-US" w:eastAsia="zh-CN"/>
              </w:rPr>
              <w:t>:</w:t>
            </w:r>
            <w:r>
              <w:rPr>
                <w:rFonts w:hint="eastAsia" w:ascii="宋体" w:hAnsi="宋体" w:eastAsia="宋体" w:cs="宋体"/>
                <w:sz w:val="21"/>
                <w:szCs w:val="21"/>
                <w:lang w:val="en-US" w:eastAsia="zh-CN"/>
              </w:rPr>
              <w:t>科学出版社</w:t>
            </w:r>
            <w:r>
              <w:rPr>
                <w:rFonts w:hint="eastAsia" w:cs="宋体"/>
                <w:sz w:val="21"/>
                <w:szCs w:val="21"/>
                <w:lang w:val="en-US" w:eastAsia="zh-CN"/>
              </w:rPr>
              <w:t>,</w:t>
            </w:r>
            <w:r>
              <w:rPr>
                <w:rFonts w:hint="eastAsia" w:ascii="宋体" w:hAnsi="宋体" w:eastAsia="宋体" w:cs="宋体"/>
                <w:sz w:val="21"/>
                <w:szCs w:val="21"/>
                <w:lang w:val="en-US" w:eastAsia="zh-CN"/>
              </w:rPr>
              <w:t>2016</w:t>
            </w:r>
          </w:p>
          <w:p w14:paraId="10FF0725">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39</w:t>
            </w:r>
            <w:r>
              <w:rPr>
                <w:rFonts w:hint="eastAsia" w:ascii="宋体" w:hAnsi="宋体" w:eastAsia="宋体" w:cs="宋体"/>
                <w:sz w:val="21"/>
                <w:szCs w:val="21"/>
                <w:lang w:val="en-US" w:eastAsia="zh-CN"/>
              </w:rPr>
              <w:t>]徐旺生,闵庆文.农业文化遗产与“三农”[M].北京</w:t>
            </w:r>
            <w:r>
              <w:rPr>
                <w:rFonts w:hint="eastAsia" w:cs="宋体"/>
                <w:sz w:val="21"/>
                <w:szCs w:val="21"/>
                <w:lang w:val="en-US" w:eastAsia="zh-CN"/>
              </w:rPr>
              <w:t>:</w:t>
            </w:r>
            <w:r>
              <w:rPr>
                <w:rFonts w:hint="eastAsia" w:ascii="宋体" w:hAnsi="宋体" w:eastAsia="宋体" w:cs="宋体"/>
                <w:sz w:val="21"/>
                <w:szCs w:val="21"/>
                <w:lang w:val="en-US" w:eastAsia="zh-CN"/>
              </w:rPr>
              <w:t>中国环境科学出版社</w:t>
            </w:r>
            <w:r>
              <w:rPr>
                <w:rFonts w:hint="eastAsia" w:cs="宋体"/>
                <w:sz w:val="21"/>
                <w:szCs w:val="21"/>
                <w:lang w:val="en-US" w:eastAsia="zh-CN"/>
              </w:rPr>
              <w:t>,</w:t>
            </w:r>
            <w:r>
              <w:rPr>
                <w:rFonts w:hint="eastAsia" w:ascii="宋体" w:hAnsi="宋体" w:eastAsia="宋体" w:cs="宋体"/>
                <w:sz w:val="21"/>
                <w:szCs w:val="21"/>
                <w:lang w:val="en-US" w:eastAsia="zh-CN"/>
              </w:rPr>
              <w:t>2009.</w:t>
            </w:r>
          </w:p>
          <w:p w14:paraId="0CA9113F">
            <w:pPr>
              <w:numPr>
                <w:ilvl w:val="0"/>
                <w:numId w:val="0"/>
              </w:numPr>
              <w:spacing w:line="360" w:lineRule="auto"/>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40</w:t>
            </w:r>
            <w:r>
              <w:rPr>
                <w:rFonts w:hint="eastAsia" w:ascii="宋体" w:hAnsi="宋体" w:eastAsia="宋体" w:cs="宋体"/>
                <w:sz w:val="21"/>
                <w:szCs w:val="21"/>
                <w:lang w:val="en-US" w:eastAsia="zh-CN"/>
              </w:rPr>
              <w:t>]</w:t>
            </w:r>
            <w:r>
              <w:rPr>
                <w:rFonts w:hint="eastAsia" w:cs="宋体"/>
                <w:sz w:val="21"/>
                <w:szCs w:val="21"/>
                <w:lang w:val="en-US" w:eastAsia="zh-CN"/>
              </w:rPr>
              <w:t>(</w:t>
            </w:r>
            <w:r>
              <w:rPr>
                <w:rFonts w:hint="eastAsia" w:ascii="宋体" w:hAnsi="宋体" w:eastAsia="宋体" w:cs="宋体"/>
                <w:sz w:val="21"/>
                <w:szCs w:val="21"/>
                <w:lang w:val="en-US" w:eastAsia="zh-CN"/>
              </w:rPr>
              <w:t>明</w:t>
            </w:r>
            <w:r>
              <w:rPr>
                <w:rFonts w:hint="eastAsia" w:cs="宋体"/>
                <w:sz w:val="21"/>
                <w:szCs w:val="21"/>
                <w:lang w:val="en-US" w:eastAsia="zh-CN"/>
              </w:rPr>
              <w:t>)</w:t>
            </w:r>
            <w:r>
              <w:rPr>
                <w:rFonts w:hint="eastAsia" w:ascii="宋体" w:hAnsi="宋体" w:eastAsia="宋体" w:cs="宋体"/>
                <w:sz w:val="21"/>
                <w:szCs w:val="21"/>
                <w:lang w:val="en-US" w:eastAsia="zh-CN"/>
              </w:rPr>
              <w:t>胡顺华</w:t>
            </w:r>
            <w:r>
              <w:rPr>
                <w:rFonts w:hint="eastAsia" w:cs="宋体"/>
                <w:sz w:val="21"/>
                <w:szCs w:val="21"/>
                <w:lang w:val="en-US" w:eastAsia="zh-CN"/>
              </w:rPr>
              <w:t>.(</w:t>
            </w:r>
            <w:r>
              <w:rPr>
                <w:rFonts w:hint="eastAsia" w:ascii="宋体" w:hAnsi="宋体" w:eastAsia="宋体" w:cs="宋体"/>
                <w:sz w:val="21"/>
                <w:szCs w:val="21"/>
                <w:lang w:val="en-US" w:eastAsia="zh-CN"/>
              </w:rPr>
              <w:t>嘉靖</w:t>
            </w:r>
            <w:r>
              <w:rPr>
                <w:rFonts w:hint="eastAsia" w:cs="宋体"/>
                <w:sz w:val="21"/>
                <w:szCs w:val="21"/>
                <w:lang w:val="en-US" w:eastAsia="zh-CN"/>
              </w:rPr>
              <w:t>)</w:t>
            </w:r>
            <w:r>
              <w:rPr>
                <w:rFonts w:hint="eastAsia" w:ascii="宋体" w:hAnsi="宋体" w:eastAsia="宋体" w:cs="宋体"/>
                <w:sz w:val="21"/>
                <w:szCs w:val="21"/>
                <w:lang w:val="en-US" w:eastAsia="zh-CN"/>
              </w:rPr>
              <w:t>兴化县志</w:t>
            </w:r>
            <w:r>
              <w:rPr>
                <w:rFonts w:hint="eastAsia" w:cs="宋体"/>
                <w:sz w:val="21"/>
                <w:szCs w:val="21"/>
                <w:lang w:val="en-US" w:eastAsia="zh-CN"/>
              </w:rPr>
              <w:t>[</w:t>
            </w:r>
            <w:r>
              <w:rPr>
                <w:rFonts w:hint="eastAsia" w:ascii="宋体" w:hAnsi="宋体" w:eastAsia="宋体" w:cs="宋体"/>
                <w:sz w:val="21"/>
                <w:szCs w:val="21"/>
                <w:lang w:val="en-US" w:eastAsia="zh-CN"/>
              </w:rPr>
              <w:t>Ｍ</w:t>
            </w:r>
            <w:r>
              <w:rPr>
                <w:rFonts w:hint="eastAsia" w:cs="宋体"/>
                <w:sz w:val="21"/>
                <w:szCs w:val="21"/>
                <w:lang w:val="en-US" w:eastAsia="zh-CN"/>
              </w:rPr>
              <w:t>].</w:t>
            </w:r>
            <w:r>
              <w:rPr>
                <w:rFonts w:hint="eastAsia" w:ascii="宋体" w:hAnsi="宋体" w:eastAsia="宋体" w:cs="宋体"/>
                <w:sz w:val="21"/>
                <w:szCs w:val="21"/>
                <w:lang w:val="en-US" w:eastAsia="zh-CN"/>
              </w:rPr>
              <w:t>南京</w:t>
            </w:r>
            <w:r>
              <w:rPr>
                <w:rFonts w:hint="eastAsia" w:cs="宋体"/>
                <w:sz w:val="21"/>
                <w:szCs w:val="21"/>
                <w:lang w:val="en-US" w:eastAsia="zh-CN"/>
              </w:rPr>
              <w:t>:</w:t>
            </w:r>
            <w:r>
              <w:rPr>
                <w:rFonts w:hint="eastAsia" w:ascii="宋体" w:hAnsi="宋体" w:eastAsia="宋体" w:cs="宋体"/>
                <w:sz w:val="21"/>
                <w:szCs w:val="21"/>
                <w:lang w:val="en-US" w:eastAsia="zh-CN"/>
              </w:rPr>
              <w:t>凤凰出版社社</w:t>
            </w:r>
            <w:r>
              <w:rPr>
                <w:rFonts w:hint="eastAsia" w:cs="宋体"/>
                <w:sz w:val="21"/>
                <w:szCs w:val="21"/>
                <w:lang w:val="en-US" w:eastAsia="zh-CN"/>
              </w:rPr>
              <w:t>,</w:t>
            </w:r>
            <w:r>
              <w:rPr>
                <w:rFonts w:hint="eastAsia" w:ascii="宋体" w:hAnsi="宋体" w:eastAsia="宋体" w:cs="宋体"/>
                <w:sz w:val="21"/>
                <w:szCs w:val="21"/>
                <w:lang w:val="en-US" w:eastAsia="zh-CN"/>
              </w:rPr>
              <w:t>2014</w:t>
            </w:r>
            <w:r>
              <w:rPr>
                <w:rFonts w:hint="eastAsia" w:cs="宋体"/>
                <w:sz w:val="21"/>
                <w:szCs w:val="21"/>
                <w:lang w:val="en-US" w:eastAsia="zh-CN"/>
              </w:rPr>
              <w:t>.</w:t>
            </w:r>
          </w:p>
          <w:p w14:paraId="79D6FFE3">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41</w:t>
            </w:r>
            <w:r>
              <w:rPr>
                <w:rFonts w:hint="eastAsia" w:ascii="宋体" w:hAnsi="宋体" w:eastAsia="宋体" w:cs="宋体"/>
                <w:sz w:val="21"/>
                <w:szCs w:val="21"/>
                <w:lang w:val="en-US" w:eastAsia="zh-CN"/>
              </w:rPr>
              <w:t>]</w:t>
            </w:r>
            <w:r>
              <w:rPr>
                <w:rFonts w:hint="eastAsia" w:cs="宋体"/>
                <w:sz w:val="21"/>
                <w:szCs w:val="21"/>
                <w:lang w:val="en-US" w:eastAsia="zh-CN"/>
              </w:rPr>
              <w:t>(</w:t>
            </w:r>
            <w:r>
              <w:rPr>
                <w:rFonts w:hint="eastAsia" w:ascii="宋体" w:hAnsi="宋体" w:eastAsia="宋体" w:cs="宋体"/>
                <w:sz w:val="21"/>
                <w:szCs w:val="21"/>
                <w:lang w:val="en-US" w:eastAsia="zh-CN"/>
              </w:rPr>
              <w:t>明</w:t>
            </w:r>
            <w:r>
              <w:rPr>
                <w:rFonts w:hint="eastAsia" w:cs="宋体"/>
                <w:sz w:val="21"/>
                <w:szCs w:val="21"/>
                <w:lang w:val="en-US" w:eastAsia="zh-CN"/>
              </w:rPr>
              <w:t>)</w:t>
            </w:r>
            <w:r>
              <w:rPr>
                <w:rFonts w:hint="eastAsia" w:ascii="宋体" w:hAnsi="宋体" w:eastAsia="宋体" w:cs="宋体"/>
                <w:sz w:val="21"/>
                <w:szCs w:val="21"/>
                <w:lang w:val="en-US" w:eastAsia="zh-CN"/>
              </w:rPr>
              <w:t>欧阳东凤</w:t>
            </w:r>
            <w:r>
              <w:rPr>
                <w:rFonts w:hint="eastAsia" w:cs="宋体"/>
                <w:sz w:val="21"/>
                <w:szCs w:val="21"/>
                <w:lang w:val="en-US" w:eastAsia="zh-CN"/>
              </w:rPr>
              <w:t>.(</w:t>
            </w:r>
            <w:r>
              <w:rPr>
                <w:rFonts w:hint="eastAsia" w:ascii="宋体" w:hAnsi="宋体" w:eastAsia="宋体" w:cs="宋体"/>
                <w:sz w:val="21"/>
                <w:szCs w:val="21"/>
                <w:lang w:val="en-US" w:eastAsia="zh-CN"/>
              </w:rPr>
              <w:t>万历</w:t>
            </w:r>
            <w:r>
              <w:rPr>
                <w:rFonts w:hint="eastAsia" w:cs="宋体"/>
                <w:sz w:val="21"/>
                <w:szCs w:val="21"/>
                <w:lang w:val="en-US" w:eastAsia="zh-CN"/>
              </w:rPr>
              <w:t>)</w:t>
            </w:r>
            <w:r>
              <w:rPr>
                <w:rFonts w:hint="eastAsia" w:ascii="宋体" w:hAnsi="宋体" w:eastAsia="宋体" w:cs="宋体"/>
                <w:sz w:val="21"/>
                <w:szCs w:val="21"/>
                <w:lang w:val="en-US" w:eastAsia="zh-CN"/>
              </w:rPr>
              <w:t>兴化县新志</w:t>
            </w:r>
            <w:r>
              <w:rPr>
                <w:rFonts w:hint="eastAsia" w:cs="宋体"/>
                <w:sz w:val="21"/>
                <w:szCs w:val="21"/>
                <w:lang w:val="en-US" w:eastAsia="zh-CN"/>
              </w:rPr>
              <w:t>[</w:t>
            </w:r>
            <w:r>
              <w:rPr>
                <w:rFonts w:hint="eastAsia" w:ascii="宋体" w:hAnsi="宋体" w:eastAsia="宋体" w:cs="宋体"/>
                <w:sz w:val="21"/>
                <w:szCs w:val="21"/>
                <w:lang w:val="en-US" w:eastAsia="zh-CN"/>
              </w:rPr>
              <w:t>Ｍ</w:t>
            </w:r>
            <w:r>
              <w:rPr>
                <w:rFonts w:hint="eastAsia" w:cs="宋体"/>
                <w:sz w:val="21"/>
                <w:szCs w:val="21"/>
                <w:lang w:val="en-US" w:eastAsia="zh-CN"/>
              </w:rPr>
              <w:t>].</w:t>
            </w:r>
            <w:r>
              <w:rPr>
                <w:rFonts w:hint="eastAsia" w:ascii="宋体" w:hAnsi="宋体" w:eastAsia="宋体" w:cs="宋体"/>
                <w:sz w:val="21"/>
                <w:szCs w:val="21"/>
                <w:lang w:val="en-US" w:eastAsia="zh-CN"/>
              </w:rPr>
              <w:t>南京</w:t>
            </w:r>
            <w:r>
              <w:rPr>
                <w:rFonts w:hint="eastAsia" w:cs="宋体"/>
                <w:sz w:val="21"/>
                <w:szCs w:val="21"/>
                <w:lang w:val="en-US" w:eastAsia="zh-CN"/>
              </w:rPr>
              <w:t>:</w:t>
            </w:r>
            <w:r>
              <w:rPr>
                <w:rFonts w:hint="eastAsia" w:ascii="宋体" w:hAnsi="宋体" w:eastAsia="宋体" w:cs="宋体"/>
                <w:sz w:val="21"/>
                <w:szCs w:val="21"/>
                <w:lang w:val="en-US" w:eastAsia="zh-CN"/>
              </w:rPr>
              <w:t>凤凰出版社社</w:t>
            </w:r>
            <w:r>
              <w:rPr>
                <w:rFonts w:hint="eastAsia" w:cs="宋体"/>
                <w:sz w:val="21"/>
                <w:szCs w:val="21"/>
                <w:lang w:val="en-US" w:eastAsia="zh-CN"/>
              </w:rPr>
              <w:t>,</w:t>
            </w:r>
            <w:r>
              <w:rPr>
                <w:rFonts w:hint="eastAsia" w:ascii="宋体" w:hAnsi="宋体" w:eastAsia="宋体" w:cs="宋体"/>
                <w:sz w:val="21"/>
                <w:szCs w:val="21"/>
                <w:lang w:val="en-US" w:eastAsia="zh-CN"/>
              </w:rPr>
              <w:t>2014．</w:t>
            </w:r>
          </w:p>
          <w:p w14:paraId="446A9321">
            <w:pPr>
              <w:numPr>
                <w:ilvl w:val="0"/>
                <w:numId w:val="0"/>
              </w:numPr>
              <w:spacing w:line="360" w:lineRule="auto"/>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42</w:t>
            </w:r>
            <w:r>
              <w:rPr>
                <w:rFonts w:hint="eastAsia" w:ascii="宋体" w:hAnsi="宋体" w:eastAsia="宋体" w:cs="宋体"/>
                <w:sz w:val="21"/>
                <w:szCs w:val="21"/>
                <w:lang w:val="en-US" w:eastAsia="zh-CN"/>
              </w:rPr>
              <w:t>]</w:t>
            </w:r>
            <w:r>
              <w:rPr>
                <w:rFonts w:hint="eastAsia" w:cs="宋体"/>
                <w:sz w:val="21"/>
                <w:szCs w:val="21"/>
                <w:lang w:val="en-US" w:eastAsia="zh-CN"/>
              </w:rPr>
              <w:t>(</w:t>
            </w:r>
            <w:r>
              <w:rPr>
                <w:rFonts w:hint="eastAsia" w:ascii="宋体" w:hAnsi="宋体" w:eastAsia="宋体" w:cs="宋体"/>
                <w:sz w:val="21"/>
                <w:szCs w:val="21"/>
                <w:lang w:val="en-US" w:eastAsia="zh-CN"/>
              </w:rPr>
              <w:t>明</w:t>
            </w:r>
            <w:r>
              <w:rPr>
                <w:rFonts w:hint="eastAsia" w:cs="宋体"/>
                <w:sz w:val="21"/>
                <w:szCs w:val="21"/>
                <w:lang w:val="en-US" w:eastAsia="zh-CN"/>
              </w:rPr>
              <w:t>)</w:t>
            </w:r>
            <w:r>
              <w:rPr>
                <w:rFonts w:hint="eastAsia" w:ascii="宋体" w:hAnsi="宋体" w:eastAsia="宋体" w:cs="宋体"/>
                <w:sz w:val="21"/>
                <w:szCs w:val="21"/>
                <w:lang w:val="en-US" w:eastAsia="zh-CN"/>
              </w:rPr>
              <w:t>范惟恭</w:t>
            </w:r>
            <w:r>
              <w:rPr>
                <w:rFonts w:hint="eastAsia" w:cs="宋体"/>
                <w:sz w:val="21"/>
                <w:szCs w:val="21"/>
                <w:lang w:val="en-US" w:eastAsia="zh-CN"/>
              </w:rPr>
              <w:t>.</w:t>
            </w:r>
            <w:r>
              <w:rPr>
                <w:rFonts w:hint="eastAsia" w:ascii="宋体" w:hAnsi="宋体" w:eastAsia="宋体" w:cs="宋体"/>
                <w:sz w:val="21"/>
                <w:szCs w:val="21"/>
                <w:lang w:val="en-US" w:eastAsia="zh-CN"/>
              </w:rPr>
              <w:t>隆庆高邮州志</w:t>
            </w:r>
            <w:r>
              <w:rPr>
                <w:rFonts w:hint="eastAsia" w:cs="宋体"/>
                <w:sz w:val="21"/>
                <w:szCs w:val="21"/>
                <w:lang w:val="en-US" w:eastAsia="zh-CN"/>
              </w:rPr>
              <w:t>[</w:t>
            </w:r>
            <w:r>
              <w:rPr>
                <w:rFonts w:hint="eastAsia" w:ascii="宋体" w:hAnsi="宋体" w:eastAsia="宋体" w:cs="宋体"/>
                <w:sz w:val="21"/>
                <w:szCs w:val="21"/>
                <w:lang w:val="en-US" w:eastAsia="zh-CN"/>
              </w:rPr>
              <w:t>Ｍ</w:t>
            </w:r>
            <w:r>
              <w:rPr>
                <w:rFonts w:hint="eastAsia" w:cs="宋体"/>
                <w:sz w:val="21"/>
                <w:szCs w:val="21"/>
                <w:lang w:val="en-US" w:eastAsia="zh-CN"/>
              </w:rPr>
              <w:t>].</w:t>
            </w:r>
            <w:r>
              <w:rPr>
                <w:rFonts w:hint="eastAsia" w:ascii="宋体" w:hAnsi="宋体" w:eastAsia="宋体" w:cs="宋体"/>
                <w:sz w:val="21"/>
                <w:szCs w:val="21"/>
                <w:lang w:val="en-US" w:eastAsia="zh-CN"/>
              </w:rPr>
              <w:t>扬州</w:t>
            </w:r>
            <w:r>
              <w:rPr>
                <w:rFonts w:hint="eastAsia" w:cs="宋体"/>
                <w:sz w:val="21"/>
                <w:szCs w:val="21"/>
                <w:lang w:val="en-US" w:eastAsia="zh-CN"/>
              </w:rPr>
              <w:t>:</w:t>
            </w:r>
            <w:r>
              <w:rPr>
                <w:rFonts w:hint="eastAsia" w:ascii="宋体" w:hAnsi="宋体" w:eastAsia="宋体" w:cs="宋体"/>
                <w:sz w:val="21"/>
                <w:szCs w:val="21"/>
                <w:lang w:val="en-US" w:eastAsia="zh-CN"/>
              </w:rPr>
              <w:t>广陵书社</w:t>
            </w:r>
            <w:r>
              <w:rPr>
                <w:rFonts w:hint="eastAsia" w:cs="宋体"/>
                <w:sz w:val="21"/>
                <w:szCs w:val="21"/>
                <w:lang w:val="en-US" w:eastAsia="zh-CN"/>
              </w:rPr>
              <w:t>,</w:t>
            </w:r>
            <w:r>
              <w:rPr>
                <w:rFonts w:hint="eastAsia" w:ascii="宋体" w:hAnsi="宋体" w:eastAsia="宋体" w:cs="宋体"/>
                <w:sz w:val="21"/>
                <w:szCs w:val="21"/>
                <w:lang w:val="en-US" w:eastAsia="zh-CN"/>
              </w:rPr>
              <w:t>2015</w:t>
            </w:r>
            <w:r>
              <w:rPr>
                <w:rFonts w:hint="eastAsia" w:cs="宋体"/>
                <w:sz w:val="21"/>
                <w:szCs w:val="21"/>
                <w:lang w:val="en-US" w:eastAsia="zh-CN"/>
              </w:rPr>
              <w:t>.</w:t>
            </w:r>
          </w:p>
          <w:p w14:paraId="35DD208C">
            <w:pPr>
              <w:numPr>
                <w:ilvl w:val="0"/>
                <w:numId w:val="0"/>
              </w:numPr>
              <w:spacing w:line="360" w:lineRule="auto"/>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43</w:t>
            </w:r>
            <w:r>
              <w:rPr>
                <w:rFonts w:hint="eastAsia" w:ascii="宋体" w:hAnsi="宋体" w:eastAsia="宋体" w:cs="宋体"/>
                <w:sz w:val="21"/>
                <w:szCs w:val="21"/>
                <w:lang w:val="en-US" w:eastAsia="zh-CN"/>
              </w:rPr>
              <w:t>]</w:t>
            </w:r>
            <w:r>
              <w:rPr>
                <w:rFonts w:hint="eastAsia" w:cs="宋体"/>
                <w:sz w:val="21"/>
                <w:szCs w:val="21"/>
                <w:lang w:val="en-US" w:eastAsia="zh-CN"/>
              </w:rPr>
              <w:t>(</w:t>
            </w:r>
            <w:r>
              <w:rPr>
                <w:rFonts w:hint="eastAsia" w:ascii="宋体" w:hAnsi="宋体" w:eastAsia="宋体" w:cs="宋体"/>
                <w:sz w:val="21"/>
                <w:szCs w:val="21"/>
                <w:lang w:val="en-US" w:eastAsia="zh-CN"/>
              </w:rPr>
              <w:t>清</w:t>
            </w:r>
            <w:r>
              <w:rPr>
                <w:rFonts w:hint="eastAsia" w:cs="宋体"/>
                <w:sz w:val="21"/>
                <w:szCs w:val="21"/>
                <w:lang w:val="en-US" w:eastAsia="zh-CN"/>
              </w:rPr>
              <w:t>)</w:t>
            </w:r>
            <w:r>
              <w:rPr>
                <w:rFonts w:hint="eastAsia" w:ascii="宋体" w:hAnsi="宋体" w:eastAsia="宋体" w:cs="宋体"/>
                <w:sz w:val="21"/>
                <w:szCs w:val="21"/>
                <w:lang w:val="en-US" w:eastAsia="zh-CN"/>
              </w:rPr>
              <w:t>杨宜仑</w:t>
            </w:r>
            <w:r>
              <w:rPr>
                <w:rFonts w:hint="eastAsia" w:cs="宋体"/>
                <w:sz w:val="21"/>
                <w:szCs w:val="21"/>
                <w:lang w:val="en-US" w:eastAsia="zh-CN"/>
              </w:rPr>
              <w:t>.</w:t>
            </w:r>
            <w:r>
              <w:rPr>
                <w:rFonts w:hint="eastAsia" w:ascii="宋体" w:hAnsi="宋体" w:eastAsia="宋体" w:cs="宋体"/>
                <w:sz w:val="21"/>
                <w:szCs w:val="21"/>
                <w:lang w:val="en-US" w:eastAsia="zh-CN"/>
              </w:rPr>
              <w:t>嘉庆高邮州志</w:t>
            </w:r>
            <w:r>
              <w:rPr>
                <w:rFonts w:hint="eastAsia" w:cs="宋体"/>
                <w:sz w:val="21"/>
                <w:szCs w:val="21"/>
                <w:lang w:val="en-US" w:eastAsia="zh-CN"/>
              </w:rPr>
              <w:t>[</w:t>
            </w:r>
            <w:r>
              <w:rPr>
                <w:rFonts w:hint="eastAsia" w:ascii="宋体" w:hAnsi="宋体" w:eastAsia="宋体" w:cs="宋体"/>
                <w:sz w:val="21"/>
                <w:szCs w:val="21"/>
                <w:lang w:val="en-US" w:eastAsia="zh-CN"/>
              </w:rPr>
              <w:t>Ｍ</w:t>
            </w:r>
            <w:r>
              <w:rPr>
                <w:rFonts w:hint="eastAsia" w:cs="宋体"/>
                <w:sz w:val="21"/>
                <w:szCs w:val="21"/>
                <w:lang w:val="en-US" w:eastAsia="zh-CN"/>
              </w:rPr>
              <w:t>].</w:t>
            </w:r>
            <w:r>
              <w:rPr>
                <w:rFonts w:hint="eastAsia" w:ascii="宋体" w:hAnsi="宋体" w:eastAsia="宋体" w:cs="宋体"/>
                <w:sz w:val="21"/>
                <w:szCs w:val="21"/>
                <w:lang w:val="en-US" w:eastAsia="zh-CN"/>
              </w:rPr>
              <w:t>南京</w:t>
            </w:r>
            <w:r>
              <w:rPr>
                <w:rFonts w:hint="eastAsia" w:cs="宋体"/>
                <w:sz w:val="21"/>
                <w:szCs w:val="21"/>
                <w:lang w:val="en-US" w:eastAsia="zh-CN"/>
              </w:rPr>
              <w:t>:</w:t>
            </w:r>
            <w:r>
              <w:rPr>
                <w:rFonts w:hint="eastAsia" w:ascii="宋体" w:hAnsi="宋体" w:eastAsia="宋体" w:cs="宋体"/>
                <w:sz w:val="21"/>
                <w:szCs w:val="21"/>
                <w:lang w:val="en-US" w:eastAsia="zh-CN"/>
              </w:rPr>
              <w:t>江苏古籍出版社</w:t>
            </w:r>
            <w:r>
              <w:rPr>
                <w:rFonts w:hint="eastAsia" w:cs="宋体"/>
                <w:sz w:val="21"/>
                <w:szCs w:val="21"/>
                <w:lang w:val="en-US" w:eastAsia="zh-CN"/>
              </w:rPr>
              <w:t>,</w:t>
            </w:r>
            <w:r>
              <w:rPr>
                <w:rFonts w:hint="eastAsia" w:ascii="宋体" w:hAnsi="宋体" w:eastAsia="宋体" w:cs="宋体"/>
                <w:sz w:val="21"/>
                <w:szCs w:val="21"/>
                <w:lang w:val="en-US" w:eastAsia="zh-CN"/>
              </w:rPr>
              <w:t>1991</w:t>
            </w:r>
            <w:r>
              <w:rPr>
                <w:rFonts w:hint="eastAsia" w:cs="宋体"/>
                <w:sz w:val="21"/>
                <w:szCs w:val="21"/>
                <w:lang w:val="en-US" w:eastAsia="zh-CN"/>
              </w:rPr>
              <w:t>.</w:t>
            </w:r>
          </w:p>
          <w:p w14:paraId="61DFE9C1">
            <w:pPr>
              <w:numPr>
                <w:ilvl w:val="0"/>
                <w:numId w:val="0"/>
              </w:numPr>
              <w:spacing w:line="360" w:lineRule="auto"/>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44</w:t>
            </w:r>
            <w:r>
              <w:rPr>
                <w:rFonts w:hint="eastAsia" w:ascii="宋体" w:hAnsi="宋体" w:eastAsia="宋体" w:cs="宋体"/>
                <w:sz w:val="21"/>
                <w:szCs w:val="21"/>
                <w:lang w:val="en-US" w:eastAsia="zh-CN"/>
              </w:rPr>
              <w:t>]</w:t>
            </w:r>
            <w:r>
              <w:rPr>
                <w:rFonts w:hint="eastAsia" w:cs="宋体"/>
                <w:sz w:val="21"/>
                <w:szCs w:val="21"/>
                <w:lang w:val="en-US" w:eastAsia="zh-CN"/>
              </w:rPr>
              <w:t>(</w:t>
            </w:r>
            <w:r>
              <w:rPr>
                <w:rFonts w:hint="eastAsia" w:ascii="宋体" w:hAnsi="宋体" w:eastAsia="宋体" w:cs="宋体"/>
                <w:sz w:val="21"/>
                <w:szCs w:val="21"/>
                <w:lang w:val="en-US" w:eastAsia="zh-CN"/>
              </w:rPr>
              <w:t>清</w:t>
            </w:r>
            <w:r>
              <w:rPr>
                <w:rFonts w:hint="eastAsia" w:cs="宋体"/>
                <w:sz w:val="21"/>
                <w:szCs w:val="21"/>
                <w:lang w:val="en-US" w:eastAsia="zh-CN"/>
              </w:rPr>
              <w:t>)</w:t>
            </w:r>
            <w:r>
              <w:rPr>
                <w:rFonts w:hint="eastAsia" w:ascii="宋体" w:hAnsi="宋体" w:eastAsia="宋体" w:cs="宋体"/>
                <w:sz w:val="21"/>
                <w:szCs w:val="21"/>
                <w:lang w:val="en-US" w:eastAsia="zh-CN"/>
              </w:rPr>
              <w:t>左辉春</w:t>
            </w:r>
            <w:r>
              <w:rPr>
                <w:rFonts w:hint="eastAsia" w:cs="宋体"/>
                <w:sz w:val="21"/>
                <w:szCs w:val="21"/>
                <w:lang w:val="en-US" w:eastAsia="zh-CN"/>
              </w:rPr>
              <w:t>.</w:t>
            </w:r>
            <w:r>
              <w:rPr>
                <w:rFonts w:hint="eastAsia" w:ascii="宋体" w:hAnsi="宋体" w:eastAsia="宋体" w:cs="宋体"/>
                <w:sz w:val="21"/>
                <w:szCs w:val="21"/>
                <w:lang w:val="en-US" w:eastAsia="zh-CN"/>
              </w:rPr>
              <w:t>道光续增高邮州志</w:t>
            </w:r>
            <w:r>
              <w:rPr>
                <w:rFonts w:hint="eastAsia" w:cs="宋体"/>
                <w:sz w:val="21"/>
                <w:szCs w:val="21"/>
                <w:lang w:val="en-US" w:eastAsia="zh-CN"/>
              </w:rPr>
              <w:t>[</w:t>
            </w:r>
            <w:r>
              <w:rPr>
                <w:rFonts w:hint="eastAsia" w:ascii="宋体" w:hAnsi="宋体" w:eastAsia="宋体" w:cs="宋体"/>
                <w:sz w:val="21"/>
                <w:szCs w:val="21"/>
                <w:lang w:val="en-US" w:eastAsia="zh-CN"/>
              </w:rPr>
              <w:t>Ｍ</w:t>
            </w:r>
            <w:r>
              <w:rPr>
                <w:rFonts w:hint="eastAsia" w:cs="宋体"/>
                <w:sz w:val="21"/>
                <w:szCs w:val="21"/>
                <w:lang w:val="en-US" w:eastAsia="zh-CN"/>
              </w:rPr>
              <w:t>].</w:t>
            </w:r>
            <w:r>
              <w:rPr>
                <w:rFonts w:hint="eastAsia" w:ascii="宋体" w:hAnsi="宋体" w:eastAsia="宋体" w:cs="宋体"/>
                <w:sz w:val="21"/>
                <w:szCs w:val="21"/>
                <w:lang w:val="en-US" w:eastAsia="zh-CN"/>
              </w:rPr>
              <w:t>南京</w:t>
            </w:r>
            <w:r>
              <w:rPr>
                <w:rFonts w:hint="eastAsia" w:cs="宋体"/>
                <w:sz w:val="21"/>
                <w:szCs w:val="21"/>
                <w:lang w:val="en-US" w:eastAsia="zh-CN"/>
              </w:rPr>
              <w:t>:</w:t>
            </w:r>
            <w:r>
              <w:rPr>
                <w:rFonts w:hint="eastAsia" w:ascii="宋体" w:hAnsi="宋体" w:eastAsia="宋体" w:cs="宋体"/>
                <w:sz w:val="21"/>
                <w:szCs w:val="21"/>
                <w:lang w:val="en-US" w:eastAsia="zh-CN"/>
              </w:rPr>
              <w:t>江苏古籍出版社</w:t>
            </w:r>
            <w:r>
              <w:rPr>
                <w:rFonts w:hint="eastAsia" w:cs="宋体"/>
                <w:sz w:val="21"/>
                <w:szCs w:val="21"/>
                <w:lang w:val="en-US" w:eastAsia="zh-CN"/>
              </w:rPr>
              <w:t>,</w:t>
            </w:r>
            <w:r>
              <w:rPr>
                <w:rFonts w:hint="eastAsia" w:ascii="宋体" w:hAnsi="宋体" w:eastAsia="宋体" w:cs="宋体"/>
                <w:sz w:val="21"/>
                <w:szCs w:val="21"/>
                <w:lang w:val="en-US" w:eastAsia="zh-CN"/>
              </w:rPr>
              <w:t>1991</w:t>
            </w:r>
            <w:r>
              <w:rPr>
                <w:rFonts w:hint="eastAsia" w:cs="宋体"/>
                <w:sz w:val="21"/>
                <w:szCs w:val="21"/>
                <w:lang w:val="en-US" w:eastAsia="zh-CN"/>
              </w:rPr>
              <w:t>.</w:t>
            </w:r>
          </w:p>
          <w:p w14:paraId="2422622A">
            <w:pPr>
              <w:numPr>
                <w:ilvl w:val="0"/>
                <w:numId w:val="0"/>
              </w:numPr>
              <w:spacing w:line="360" w:lineRule="auto"/>
              <w:ind w:leftChars="0"/>
              <w:rPr>
                <w:rFonts w:hint="eastAsia"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45</w:t>
            </w:r>
            <w:r>
              <w:rPr>
                <w:rFonts w:hint="eastAsia" w:ascii="宋体" w:hAnsi="宋体" w:eastAsia="宋体" w:cs="宋体"/>
                <w:sz w:val="21"/>
                <w:szCs w:val="21"/>
                <w:lang w:val="en-US" w:eastAsia="zh-CN"/>
              </w:rPr>
              <w:t>]</w:t>
            </w:r>
            <w:r>
              <w:rPr>
                <w:rFonts w:hint="eastAsia" w:cs="宋体"/>
                <w:sz w:val="21"/>
                <w:szCs w:val="21"/>
                <w:lang w:val="en-US" w:eastAsia="zh-CN"/>
              </w:rPr>
              <w:t>(</w:t>
            </w:r>
            <w:r>
              <w:rPr>
                <w:rFonts w:hint="eastAsia" w:ascii="宋体" w:hAnsi="宋体" w:eastAsia="宋体" w:cs="宋体"/>
                <w:sz w:val="21"/>
                <w:szCs w:val="21"/>
                <w:lang w:val="en-US" w:eastAsia="zh-CN"/>
              </w:rPr>
              <w:t>清</w:t>
            </w:r>
            <w:r>
              <w:rPr>
                <w:rFonts w:hint="eastAsia" w:cs="宋体"/>
                <w:sz w:val="21"/>
                <w:szCs w:val="21"/>
                <w:lang w:val="en-US" w:eastAsia="zh-CN"/>
              </w:rPr>
              <w:t>)</w:t>
            </w:r>
            <w:r>
              <w:rPr>
                <w:rFonts w:hint="eastAsia" w:ascii="宋体" w:hAnsi="宋体" w:eastAsia="宋体" w:cs="宋体"/>
                <w:sz w:val="21"/>
                <w:szCs w:val="21"/>
                <w:lang w:val="en-US" w:eastAsia="zh-CN"/>
              </w:rPr>
              <w:t>金元烺</w:t>
            </w:r>
            <w:r>
              <w:rPr>
                <w:rFonts w:hint="eastAsia" w:cs="宋体"/>
                <w:sz w:val="21"/>
                <w:szCs w:val="21"/>
                <w:lang w:val="en-US" w:eastAsia="zh-CN"/>
              </w:rPr>
              <w:t>,</w:t>
            </w:r>
            <w:r>
              <w:rPr>
                <w:rFonts w:hint="eastAsia" w:ascii="宋体" w:hAnsi="宋体" w:eastAsia="宋体" w:cs="宋体"/>
                <w:sz w:val="21"/>
                <w:szCs w:val="21"/>
                <w:lang w:val="en-US" w:eastAsia="zh-CN"/>
              </w:rPr>
              <w:t>龚定瀛</w:t>
            </w:r>
            <w:r>
              <w:rPr>
                <w:rFonts w:hint="eastAsia" w:cs="宋体"/>
                <w:sz w:val="21"/>
                <w:szCs w:val="21"/>
                <w:lang w:val="en-US" w:eastAsia="zh-CN"/>
              </w:rPr>
              <w:t>.</w:t>
            </w:r>
            <w:r>
              <w:rPr>
                <w:rFonts w:hint="eastAsia" w:ascii="宋体" w:hAnsi="宋体" w:eastAsia="宋体" w:cs="宋体"/>
                <w:sz w:val="21"/>
                <w:szCs w:val="21"/>
                <w:lang w:val="en-US" w:eastAsia="zh-CN"/>
              </w:rPr>
              <w:t>光绪再续高邮州志</w:t>
            </w:r>
            <w:r>
              <w:rPr>
                <w:rFonts w:hint="eastAsia" w:cs="宋体"/>
                <w:sz w:val="21"/>
                <w:szCs w:val="21"/>
                <w:lang w:val="en-US" w:eastAsia="zh-CN"/>
              </w:rPr>
              <w:t>[</w:t>
            </w:r>
            <w:r>
              <w:rPr>
                <w:rFonts w:hint="eastAsia" w:ascii="宋体" w:hAnsi="宋体" w:eastAsia="宋体" w:cs="宋体"/>
                <w:sz w:val="21"/>
                <w:szCs w:val="21"/>
                <w:lang w:val="en-US" w:eastAsia="zh-CN"/>
              </w:rPr>
              <w:t>Ｍ</w:t>
            </w:r>
            <w:r>
              <w:rPr>
                <w:rFonts w:hint="eastAsia" w:cs="宋体"/>
                <w:sz w:val="21"/>
                <w:szCs w:val="21"/>
                <w:lang w:val="en-US" w:eastAsia="zh-CN"/>
              </w:rPr>
              <w:t>].</w:t>
            </w:r>
            <w:r>
              <w:rPr>
                <w:rFonts w:hint="eastAsia" w:ascii="宋体" w:hAnsi="宋体" w:eastAsia="宋体" w:cs="宋体"/>
                <w:sz w:val="21"/>
                <w:szCs w:val="21"/>
                <w:lang w:val="en-US" w:eastAsia="zh-CN"/>
              </w:rPr>
              <w:t>南京</w:t>
            </w:r>
            <w:r>
              <w:rPr>
                <w:rFonts w:hint="eastAsia" w:cs="宋体"/>
                <w:sz w:val="21"/>
                <w:szCs w:val="21"/>
                <w:lang w:val="en-US" w:eastAsia="zh-CN"/>
              </w:rPr>
              <w:t>:</w:t>
            </w:r>
            <w:r>
              <w:rPr>
                <w:rFonts w:hint="eastAsia" w:ascii="宋体" w:hAnsi="宋体" w:eastAsia="宋体" w:cs="宋体"/>
                <w:sz w:val="21"/>
                <w:szCs w:val="21"/>
                <w:lang w:val="en-US" w:eastAsia="zh-CN"/>
              </w:rPr>
              <w:t>江苏古籍出版社</w:t>
            </w:r>
            <w:r>
              <w:rPr>
                <w:rFonts w:hint="eastAsia" w:cs="宋体"/>
                <w:sz w:val="21"/>
                <w:szCs w:val="21"/>
                <w:lang w:val="en-US" w:eastAsia="zh-CN"/>
              </w:rPr>
              <w:t>,</w:t>
            </w:r>
            <w:r>
              <w:rPr>
                <w:rFonts w:hint="eastAsia" w:ascii="宋体" w:hAnsi="宋体" w:eastAsia="宋体" w:cs="宋体"/>
                <w:sz w:val="21"/>
                <w:szCs w:val="21"/>
                <w:lang w:val="en-US" w:eastAsia="zh-CN"/>
              </w:rPr>
              <w:t>1991</w:t>
            </w:r>
            <w:r>
              <w:rPr>
                <w:rFonts w:hint="eastAsia" w:cs="宋体"/>
                <w:sz w:val="21"/>
                <w:szCs w:val="21"/>
                <w:lang w:val="en-US" w:eastAsia="zh-CN"/>
              </w:rPr>
              <w:t>.</w:t>
            </w:r>
          </w:p>
          <w:p w14:paraId="0029B29B">
            <w:pPr>
              <w:numPr>
                <w:ilvl w:val="0"/>
                <w:numId w:val="0"/>
              </w:numPr>
              <w:spacing w:line="360" w:lineRule="auto"/>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46</w:t>
            </w:r>
            <w:r>
              <w:rPr>
                <w:rFonts w:hint="eastAsia" w:ascii="宋体" w:hAnsi="宋体" w:eastAsia="宋体" w:cs="宋体"/>
                <w:sz w:val="21"/>
                <w:szCs w:val="21"/>
                <w:lang w:val="en-US" w:eastAsia="zh-CN"/>
              </w:rPr>
              <w:t>]</w:t>
            </w:r>
            <w:r>
              <w:rPr>
                <w:rFonts w:hint="eastAsia" w:cs="宋体"/>
                <w:sz w:val="21"/>
                <w:szCs w:val="21"/>
                <w:lang w:val="en-US" w:eastAsia="zh-CN"/>
              </w:rPr>
              <w:t>(</w:t>
            </w:r>
            <w:r>
              <w:rPr>
                <w:rFonts w:hint="eastAsia" w:ascii="宋体" w:hAnsi="宋体" w:eastAsia="宋体" w:cs="宋体"/>
                <w:sz w:val="21"/>
                <w:szCs w:val="21"/>
                <w:lang w:val="en-US" w:eastAsia="zh-CN"/>
              </w:rPr>
              <w:t>清</w:t>
            </w:r>
            <w:r>
              <w:rPr>
                <w:rFonts w:hint="eastAsia" w:cs="宋体"/>
                <w:sz w:val="21"/>
                <w:szCs w:val="21"/>
                <w:lang w:val="en-US" w:eastAsia="zh-CN"/>
              </w:rPr>
              <w:t>)</w:t>
            </w:r>
            <w:r>
              <w:rPr>
                <w:rFonts w:hint="eastAsia" w:ascii="宋体" w:hAnsi="宋体" w:eastAsia="宋体" w:cs="宋体"/>
                <w:sz w:val="21"/>
                <w:szCs w:val="21"/>
                <w:lang w:val="en-US" w:eastAsia="zh-CN"/>
              </w:rPr>
              <w:t>阿克当阿</w:t>
            </w:r>
            <w:r>
              <w:rPr>
                <w:rFonts w:hint="eastAsia" w:cs="宋体"/>
                <w:sz w:val="21"/>
                <w:szCs w:val="21"/>
                <w:lang w:val="en-US" w:eastAsia="zh-CN"/>
              </w:rPr>
              <w:t>.</w:t>
            </w:r>
            <w:r>
              <w:rPr>
                <w:rFonts w:hint="eastAsia" w:ascii="宋体" w:hAnsi="宋体" w:eastAsia="宋体" w:cs="宋体"/>
                <w:sz w:val="21"/>
                <w:szCs w:val="21"/>
                <w:lang w:val="en-US" w:eastAsia="zh-CN"/>
              </w:rPr>
              <w:t>嘉庆重修扬州府志</w:t>
            </w:r>
            <w:r>
              <w:rPr>
                <w:rFonts w:hint="eastAsia" w:cs="宋体"/>
                <w:sz w:val="21"/>
                <w:szCs w:val="21"/>
                <w:lang w:val="en-US" w:eastAsia="zh-CN"/>
              </w:rPr>
              <w:t>[</w:t>
            </w:r>
            <w:r>
              <w:rPr>
                <w:rFonts w:hint="eastAsia" w:ascii="宋体" w:hAnsi="宋体" w:eastAsia="宋体" w:cs="宋体"/>
                <w:sz w:val="21"/>
                <w:szCs w:val="21"/>
                <w:lang w:val="en-US" w:eastAsia="zh-CN"/>
              </w:rPr>
              <w:t>Ｍ</w:t>
            </w:r>
            <w:r>
              <w:rPr>
                <w:rFonts w:hint="eastAsia" w:cs="宋体"/>
                <w:sz w:val="21"/>
                <w:szCs w:val="21"/>
                <w:lang w:val="en-US" w:eastAsia="zh-CN"/>
              </w:rPr>
              <w:t>].</w:t>
            </w:r>
            <w:r>
              <w:rPr>
                <w:rFonts w:hint="eastAsia" w:ascii="宋体" w:hAnsi="宋体" w:eastAsia="宋体" w:cs="宋体"/>
                <w:sz w:val="21"/>
                <w:szCs w:val="21"/>
                <w:lang w:val="en-US" w:eastAsia="zh-CN"/>
              </w:rPr>
              <w:t>南京</w:t>
            </w:r>
            <w:r>
              <w:rPr>
                <w:rFonts w:hint="eastAsia" w:cs="宋体"/>
                <w:sz w:val="21"/>
                <w:szCs w:val="21"/>
                <w:lang w:val="en-US" w:eastAsia="zh-CN"/>
              </w:rPr>
              <w:t>:</w:t>
            </w:r>
            <w:r>
              <w:rPr>
                <w:rFonts w:hint="eastAsia" w:ascii="宋体" w:hAnsi="宋体" w:eastAsia="宋体" w:cs="宋体"/>
                <w:sz w:val="21"/>
                <w:szCs w:val="21"/>
                <w:lang w:val="en-US" w:eastAsia="zh-CN"/>
              </w:rPr>
              <w:t>江苏古籍出版社</w:t>
            </w:r>
            <w:r>
              <w:rPr>
                <w:rFonts w:hint="eastAsia" w:cs="宋体"/>
                <w:sz w:val="21"/>
                <w:szCs w:val="21"/>
                <w:lang w:val="en-US" w:eastAsia="zh-CN"/>
              </w:rPr>
              <w:t>,</w:t>
            </w:r>
            <w:r>
              <w:rPr>
                <w:rFonts w:hint="eastAsia" w:ascii="宋体" w:hAnsi="宋体" w:eastAsia="宋体" w:cs="宋体"/>
                <w:sz w:val="21"/>
                <w:szCs w:val="21"/>
                <w:lang w:val="en-US" w:eastAsia="zh-CN"/>
              </w:rPr>
              <w:t>1991</w:t>
            </w:r>
            <w:r>
              <w:rPr>
                <w:rFonts w:hint="eastAsia" w:cs="宋体"/>
                <w:sz w:val="21"/>
                <w:szCs w:val="21"/>
                <w:lang w:val="en-US" w:eastAsia="zh-CN"/>
              </w:rPr>
              <w:t>.</w:t>
            </w:r>
          </w:p>
          <w:p w14:paraId="2D441CCB">
            <w:pPr>
              <w:numPr>
                <w:ilvl w:val="0"/>
                <w:numId w:val="0"/>
              </w:numPr>
              <w:spacing w:line="360" w:lineRule="auto"/>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47</w:t>
            </w:r>
            <w:r>
              <w:rPr>
                <w:rFonts w:hint="eastAsia" w:ascii="宋体" w:hAnsi="宋体" w:eastAsia="宋体" w:cs="宋体"/>
                <w:sz w:val="21"/>
                <w:szCs w:val="21"/>
                <w:lang w:val="en-US" w:eastAsia="zh-CN"/>
              </w:rPr>
              <w:t>]</w:t>
            </w:r>
            <w:r>
              <w:rPr>
                <w:rFonts w:hint="eastAsia" w:cs="宋体"/>
                <w:sz w:val="21"/>
                <w:szCs w:val="21"/>
                <w:lang w:val="en-US" w:eastAsia="zh-CN"/>
              </w:rPr>
              <w:t>(</w:t>
            </w:r>
            <w:r>
              <w:rPr>
                <w:rFonts w:hint="eastAsia" w:ascii="宋体" w:hAnsi="宋体" w:eastAsia="宋体" w:cs="宋体"/>
                <w:sz w:val="21"/>
                <w:szCs w:val="21"/>
                <w:lang w:val="en-US" w:eastAsia="zh-CN"/>
              </w:rPr>
              <w:t>清</w:t>
            </w:r>
            <w:r>
              <w:rPr>
                <w:rFonts w:hint="eastAsia" w:cs="宋体"/>
                <w:sz w:val="21"/>
                <w:szCs w:val="21"/>
                <w:lang w:val="en-US" w:eastAsia="zh-CN"/>
              </w:rPr>
              <w:t>)</w:t>
            </w:r>
            <w:r>
              <w:rPr>
                <w:rFonts w:hint="eastAsia" w:ascii="宋体" w:hAnsi="宋体" w:eastAsia="宋体" w:cs="宋体"/>
                <w:sz w:val="21"/>
                <w:szCs w:val="21"/>
                <w:lang w:val="en-US" w:eastAsia="zh-CN"/>
              </w:rPr>
              <w:t>梁园棣</w:t>
            </w:r>
            <w:r>
              <w:rPr>
                <w:rFonts w:hint="eastAsia" w:cs="宋体"/>
                <w:sz w:val="21"/>
                <w:szCs w:val="21"/>
                <w:lang w:val="en-US" w:eastAsia="zh-CN"/>
              </w:rPr>
              <w:t>.</w:t>
            </w:r>
            <w:r>
              <w:rPr>
                <w:rFonts w:hint="eastAsia" w:ascii="宋体" w:hAnsi="宋体" w:eastAsia="宋体" w:cs="宋体"/>
                <w:sz w:val="21"/>
                <w:szCs w:val="21"/>
                <w:lang w:val="en-US" w:eastAsia="zh-CN"/>
              </w:rPr>
              <w:t>咸丰重修兴化县志</w:t>
            </w:r>
            <w:r>
              <w:rPr>
                <w:rFonts w:hint="eastAsia" w:cs="宋体"/>
                <w:sz w:val="21"/>
                <w:szCs w:val="21"/>
                <w:lang w:val="en-US" w:eastAsia="zh-CN"/>
              </w:rPr>
              <w:t>[</w:t>
            </w:r>
            <w:r>
              <w:rPr>
                <w:rFonts w:hint="eastAsia" w:ascii="宋体" w:hAnsi="宋体" w:eastAsia="宋体" w:cs="宋体"/>
                <w:sz w:val="21"/>
                <w:szCs w:val="21"/>
                <w:lang w:val="en-US" w:eastAsia="zh-CN"/>
              </w:rPr>
              <w:t>Ｍ</w:t>
            </w:r>
            <w:r>
              <w:rPr>
                <w:rFonts w:hint="eastAsia" w:cs="宋体"/>
                <w:sz w:val="21"/>
                <w:szCs w:val="21"/>
                <w:lang w:val="en-US" w:eastAsia="zh-CN"/>
              </w:rPr>
              <w:t>].</w:t>
            </w:r>
            <w:r>
              <w:rPr>
                <w:rFonts w:hint="eastAsia" w:ascii="宋体" w:hAnsi="宋体" w:eastAsia="宋体" w:cs="宋体"/>
                <w:sz w:val="21"/>
                <w:szCs w:val="21"/>
                <w:lang w:val="en-US" w:eastAsia="zh-CN"/>
              </w:rPr>
              <w:t>南京</w:t>
            </w:r>
            <w:r>
              <w:rPr>
                <w:rFonts w:hint="eastAsia" w:cs="宋体"/>
                <w:sz w:val="21"/>
                <w:szCs w:val="21"/>
                <w:lang w:val="en-US" w:eastAsia="zh-CN"/>
              </w:rPr>
              <w:t>:</w:t>
            </w:r>
            <w:r>
              <w:rPr>
                <w:rFonts w:hint="eastAsia" w:ascii="宋体" w:hAnsi="宋体" w:eastAsia="宋体" w:cs="宋体"/>
                <w:sz w:val="21"/>
                <w:szCs w:val="21"/>
                <w:lang w:val="en-US" w:eastAsia="zh-CN"/>
              </w:rPr>
              <w:t>江苏古籍出版社</w:t>
            </w:r>
            <w:r>
              <w:rPr>
                <w:rFonts w:hint="eastAsia" w:cs="宋体"/>
                <w:sz w:val="21"/>
                <w:szCs w:val="21"/>
                <w:lang w:val="en-US" w:eastAsia="zh-CN"/>
              </w:rPr>
              <w:t>,</w:t>
            </w:r>
            <w:r>
              <w:rPr>
                <w:rFonts w:hint="eastAsia" w:ascii="宋体" w:hAnsi="宋体" w:eastAsia="宋体" w:cs="宋体"/>
                <w:sz w:val="21"/>
                <w:szCs w:val="21"/>
                <w:lang w:val="en-US" w:eastAsia="zh-CN"/>
              </w:rPr>
              <w:t>1991</w:t>
            </w:r>
            <w:r>
              <w:rPr>
                <w:rFonts w:hint="eastAsia" w:cs="宋体"/>
                <w:sz w:val="21"/>
                <w:szCs w:val="21"/>
                <w:lang w:val="en-US" w:eastAsia="zh-CN"/>
              </w:rPr>
              <w:t>.</w:t>
            </w:r>
          </w:p>
          <w:p w14:paraId="138591BA">
            <w:pPr>
              <w:numPr>
                <w:ilvl w:val="0"/>
                <w:numId w:val="0"/>
              </w:numPr>
              <w:spacing w:line="360" w:lineRule="auto"/>
              <w:ind w:leftChars="0"/>
              <w:rPr>
                <w:rFonts w:hint="eastAsia"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48</w:t>
            </w:r>
            <w:r>
              <w:rPr>
                <w:rFonts w:hint="eastAsia" w:ascii="宋体" w:hAnsi="宋体" w:eastAsia="宋体" w:cs="宋体"/>
                <w:sz w:val="21"/>
                <w:szCs w:val="21"/>
                <w:lang w:val="en-US" w:eastAsia="zh-CN"/>
              </w:rPr>
              <w:t>]</w:t>
            </w:r>
            <w:r>
              <w:rPr>
                <w:rFonts w:hint="eastAsia" w:cs="宋体"/>
                <w:sz w:val="21"/>
                <w:szCs w:val="21"/>
                <w:lang w:val="en-US" w:eastAsia="zh-CN"/>
              </w:rPr>
              <w:t>(</w:t>
            </w:r>
            <w:r>
              <w:rPr>
                <w:rFonts w:hint="eastAsia" w:ascii="宋体" w:hAnsi="宋体" w:eastAsia="宋体" w:cs="宋体"/>
                <w:sz w:val="21"/>
                <w:szCs w:val="21"/>
                <w:lang w:val="en-US" w:eastAsia="zh-CN"/>
              </w:rPr>
              <w:t>清</w:t>
            </w:r>
            <w:r>
              <w:rPr>
                <w:rFonts w:hint="eastAsia" w:cs="宋体"/>
                <w:sz w:val="21"/>
                <w:szCs w:val="21"/>
                <w:lang w:val="en-US" w:eastAsia="zh-CN"/>
              </w:rPr>
              <w:t>)</w:t>
            </w:r>
            <w:r>
              <w:rPr>
                <w:rFonts w:hint="eastAsia" w:ascii="宋体" w:hAnsi="宋体" w:eastAsia="宋体" w:cs="宋体"/>
                <w:sz w:val="21"/>
                <w:szCs w:val="21"/>
                <w:lang w:val="en-US" w:eastAsia="zh-CN"/>
              </w:rPr>
              <w:t>张可立</w:t>
            </w:r>
            <w:r>
              <w:rPr>
                <w:rFonts w:hint="eastAsia" w:cs="宋体"/>
                <w:sz w:val="21"/>
                <w:szCs w:val="21"/>
                <w:lang w:val="en-US" w:eastAsia="zh-CN"/>
              </w:rPr>
              <w:t>.(</w:t>
            </w:r>
            <w:r>
              <w:rPr>
                <w:rFonts w:hint="eastAsia" w:ascii="宋体" w:hAnsi="宋体" w:eastAsia="宋体" w:cs="宋体"/>
                <w:sz w:val="21"/>
                <w:szCs w:val="21"/>
                <w:lang w:val="en-US" w:eastAsia="zh-CN"/>
              </w:rPr>
              <w:t>康熙</w:t>
            </w:r>
            <w:r>
              <w:rPr>
                <w:rFonts w:hint="eastAsia" w:cs="宋体"/>
                <w:sz w:val="21"/>
                <w:szCs w:val="21"/>
                <w:lang w:val="en-US" w:eastAsia="zh-CN"/>
              </w:rPr>
              <w:t>)</w:t>
            </w:r>
            <w:r>
              <w:rPr>
                <w:rFonts w:hint="eastAsia" w:ascii="宋体" w:hAnsi="宋体" w:eastAsia="宋体" w:cs="宋体"/>
                <w:sz w:val="21"/>
                <w:szCs w:val="21"/>
                <w:lang w:val="en-US" w:eastAsia="zh-CN"/>
              </w:rPr>
              <w:t>兴化县志</w:t>
            </w:r>
            <w:r>
              <w:rPr>
                <w:rFonts w:hint="eastAsia" w:cs="宋体"/>
                <w:sz w:val="21"/>
                <w:szCs w:val="21"/>
                <w:lang w:val="en-US" w:eastAsia="zh-CN"/>
              </w:rPr>
              <w:t>[</w:t>
            </w:r>
            <w:r>
              <w:rPr>
                <w:rFonts w:hint="eastAsia" w:ascii="宋体" w:hAnsi="宋体" w:eastAsia="宋体" w:cs="宋体"/>
                <w:sz w:val="21"/>
                <w:szCs w:val="21"/>
                <w:lang w:val="en-US" w:eastAsia="zh-CN"/>
              </w:rPr>
              <w:t>Ｍ</w:t>
            </w:r>
            <w:r>
              <w:rPr>
                <w:rFonts w:hint="eastAsia" w:cs="宋体"/>
                <w:sz w:val="21"/>
                <w:szCs w:val="21"/>
                <w:lang w:val="en-US" w:eastAsia="zh-CN"/>
              </w:rPr>
              <w:t>].</w:t>
            </w:r>
            <w:r>
              <w:rPr>
                <w:rFonts w:hint="eastAsia" w:ascii="宋体" w:hAnsi="宋体" w:eastAsia="宋体" w:cs="宋体"/>
                <w:sz w:val="21"/>
                <w:szCs w:val="21"/>
                <w:lang w:val="en-US" w:eastAsia="zh-CN"/>
              </w:rPr>
              <w:t>南京</w:t>
            </w:r>
            <w:r>
              <w:rPr>
                <w:rFonts w:hint="eastAsia" w:cs="宋体"/>
                <w:sz w:val="21"/>
                <w:szCs w:val="21"/>
                <w:lang w:val="en-US" w:eastAsia="zh-CN"/>
              </w:rPr>
              <w:t>:</w:t>
            </w:r>
            <w:r>
              <w:rPr>
                <w:rFonts w:hint="eastAsia" w:ascii="宋体" w:hAnsi="宋体" w:eastAsia="宋体" w:cs="宋体"/>
                <w:sz w:val="21"/>
                <w:szCs w:val="21"/>
                <w:lang w:val="en-US" w:eastAsia="zh-CN"/>
              </w:rPr>
              <w:t>凤凰出版社社</w:t>
            </w:r>
            <w:r>
              <w:rPr>
                <w:rFonts w:hint="eastAsia" w:cs="宋体"/>
                <w:sz w:val="21"/>
                <w:szCs w:val="21"/>
                <w:lang w:val="en-US" w:eastAsia="zh-CN"/>
              </w:rPr>
              <w:t>,</w:t>
            </w:r>
            <w:r>
              <w:rPr>
                <w:rFonts w:hint="eastAsia" w:ascii="宋体" w:hAnsi="宋体" w:eastAsia="宋体" w:cs="宋体"/>
                <w:sz w:val="21"/>
                <w:szCs w:val="21"/>
                <w:lang w:val="en-US" w:eastAsia="zh-CN"/>
              </w:rPr>
              <w:t>2014</w:t>
            </w:r>
            <w:r>
              <w:rPr>
                <w:rFonts w:hint="eastAsia" w:cs="宋体"/>
                <w:sz w:val="21"/>
                <w:szCs w:val="21"/>
                <w:lang w:val="en-US" w:eastAsia="zh-CN"/>
              </w:rPr>
              <w:t>.</w:t>
            </w:r>
          </w:p>
          <w:p w14:paraId="463FE90B">
            <w:pPr>
              <w:numPr>
                <w:ilvl w:val="0"/>
                <w:numId w:val="0"/>
              </w:numPr>
              <w:spacing w:line="360" w:lineRule="auto"/>
              <w:ind w:leftChars="0"/>
              <w:rPr>
                <w:rFonts w:hint="default" w:ascii="Times New Roman" w:hAnsi="Times New Roman" w:cs="Times New Roman"/>
                <w:sz w:val="21"/>
                <w:szCs w:val="21"/>
                <w:lang w:val="en-US" w:eastAsia="zh-CN"/>
              </w:rPr>
            </w:pPr>
            <w:r>
              <w:rPr>
                <w:rFonts w:hint="default" w:ascii="宋体" w:hAnsi="宋体" w:eastAsia="宋体" w:cs="宋体"/>
                <w:sz w:val="21"/>
                <w:szCs w:val="21"/>
                <w:lang w:val="en-US" w:eastAsia="zh-CN"/>
              </w:rPr>
              <w:t>[49]</w:t>
            </w:r>
            <w:r>
              <w:rPr>
                <w:rFonts w:hint="default" w:ascii="Times New Roman" w:hAnsi="Times New Roman" w:eastAsia="宋体" w:cs="Times New Roman"/>
                <w:sz w:val="21"/>
                <w:szCs w:val="21"/>
                <w:lang w:val="en-US" w:eastAsia="zh-CN"/>
              </w:rPr>
              <w:t>Harsh Vardhan</w:t>
            </w:r>
            <w:r>
              <w:rPr>
                <w:rFonts w:hint="default" w:ascii="Times New Roman" w:hAnsi="Times New Roman" w:cs="Times New Roman"/>
                <w:sz w:val="21"/>
                <w:szCs w:val="21"/>
                <w:lang w:val="en-US" w:eastAsia="zh-CN"/>
              </w:rPr>
              <w:t xml:space="preserve"> </w:t>
            </w:r>
            <w:r>
              <w:rPr>
                <w:rFonts w:hint="default" w:ascii="Times New Roman" w:hAnsi="Times New Roman" w:eastAsia="宋体" w:cs="Times New Roman"/>
                <w:sz w:val="21"/>
                <w:szCs w:val="21"/>
                <w:lang w:val="en-US" w:eastAsia="zh-CN"/>
              </w:rPr>
              <w:t>Bhati,Yaffa</w:t>
            </w:r>
            <w:r>
              <w:rPr>
                <w:rFonts w:hint="default" w:ascii="Times New Roman" w:hAnsi="Times New Roman" w:cs="Times New Roman"/>
                <w:sz w:val="21"/>
                <w:szCs w:val="21"/>
                <w:lang w:val="en-US" w:eastAsia="zh-CN"/>
              </w:rPr>
              <w:t xml:space="preserve"> </w:t>
            </w:r>
            <w:r>
              <w:rPr>
                <w:rFonts w:hint="default" w:ascii="Times New Roman" w:hAnsi="Times New Roman" w:eastAsia="宋体" w:cs="Times New Roman"/>
                <w:sz w:val="21"/>
                <w:szCs w:val="21"/>
                <w:lang w:val="en-US" w:eastAsia="zh-CN"/>
              </w:rPr>
              <w:t>Epstein</w:t>
            </w:r>
            <w:r>
              <w:rPr>
                <w:rFonts w:hint="default" w:ascii="Times New Roman" w:hAnsi="Times New Roman" w:cs="Times New Roman"/>
                <w:sz w:val="21"/>
                <w:szCs w:val="21"/>
                <w:lang w:val="en-US" w:eastAsia="zh-CN"/>
              </w:rPr>
              <w:t>.</w:t>
            </w:r>
            <w:r>
              <w:rPr>
                <w:rFonts w:hint="default" w:ascii="Times New Roman" w:hAnsi="Times New Roman" w:eastAsia="宋体" w:cs="Times New Roman"/>
                <w:sz w:val="21"/>
                <w:szCs w:val="21"/>
                <w:lang w:val="en-US" w:eastAsia="zh-CN"/>
              </w:rPr>
              <w:t xml:space="preserve">Protection of </w:t>
            </w:r>
            <w:r>
              <w:rPr>
                <w:rFonts w:hint="default" w:ascii="Times New Roman" w:hAnsi="Times New Roman" w:cs="Times New Roman"/>
                <w:sz w:val="21"/>
                <w:szCs w:val="21"/>
                <w:lang w:val="en-US" w:eastAsia="zh-CN"/>
              </w:rPr>
              <w:t>b</w:t>
            </w:r>
            <w:r>
              <w:rPr>
                <w:rFonts w:hint="default" w:ascii="Times New Roman" w:hAnsi="Times New Roman" w:eastAsia="宋体" w:cs="Times New Roman"/>
                <w:sz w:val="21"/>
                <w:szCs w:val="21"/>
                <w:lang w:val="en-US" w:eastAsia="zh-CN"/>
              </w:rPr>
              <w:t xml:space="preserve">iocultural </w:t>
            </w:r>
            <w:r>
              <w:rPr>
                <w:rFonts w:hint="default" w:ascii="Times New Roman" w:hAnsi="Times New Roman" w:cs="Times New Roman"/>
                <w:sz w:val="21"/>
                <w:szCs w:val="21"/>
                <w:lang w:val="en-US" w:eastAsia="zh-CN"/>
              </w:rPr>
              <w:t>h</w:t>
            </w:r>
            <w:r>
              <w:rPr>
                <w:rFonts w:hint="default" w:ascii="Times New Roman" w:hAnsi="Times New Roman" w:eastAsia="宋体" w:cs="Times New Roman"/>
                <w:sz w:val="21"/>
                <w:szCs w:val="21"/>
                <w:lang w:val="en-US" w:eastAsia="zh-CN"/>
              </w:rPr>
              <w:t xml:space="preserve">eritage in the </w:t>
            </w:r>
            <w:r>
              <w:rPr>
                <w:rFonts w:hint="default" w:ascii="Times New Roman" w:hAnsi="Times New Roman" w:cs="Times New Roman"/>
                <w:sz w:val="21"/>
                <w:szCs w:val="21"/>
                <w:lang w:val="en-US" w:eastAsia="zh-CN"/>
              </w:rPr>
              <w:t>a</w:t>
            </w:r>
            <w:r>
              <w:rPr>
                <w:rFonts w:hint="default" w:ascii="Times New Roman" w:hAnsi="Times New Roman" w:eastAsia="宋体" w:cs="Times New Roman"/>
                <w:sz w:val="21"/>
                <w:szCs w:val="21"/>
                <w:lang w:val="en-US" w:eastAsia="zh-CN"/>
              </w:rPr>
              <w:t xml:space="preserve">nthropocene: </w:t>
            </w:r>
            <w:r>
              <w:rPr>
                <w:rFonts w:hint="default" w:ascii="Times New Roman" w:hAnsi="Times New Roman" w:cs="Times New Roman"/>
                <w:sz w:val="21"/>
                <w:szCs w:val="21"/>
                <w:lang w:val="en-US" w:eastAsia="zh-CN"/>
              </w:rPr>
              <w:t>t</w:t>
            </w:r>
            <w:r>
              <w:rPr>
                <w:rFonts w:hint="default" w:ascii="Times New Roman" w:hAnsi="Times New Roman" w:eastAsia="宋体" w:cs="Times New Roman"/>
                <w:sz w:val="21"/>
                <w:szCs w:val="21"/>
                <w:lang w:val="en-US" w:eastAsia="zh-CN"/>
              </w:rPr>
              <w:t xml:space="preserve">owards </w:t>
            </w:r>
            <w:r>
              <w:rPr>
                <w:rFonts w:hint="default" w:ascii="Times New Roman" w:hAnsi="Times New Roman" w:cs="Times New Roman"/>
                <w:sz w:val="21"/>
                <w:szCs w:val="21"/>
                <w:lang w:val="en-US" w:eastAsia="zh-CN"/>
              </w:rPr>
              <w:t>r</w:t>
            </w:r>
            <w:r>
              <w:rPr>
                <w:rFonts w:hint="default" w:ascii="Times New Roman" w:hAnsi="Times New Roman" w:eastAsia="宋体" w:cs="Times New Roman"/>
                <w:sz w:val="21"/>
                <w:szCs w:val="21"/>
                <w:lang w:val="en-US" w:eastAsia="zh-CN"/>
              </w:rPr>
              <w:t>econciling</w:t>
            </w:r>
            <w:r>
              <w:rPr>
                <w:rFonts w:hint="default" w:ascii="Times New Roman" w:hAnsi="Times New Roman" w:cs="Times New Roman"/>
                <w:sz w:val="21"/>
                <w:szCs w:val="21"/>
                <w:lang w:val="en-US" w:eastAsia="zh-CN"/>
              </w:rPr>
              <w:t xml:space="preserve"> natural,cultural,tangible and intangible </w:t>
            </w:r>
          </w:p>
          <w:p w14:paraId="6C48D8B0">
            <w:pPr>
              <w:numPr>
                <w:ilvl w:val="0"/>
                <w:numId w:val="0"/>
              </w:numPr>
              <w:spacing w:line="360" w:lineRule="auto"/>
              <w:ind w:leftChars="0"/>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heritage[J].Journal of Environmental Law,2023,35,353–375.</w:t>
            </w:r>
          </w:p>
          <w:p w14:paraId="7296B706">
            <w:pPr>
              <w:numPr>
                <w:ilvl w:val="0"/>
                <w:numId w:val="0"/>
              </w:numPr>
              <w:spacing w:line="360" w:lineRule="auto"/>
              <w:ind w:leftChars="0"/>
              <w:rPr>
                <w:rFonts w:hint="default" w:ascii="Times New Roman" w:hAnsi="Times New Roman" w:eastAsia="宋体" w:cs="Times New Roman"/>
                <w:sz w:val="21"/>
                <w:szCs w:val="21"/>
                <w:lang w:val="en-US" w:eastAsia="zh-CN"/>
              </w:rPr>
            </w:pPr>
            <w:r>
              <w:rPr>
                <w:rFonts w:hint="default" w:ascii="宋体" w:hAnsi="宋体" w:eastAsia="宋体" w:cs="宋体"/>
                <w:sz w:val="21"/>
                <w:szCs w:val="21"/>
                <w:lang w:val="en-US" w:eastAsia="zh-CN"/>
              </w:rPr>
              <w:t>[50]</w:t>
            </w:r>
            <w:r>
              <w:rPr>
                <w:rFonts w:hint="default" w:ascii="Times New Roman" w:hAnsi="Times New Roman" w:eastAsia="宋体" w:cs="Times New Roman"/>
                <w:sz w:val="21"/>
                <w:szCs w:val="21"/>
                <w:lang w:val="en-US" w:eastAsia="zh-CN"/>
              </w:rPr>
              <w:t>Francesco Francioni</w:t>
            </w:r>
            <w:r>
              <w:rPr>
                <w:rFonts w:hint="default" w:ascii="Times New Roman" w:hAnsi="Times New Roman" w:cs="Times New Roman"/>
                <w:sz w:val="21"/>
                <w:szCs w:val="21"/>
                <w:lang w:val="en-US" w:eastAsia="zh-CN"/>
              </w:rPr>
              <w:t>,</w:t>
            </w:r>
            <w:r>
              <w:rPr>
                <w:rFonts w:hint="default" w:ascii="Times New Roman" w:hAnsi="Times New Roman" w:eastAsia="宋体" w:cs="Times New Roman"/>
                <w:sz w:val="21"/>
                <w:szCs w:val="21"/>
                <w:lang w:val="en-US" w:eastAsia="zh-CN"/>
              </w:rPr>
              <w:t xml:space="preserve">Public and </w:t>
            </w:r>
            <w:r>
              <w:rPr>
                <w:rFonts w:hint="default" w:ascii="Times New Roman" w:hAnsi="Times New Roman" w:cs="Times New Roman"/>
                <w:sz w:val="21"/>
                <w:szCs w:val="21"/>
                <w:lang w:val="en-US" w:eastAsia="zh-CN"/>
              </w:rPr>
              <w:t>p</w:t>
            </w:r>
            <w:r>
              <w:rPr>
                <w:rFonts w:hint="default" w:ascii="Times New Roman" w:hAnsi="Times New Roman" w:eastAsia="宋体" w:cs="Times New Roman"/>
                <w:sz w:val="21"/>
                <w:szCs w:val="21"/>
                <w:lang w:val="en-US" w:eastAsia="zh-CN"/>
              </w:rPr>
              <w:t xml:space="preserve">rivate in the </w:t>
            </w:r>
            <w:r>
              <w:rPr>
                <w:rFonts w:hint="default" w:ascii="Times New Roman" w:hAnsi="Times New Roman" w:cs="Times New Roman"/>
                <w:sz w:val="21"/>
                <w:szCs w:val="21"/>
                <w:lang w:val="en-US" w:eastAsia="zh-CN"/>
              </w:rPr>
              <w:t>i</w:t>
            </w:r>
            <w:r>
              <w:rPr>
                <w:rFonts w:hint="default" w:ascii="Times New Roman" w:hAnsi="Times New Roman" w:eastAsia="宋体" w:cs="Times New Roman"/>
                <w:sz w:val="21"/>
                <w:szCs w:val="21"/>
                <w:lang w:val="en-US" w:eastAsia="zh-CN"/>
              </w:rPr>
              <w:t xml:space="preserve">nternational </w:t>
            </w:r>
            <w:r>
              <w:rPr>
                <w:rFonts w:hint="default" w:ascii="Times New Roman" w:hAnsi="Times New Roman" w:cs="Times New Roman"/>
                <w:sz w:val="21"/>
                <w:szCs w:val="21"/>
                <w:lang w:val="en-US" w:eastAsia="zh-CN"/>
              </w:rPr>
              <w:t>p</w:t>
            </w:r>
            <w:r>
              <w:rPr>
                <w:rFonts w:hint="default" w:ascii="Times New Roman" w:hAnsi="Times New Roman" w:eastAsia="宋体" w:cs="Times New Roman"/>
                <w:sz w:val="21"/>
                <w:szCs w:val="21"/>
                <w:lang w:val="en-US" w:eastAsia="zh-CN"/>
              </w:rPr>
              <w:t xml:space="preserve">rotection of </w:t>
            </w:r>
            <w:r>
              <w:rPr>
                <w:rFonts w:hint="default" w:ascii="Times New Roman" w:hAnsi="Times New Roman" w:cs="Times New Roman"/>
                <w:sz w:val="21"/>
                <w:szCs w:val="21"/>
                <w:lang w:val="en-US" w:eastAsia="zh-CN"/>
              </w:rPr>
              <w:t>g</w:t>
            </w:r>
            <w:r>
              <w:rPr>
                <w:rFonts w:hint="default" w:ascii="Times New Roman" w:hAnsi="Times New Roman" w:eastAsia="宋体" w:cs="Times New Roman"/>
                <w:sz w:val="21"/>
                <w:szCs w:val="21"/>
                <w:lang w:val="en-US" w:eastAsia="zh-CN"/>
              </w:rPr>
              <w:t xml:space="preserve">lobal </w:t>
            </w:r>
            <w:r>
              <w:rPr>
                <w:rFonts w:hint="default" w:ascii="Times New Roman" w:hAnsi="Times New Roman" w:cs="Times New Roman"/>
                <w:sz w:val="21"/>
                <w:szCs w:val="21"/>
                <w:lang w:val="en-US" w:eastAsia="zh-CN"/>
              </w:rPr>
              <w:t>c</w:t>
            </w:r>
            <w:r>
              <w:rPr>
                <w:rFonts w:hint="default" w:ascii="Times New Roman" w:hAnsi="Times New Roman" w:eastAsia="宋体" w:cs="Times New Roman"/>
                <w:sz w:val="21"/>
                <w:szCs w:val="21"/>
                <w:lang w:val="en-US" w:eastAsia="zh-CN"/>
              </w:rPr>
              <w:t xml:space="preserve">ultural </w:t>
            </w:r>
            <w:r>
              <w:rPr>
                <w:rFonts w:hint="default" w:ascii="Times New Roman" w:hAnsi="Times New Roman" w:cs="Times New Roman"/>
                <w:sz w:val="21"/>
                <w:szCs w:val="21"/>
                <w:lang w:val="en-US" w:eastAsia="zh-CN"/>
              </w:rPr>
              <w:t>g</w:t>
            </w:r>
            <w:r>
              <w:rPr>
                <w:rFonts w:hint="default" w:ascii="Times New Roman" w:hAnsi="Times New Roman" w:eastAsia="宋体" w:cs="Times New Roman"/>
                <w:sz w:val="21"/>
                <w:szCs w:val="21"/>
                <w:lang w:val="en-US" w:eastAsia="zh-CN"/>
              </w:rPr>
              <w:t>oods</w:t>
            </w:r>
            <w:r>
              <w:rPr>
                <w:rFonts w:hint="default" w:ascii="Times New Roman" w:hAnsi="Times New Roman" w:cs="Times New Roman"/>
                <w:sz w:val="21"/>
                <w:szCs w:val="21"/>
                <w:lang w:val="en-US" w:eastAsia="zh-CN"/>
              </w:rPr>
              <w:t>[J].The European Journal of International Law,Vol.23 no.3.</w:t>
            </w:r>
          </w:p>
          <w:p w14:paraId="3E46CB90">
            <w:pPr>
              <w:numPr>
                <w:ilvl w:val="0"/>
                <w:numId w:val="0"/>
              </w:numPr>
              <w:spacing w:line="360" w:lineRule="auto"/>
              <w:ind w:leftChars="0"/>
              <w:rPr>
                <w:rFonts w:hint="eastAsia"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[51]</w:t>
            </w:r>
            <w:r>
              <w:rPr>
                <w:rFonts w:hint="eastAsia" w:ascii="Times New Roman" w:hAnsi="Times New Roman" w:eastAsia="宋体" w:cs="Times New Roman"/>
                <w:sz w:val="21"/>
                <w:szCs w:val="21"/>
                <w:lang w:val="en-US" w:eastAsia="zh-CN"/>
              </w:rPr>
              <w:t>Julián Caviedes,André Braga Junqueira,Laura Calvet Mir,Camilo Oyarzo,Santiago Kaulen,Santiago Álvarez Fernández,Carla Marchant Santiago,José Tomás Ibarra.Livelihood resilience: The role of social‐ecological filters in a Globally Important Agricultural Heritage System of southern Chile[J].People and Nature,2025,7(8):1889-1904.</w:t>
            </w:r>
          </w:p>
          <w:p w14:paraId="56801B77">
            <w:pPr>
              <w:numPr>
                <w:ilvl w:val="0"/>
                <w:numId w:val="0"/>
              </w:numPr>
              <w:spacing w:line="360" w:lineRule="auto"/>
              <w:ind w:leftChars="0"/>
              <w:rPr>
                <w:rFonts w:hint="eastAsia"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[52]</w:t>
            </w:r>
            <w:r>
              <w:rPr>
                <w:rFonts w:hint="eastAsia" w:ascii="Times New Roman" w:hAnsi="Times New Roman" w:eastAsia="宋体" w:cs="Times New Roman"/>
                <w:sz w:val="21"/>
                <w:szCs w:val="21"/>
                <w:lang w:val="en-US" w:eastAsia="zh-CN"/>
              </w:rPr>
              <w:t>Clarisse Mendoza Gonzalvo,Keshav Lall Maharjan,Jude Cadingpal Baggo,John Mervin Lasafin Embate.Farmer Perceptions of GIAHS: Analyzing Farmer Involvement and GIAHS Benefits in the Ifugao Rice Terraces[J].Agriculture,2024,14(12):2305-2305.</w:t>
            </w:r>
          </w:p>
          <w:p w14:paraId="0FD9778D">
            <w:pPr>
              <w:numPr>
                <w:ilvl w:val="0"/>
                <w:numId w:val="0"/>
              </w:numPr>
              <w:spacing w:line="360" w:lineRule="auto"/>
              <w:ind w:leftChars="0"/>
              <w:rPr>
                <w:rFonts w:hint="eastAsia"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[53]</w:t>
            </w:r>
            <w:r>
              <w:rPr>
                <w:rFonts w:hint="eastAsia" w:ascii="Times New Roman" w:hAnsi="Times New Roman" w:eastAsia="宋体" w:cs="Times New Roman"/>
                <w:sz w:val="21"/>
                <w:szCs w:val="21"/>
                <w:lang w:val="en-US" w:eastAsia="zh-CN"/>
              </w:rPr>
              <w:t>Caviedes Julián,Ibarra José Tomás,Calvet Mir Laura,Junqueira André Braga.“Listen to us”: small-scale farmers’ understandings of social-ecological changes and their drivers in Important Agricultural Heritage Systems[J].Regional Environmental Change,2023,23(4):</w:t>
            </w:r>
          </w:p>
          <w:p w14:paraId="0BA49C2D">
            <w:pPr>
              <w:numPr>
                <w:ilvl w:val="0"/>
                <w:numId w:val="0"/>
              </w:numPr>
              <w:spacing w:line="360" w:lineRule="auto"/>
              <w:ind w:leftChars="0"/>
              <w:rPr>
                <w:rFonts w:hint="eastAsia"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[54]</w:t>
            </w:r>
            <w:r>
              <w:rPr>
                <w:rFonts w:hint="eastAsia" w:ascii="Times New Roman" w:hAnsi="Times New Roman" w:eastAsia="宋体" w:cs="Times New Roman"/>
                <w:sz w:val="21"/>
                <w:szCs w:val="21"/>
                <w:lang w:val="en-US" w:eastAsia="zh-CN"/>
              </w:rPr>
              <w:t>Francesco Piras ,Alessandra Bazzurro ,Beatrice Fiore ,Federica Romano ,Antonio Santoro.Assessment of ecotone changes over the last six decades in two cultural landscapes: The case of the Prosecco Hills of Conegliano and Valdobbiadene UNESCO site and of the Olive Groves of the Slopes between Assisi and Spoleto GIAHS site[J].Biodiversity and Conservation,2023,34(9):1-18.</w:t>
            </w:r>
          </w:p>
          <w:p w14:paraId="26E40AC3">
            <w:pPr>
              <w:numPr>
                <w:ilvl w:val="0"/>
                <w:numId w:val="0"/>
              </w:numPr>
              <w:spacing w:line="360" w:lineRule="auto"/>
              <w:ind w:leftChars="0"/>
              <w:rPr>
                <w:rFonts w:hint="eastAsia"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55</w:t>
            </w:r>
            <w:r>
              <w:rPr>
                <w:rFonts w:hint="eastAsia" w:ascii="宋体" w:hAnsi="宋体" w:eastAsia="宋体" w:cs="宋体"/>
                <w:sz w:val="21"/>
                <w:szCs w:val="21"/>
                <w:lang w:val="en-US" w:eastAsia="zh-CN"/>
              </w:rPr>
              <w:t>]</w:t>
            </w:r>
            <w:r>
              <w:rPr>
                <w:rFonts w:hint="eastAsia" w:ascii="Times New Roman" w:hAnsi="Times New Roman" w:eastAsia="宋体" w:cs="Times New Roman"/>
                <w:sz w:val="21"/>
                <w:szCs w:val="21"/>
                <w:lang w:val="en-US" w:eastAsia="zh-CN"/>
              </w:rPr>
              <w:t>Sara Đorđević,Attila Tóth,Gabriel Kuczman,Jelena Čukanović,Mirjana Ljubojević,Mirjana Ocokoljić,Djurdja Petrov,Saša Orlović.Biodiversity, Heritage and Ecosystem Service Potential of Woody Taxa in Scattered Built Environments of Traditional Agricultural Landscapes[J].Sustainability,2025,17(21):9865-9865.</w:t>
            </w:r>
          </w:p>
          <w:p w14:paraId="559F3FAD">
            <w:pPr>
              <w:numPr>
                <w:ilvl w:val="0"/>
                <w:numId w:val="0"/>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cs="宋体"/>
                <w:sz w:val="21"/>
                <w:szCs w:val="21"/>
                <w:lang w:val="en-US" w:eastAsia="zh-CN"/>
              </w:rPr>
              <w:t>56</w:t>
            </w:r>
            <w:r>
              <w:rPr>
                <w:rFonts w:hint="eastAsia" w:ascii="宋体" w:hAnsi="宋体" w:eastAsia="宋体" w:cs="宋体"/>
                <w:sz w:val="21"/>
                <w:szCs w:val="21"/>
                <w:lang w:val="en-US" w:eastAsia="zh-CN"/>
              </w:rPr>
              <w:t>]</w:t>
            </w:r>
            <w:r>
              <w:rPr>
                <w:rFonts w:hint="eastAsia" w:ascii="Times New Roman" w:hAnsi="Times New Roman" w:eastAsia="宋体" w:cs="Times New Roman"/>
                <w:sz w:val="21"/>
                <w:szCs w:val="21"/>
                <w:lang w:val="en-US" w:eastAsia="zh-CN"/>
              </w:rPr>
              <w:t>Monika  Janišová,Martin  Magnes,Igor  Bojko,Liubov M.  Borsukevych,Vasyl V.  Budzhak,Illya  Chorney,Anamaria  Iuga,Cosmin Marius  Ivașcu,Roman  Kish,Anna  Kuzemko,Salza  Palpurina,Katarína  Skokanová,Pavel  Širka,Alla  Tokaryuk,Polina  Dayneko.Agricultural legacy shapes plant diversity patterns in mountain grasslands of Maramureș and Bukovina: A cross‐border perspective (Ukraine, Romania)[J].People and Nature,2024,6(6):2283-2299.</w:t>
            </w:r>
          </w:p>
          <w:p w14:paraId="15BB2C24">
            <w:pPr>
              <w:numPr>
                <w:ilvl w:val="0"/>
                <w:numId w:val="4"/>
              </w:numPr>
              <w:spacing w:line="360" w:lineRule="auto"/>
              <w:ind w:left="0" w:leftChars="0" w:firstLine="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创新点与项目特色</w:t>
            </w:r>
          </w:p>
          <w:p w14:paraId="294E5C7E">
            <w:pPr>
              <w:numPr>
                <w:ilvl w:val="0"/>
                <w:numId w:val="5"/>
              </w:numPr>
              <w:spacing w:line="360" w:lineRule="auto"/>
              <w:ind w:leftChars="0"/>
              <w:rPr>
                <w:rFonts w:hint="eastAsia" w:cs="宋体"/>
                <w:b w:val="0"/>
                <w:bCs w:val="0"/>
                <w:sz w:val="24"/>
                <w:szCs w:val="24"/>
                <w:lang w:val="en-US" w:eastAsia="zh-CN"/>
              </w:rPr>
            </w:pPr>
            <w:r>
              <w:rPr>
                <w:rFonts w:hint="eastAsia" w:cs="宋体"/>
                <w:b w:val="0"/>
                <w:bCs w:val="0"/>
                <w:sz w:val="24"/>
                <w:szCs w:val="24"/>
                <w:lang w:val="en-US" w:eastAsia="zh-CN"/>
              </w:rPr>
              <w:t>研究视角创新：</w:t>
            </w:r>
          </w:p>
          <w:p w14:paraId="5FF1BB3A">
            <w:pPr>
              <w:numPr>
                <w:ilvl w:val="0"/>
                <w:numId w:val="0"/>
              </w:numPr>
              <w:spacing w:line="360" w:lineRule="auto"/>
              <w:ind w:firstLine="480" w:firstLineChars="200"/>
              <w:rPr>
                <w:rFonts w:hint="default" w:cs="宋体"/>
                <w:b w:val="0"/>
                <w:bCs w:val="0"/>
                <w:sz w:val="24"/>
                <w:szCs w:val="24"/>
                <w:lang w:val="en-US" w:eastAsia="zh-CN"/>
              </w:rPr>
            </w:pPr>
            <w:r>
              <w:rPr>
                <w:rFonts w:hint="eastAsia" w:cs="宋体"/>
                <w:b w:val="0"/>
                <w:bCs w:val="0"/>
                <w:sz w:val="24"/>
                <w:szCs w:val="24"/>
                <w:lang w:val="en-US" w:eastAsia="zh-CN"/>
              </w:rPr>
              <w:t>目前，关于农业文化遗产保护的研究大多聚焦于单一遗产保护，很少综合其他类型遗产如非物质文化遗产、世界灌溉工程遗产进行系统性保护规划。本研究以多类型遗产的保护为切入口，从农业文化遗产系统性保护视角出发，深入梳理了农业文化遗产和系统化保护的理论及其发展历程，明晰了其核心内容与演进脉络。在此基础上，提出了高邮湖泊湿地系统的多类型遗产系统性保护路径，以期对其他重要农业文化遗产的保护提供借鉴意义。</w:t>
            </w:r>
          </w:p>
          <w:p w14:paraId="2F293E45">
            <w:pPr>
              <w:numPr>
                <w:ilvl w:val="0"/>
                <w:numId w:val="5"/>
              </w:numPr>
              <w:spacing w:line="360" w:lineRule="auto"/>
              <w:ind w:leftChars="0"/>
              <w:rPr>
                <w:rFonts w:hint="default" w:cs="宋体"/>
                <w:b w:val="0"/>
                <w:bCs w:val="0"/>
                <w:sz w:val="24"/>
                <w:szCs w:val="24"/>
                <w:lang w:val="en-US" w:eastAsia="zh-CN"/>
              </w:rPr>
            </w:pPr>
            <w:r>
              <w:rPr>
                <w:rFonts w:hint="eastAsia" w:cs="宋体"/>
                <w:b w:val="0"/>
                <w:bCs w:val="0"/>
                <w:sz w:val="24"/>
                <w:szCs w:val="24"/>
                <w:lang w:val="en-US" w:eastAsia="zh-CN"/>
              </w:rPr>
              <w:t>研究方法创新：</w:t>
            </w:r>
          </w:p>
          <w:p w14:paraId="052B781B">
            <w:pPr>
              <w:numPr>
                <w:ilvl w:val="0"/>
                <w:numId w:val="0"/>
              </w:numPr>
              <w:spacing w:line="360" w:lineRule="auto"/>
              <w:ind w:leftChars="0" w:firstLine="480" w:firstLineChars="200"/>
              <w:rPr>
                <w:rFonts w:hint="eastAsia" w:cs="宋体"/>
                <w:b w:val="0"/>
                <w:bCs w:val="0"/>
                <w:sz w:val="24"/>
                <w:szCs w:val="24"/>
                <w:lang w:val="en-US" w:eastAsia="zh-CN"/>
              </w:rPr>
            </w:pPr>
            <w:r>
              <w:rPr>
                <w:rFonts w:hint="eastAsia" w:cs="宋体"/>
                <w:b w:val="0"/>
                <w:bCs w:val="0"/>
                <w:sz w:val="24"/>
                <w:szCs w:val="24"/>
                <w:lang w:val="en-US" w:eastAsia="zh-CN"/>
              </w:rPr>
              <w:t>本研究综合运用文献研究、结构访谈、问卷调查等基本研究方法，全面收集高邮湖湿地系统多类型遗产的一手与二手资料，获得相关数据，并通过分析各类政策文献和已有研究深化理解。在此基础上，引入层次（要素）聚类分析、社会网络分析、IPA分析模型等研究方法进行分析。运用层次（要素）聚类分析，分析“子系统-系统-环境”的系统性关系，识别高邮地区多类型文化遗产的内在结构和关联方式，为构建重要农业文化遗产的多类型系统性保护路径提供坚实基础。运用隶属关系网络分析方法，通过量化政府、社区、企业等多元保护主体间的互动关系，可视化地揭示现有协同网络的问题，构建高效的“多元共治”机制。通过综合使用这些研究方法，确保所提出的保护路径不仅优化现状，更能够赋能遗产地面向不确定未来的长期适应性与演化活力，探索高邮湖泊湿地多类型遗产的系统性保护路径。</w:t>
            </w:r>
          </w:p>
          <w:p w14:paraId="4B1C235E">
            <w:pPr>
              <w:numPr>
                <w:ilvl w:val="0"/>
                <w:numId w:val="0"/>
              </w:numPr>
              <w:spacing w:line="360" w:lineRule="auto"/>
              <w:rPr>
                <w:rFonts w:hint="eastAsia" w:cs="宋体"/>
                <w:b w:val="0"/>
                <w:bCs w:val="0"/>
                <w:sz w:val="24"/>
                <w:szCs w:val="24"/>
                <w:lang w:val="en-US" w:eastAsia="zh-CN"/>
              </w:rPr>
            </w:pPr>
          </w:p>
          <w:p w14:paraId="3C974ADE">
            <w:pPr>
              <w:numPr>
                <w:ilvl w:val="0"/>
                <w:numId w:val="4"/>
              </w:numPr>
              <w:spacing w:line="360" w:lineRule="auto"/>
              <w:ind w:left="0" w:leftChars="0" w:firstLine="0" w:firstLineChars="0"/>
              <w:rPr>
                <w:rFonts w:hint="eastAsia" w:ascii="宋体" w:hAnsi="宋体" w:eastAsia="宋体" w:cs="宋体"/>
                <w:b/>
                <w:bCs/>
                <w:sz w:val="24"/>
                <w:szCs w:val="24"/>
                <w:lang w:val="en-US" w:eastAsia="zh-CN"/>
              </w:rPr>
            </w:pPr>
            <w:r>
              <w:rPr>
                <w:rFonts w:hint="eastAsia" w:cs="宋体"/>
                <w:b/>
                <w:bCs/>
                <w:sz w:val="24"/>
                <w:szCs w:val="24"/>
                <w:lang w:val="en-US" w:eastAsia="zh-CN" w:bidi="ar-SA"/>
              </w:rPr>
              <w:t>技术路线、拟解决的问题及预期成果</w:t>
            </w:r>
          </w:p>
          <w:p w14:paraId="51B0EE1A">
            <w:pPr>
              <w:pStyle w:val="2"/>
              <w:keepNext w:val="0"/>
              <w:keepLines w:val="0"/>
              <w:pageBreakBefore w:val="0"/>
              <w:widowControl/>
              <w:numPr>
                <w:ilvl w:val="0"/>
                <w:numId w:val="6"/>
              </w:numPr>
              <w:kinsoku/>
              <w:wordWrap/>
              <w:overflowPunct/>
              <w:topLinePunct w:val="0"/>
              <w:autoSpaceDE/>
              <w:autoSpaceDN/>
              <w:bidi w:val="0"/>
              <w:adjustRightInd/>
              <w:snapToGrid/>
              <w:spacing w:before="0" w:beforeAutospacing="0" w:after="0" w:afterAutospacing="0" w:line="360" w:lineRule="auto"/>
              <w:ind w:right="240" w:rightChars="100" w:firstLine="482" w:firstLineChars="200"/>
              <w:jc w:val="both"/>
              <w:textAlignment w:val="center"/>
              <w:rPr>
                <w:rFonts w:hint="eastAsia" w:ascii="仿宋" w:hAnsi="仿宋" w:eastAsia="仿宋" w:cs="宋体"/>
                <w:color w:val="000000"/>
                <w:kern w:val="2"/>
                <w:sz w:val="24"/>
                <w:szCs w:val="24"/>
                <w:lang w:val="en-US" w:eastAsia="zh-CN"/>
              </w:rPr>
            </w:pPr>
            <w:r>
              <w:rPr>
                <w:rFonts w:hint="eastAsia" w:ascii="仿宋" w:hAnsi="仿宋" w:eastAsia="仿宋" w:cs="宋体"/>
                <w:color w:val="000000"/>
                <w:kern w:val="2"/>
                <w:sz w:val="24"/>
                <w:szCs w:val="24"/>
                <w:lang w:val="en-US" w:eastAsia="zh-CN"/>
              </w:rPr>
              <w:t>技术路线图</w:t>
            </w:r>
          </w:p>
          <w:p w14:paraId="648BEA74">
            <w:pPr>
              <w:pStyle w:val="2"/>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right="240" w:rightChars="100"/>
              <w:jc w:val="both"/>
              <w:textAlignment w:val="center"/>
              <w:rPr>
                <w:rFonts w:hint="eastAsia" w:ascii="仿宋" w:hAnsi="仿宋" w:eastAsia="仿宋" w:cs="宋体"/>
                <w:color w:val="000000"/>
                <w:kern w:val="2"/>
                <w:sz w:val="24"/>
                <w:szCs w:val="24"/>
                <w:lang w:val="en-US" w:eastAsia="zh-CN"/>
              </w:rPr>
            </w:pPr>
            <w:r>
              <w:rPr>
                <w:rFonts w:hint="eastAsia" w:ascii="仿宋" w:hAnsi="仿宋" w:eastAsia="仿宋" w:cs="宋体"/>
                <w:color w:val="000000"/>
                <w:kern w:val="2"/>
                <w:sz w:val="24"/>
                <w:szCs w:val="24"/>
                <w:lang w:val="en-US" w:eastAsia="zh-CN"/>
              </w:rPr>
              <w:drawing>
                <wp:anchor distT="0" distB="0" distL="114300" distR="114300" simplePos="0" relativeHeight="251659264" behindDoc="0" locked="0" layoutInCell="1" allowOverlap="1">
                  <wp:simplePos x="0" y="0"/>
                  <wp:positionH relativeFrom="column">
                    <wp:posOffset>-19050</wp:posOffset>
                  </wp:positionH>
                  <wp:positionV relativeFrom="paragraph">
                    <wp:posOffset>-6844030</wp:posOffset>
                  </wp:positionV>
                  <wp:extent cx="5973445" cy="8124825"/>
                  <wp:effectExtent l="0" t="0" r="8255" b="3175"/>
                  <wp:wrapTopAndBottom/>
                  <wp:docPr id="13" name="图片 13" descr="申报书技术路线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申报书技术路线5.0"/>
                          <pic:cNvPicPr>
                            <a:picLocks noChangeAspect="1"/>
                          </pic:cNvPicPr>
                        </pic:nvPicPr>
                        <pic:blipFill>
                          <a:blip r:embed="rId6"/>
                          <a:srcRect l="1436" t="1266" r="1468" b="3028"/>
                          <a:stretch>
                            <a:fillRect/>
                          </a:stretch>
                        </pic:blipFill>
                        <pic:spPr>
                          <a:xfrm>
                            <a:off x="0" y="0"/>
                            <a:ext cx="5973445" cy="8124825"/>
                          </a:xfrm>
                          <a:prstGeom prst="rect">
                            <a:avLst/>
                          </a:prstGeom>
                        </pic:spPr>
                      </pic:pic>
                    </a:graphicData>
                  </a:graphic>
                </wp:anchor>
              </w:drawing>
            </w:r>
          </w:p>
          <w:p w14:paraId="351E29C8">
            <w:pPr>
              <w:pStyle w:val="2"/>
              <w:keepNext w:val="0"/>
              <w:keepLines w:val="0"/>
              <w:pageBreakBefore w:val="0"/>
              <w:widowControl/>
              <w:numPr>
                <w:ilvl w:val="0"/>
                <w:numId w:val="6"/>
              </w:numPr>
              <w:kinsoku/>
              <w:wordWrap/>
              <w:overflowPunct/>
              <w:topLinePunct w:val="0"/>
              <w:autoSpaceDE/>
              <w:autoSpaceDN/>
              <w:bidi w:val="0"/>
              <w:adjustRightInd/>
              <w:snapToGrid/>
              <w:spacing w:before="0" w:beforeAutospacing="0" w:after="0" w:afterAutospacing="0" w:line="360" w:lineRule="auto"/>
              <w:ind w:right="240" w:rightChars="100" w:firstLine="482" w:firstLineChars="200"/>
              <w:jc w:val="both"/>
              <w:textAlignment w:val="center"/>
              <w:rPr>
                <w:rFonts w:hint="default" w:ascii="仿宋" w:hAnsi="仿宋" w:eastAsia="仿宋" w:cs="宋体"/>
                <w:color w:val="000000"/>
                <w:kern w:val="2"/>
                <w:sz w:val="24"/>
                <w:szCs w:val="24"/>
                <w:lang w:val="en-US" w:eastAsia="zh-CN"/>
              </w:rPr>
            </w:pPr>
            <w:r>
              <w:rPr>
                <w:rFonts w:hint="default" w:ascii="仿宋" w:hAnsi="仿宋" w:eastAsia="仿宋" w:cs="宋体"/>
                <w:color w:val="000000"/>
                <w:kern w:val="2"/>
                <w:sz w:val="24"/>
                <w:szCs w:val="24"/>
                <w:lang w:val="en-US" w:eastAsia="zh-CN"/>
              </w:rPr>
              <w:t>拟解决的问题</w:t>
            </w:r>
          </w:p>
          <w:p w14:paraId="74A28DC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（1）梳理</w:t>
            </w:r>
            <w:r>
              <w:rPr>
                <w:rFonts w:hint="eastAsia" w:cs="宋体"/>
                <w:sz w:val="24"/>
                <w:szCs w:val="24"/>
                <w:lang w:val="en-US" w:eastAsia="zh-CN"/>
              </w:rPr>
              <w:t>高邮湖泊湿地系统在多类型遗产中的地位、功能及与其他系统的互动关系。</w:t>
            </w:r>
          </w:p>
          <w:p w14:paraId="6F076B8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（2）发掘</w:t>
            </w:r>
            <w:r>
              <w:rPr>
                <w:rFonts w:hint="eastAsia" w:cs="宋体"/>
                <w:sz w:val="24"/>
                <w:szCs w:val="24"/>
                <w:lang w:val="en-US" w:eastAsia="zh-CN"/>
              </w:rPr>
              <w:t>多类型遗产系统性保护</w:t>
            </w:r>
            <w:r>
              <w:rPr>
                <w:rFonts w:hint="default" w:ascii="宋体" w:hAnsi="宋体" w:eastAsia="宋体" w:cs="宋体"/>
                <w:sz w:val="24"/>
                <w:szCs w:val="24"/>
                <w:lang w:val="en-US" w:eastAsia="zh-CN"/>
              </w:rPr>
              <w:t>面临的</w:t>
            </w:r>
            <w:r>
              <w:rPr>
                <w:rFonts w:hint="eastAsia" w:cs="宋体"/>
                <w:sz w:val="24"/>
                <w:szCs w:val="24"/>
                <w:lang w:val="en-US" w:eastAsia="zh-CN"/>
              </w:rPr>
              <w:t>机遇与挑战</w:t>
            </w:r>
            <w:r>
              <w:rPr>
                <w:rFonts w:hint="default" w:ascii="宋体" w:hAnsi="宋体" w:eastAsia="宋体" w:cs="宋体"/>
                <w:sz w:val="24"/>
                <w:szCs w:val="24"/>
                <w:lang w:val="en-US" w:eastAsia="zh-CN"/>
              </w:rPr>
              <w:t>及其背后的深层次原因。</w:t>
            </w:r>
          </w:p>
          <w:p w14:paraId="3212BF0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w:t>
            </w:r>
            <w:r>
              <w:rPr>
                <w:rFonts w:hint="eastAsia" w:cs="宋体"/>
                <w:sz w:val="24"/>
                <w:szCs w:val="24"/>
                <w:lang w:val="en-US" w:eastAsia="zh-CN"/>
              </w:rPr>
              <w:t>以多类型遗产保护为切入点，</w:t>
            </w:r>
            <w:r>
              <w:rPr>
                <w:rFonts w:hint="default" w:ascii="宋体" w:hAnsi="宋体" w:eastAsia="宋体" w:cs="宋体"/>
                <w:sz w:val="24"/>
                <w:szCs w:val="24"/>
                <w:lang w:val="en-US" w:eastAsia="zh-CN"/>
              </w:rPr>
              <w:t>探索</w:t>
            </w:r>
            <w:r>
              <w:rPr>
                <w:rFonts w:hint="eastAsia" w:cs="宋体"/>
                <w:sz w:val="24"/>
                <w:szCs w:val="24"/>
                <w:lang w:val="en-US" w:eastAsia="zh-CN"/>
              </w:rPr>
              <w:t>重要农业文化遗产</w:t>
            </w:r>
            <w:r>
              <w:rPr>
                <w:rFonts w:hint="default" w:ascii="宋体" w:hAnsi="宋体" w:eastAsia="宋体" w:cs="宋体"/>
                <w:sz w:val="24"/>
                <w:szCs w:val="24"/>
                <w:lang w:val="en-US" w:eastAsia="zh-CN"/>
              </w:rPr>
              <w:t>的系统性保护</w:t>
            </w:r>
            <w:r>
              <w:rPr>
                <w:rFonts w:hint="eastAsia" w:cs="宋体"/>
                <w:sz w:val="24"/>
                <w:szCs w:val="24"/>
                <w:lang w:val="en-US" w:eastAsia="zh-CN"/>
              </w:rPr>
              <w:t>的路径</w:t>
            </w:r>
            <w:r>
              <w:rPr>
                <w:rFonts w:hint="default" w:ascii="宋体" w:hAnsi="宋体" w:eastAsia="宋体" w:cs="宋体"/>
                <w:sz w:val="24"/>
                <w:szCs w:val="24"/>
                <w:lang w:val="en-US" w:eastAsia="zh-CN"/>
              </w:rPr>
              <w:t>。</w:t>
            </w:r>
          </w:p>
          <w:p w14:paraId="11744F4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2" w:firstLineChars="200"/>
              <w:textAlignment w:val="auto"/>
              <w:rPr>
                <w:rFonts w:hint="default" w:ascii="仿宋" w:hAnsi="仿宋" w:eastAsia="仿宋" w:cs="宋体"/>
                <w:b/>
                <w:bCs/>
                <w:color w:val="000000"/>
                <w:kern w:val="2"/>
                <w:sz w:val="24"/>
                <w:szCs w:val="24"/>
                <w:lang w:val="en-US" w:eastAsia="zh-CN" w:bidi="ar-SA"/>
              </w:rPr>
            </w:pPr>
            <w:r>
              <w:rPr>
                <w:rFonts w:hint="default" w:ascii="仿宋" w:hAnsi="仿宋" w:eastAsia="仿宋" w:cs="宋体"/>
                <w:b/>
                <w:bCs/>
                <w:color w:val="000000"/>
                <w:kern w:val="2"/>
                <w:sz w:val="24"/>
                <w:szCs w:val="24"/>
                <w:lang w:val="en-US" w:eastAsia="zh-CN" w:bidi="ar-SA"/>
              </w:rPr>
              <w:t>3.预期成果</w:t>
            </w:r>
          </w:p>
          <w:p w14:paraId="05F9B2BB">
            <w:pPr>
              <w:numPr>
                <w:ilvl w:val="0"/>
                <w:numId w:val="0"/>
              </w:numPr>
              <w:spacing w:line="360" w:lineRule="auto"/>
              <w:ind w:leftChars="0"/>
              <w:rPr>
                <w:rFonts w:hint="eastAsia" w:ascii="宋体" w:hAnsi="宋体" w:eastAsia="宋体" w:cs="宋体"/>
                <w:sz w:val="21"/>
                <w:szCs w:val="21"/>
                <w:lang w:val="en-US" w:eastAsia="zh-CN"/>
              </w:rPr>
            </w:pPr>
          </w:p>
          <w:p w14:paraId="4F2D55B9">
            <w:pPr>
              <w:keepNext w:val="0"/>
              <w:keepLines w:val="0"/>
              <w:pageBreakBefore w:val="0"/>
              <w:widowControl/>
              <w:kinsoku/>
              <w:wordWrap/>
              <w:overflowPunct/>
              <w:topLinePunct w:val="0"/>
              <w:autoSpaceDE/>
              <w:autoSpaceDN/>
              <w:bidi w:val="0"/>
              <w:adjustRightInd/>
              <w:snapToGrid/>
              <w:spacing w:line="360" w:lineRule="auto"/>
              <w:rPr>
                <w:rFonts w:hint="eastAsia" w:ascii="仿宋" w:hAnsi="仿宋" w:eastAsia="宋体"/>
                <w:b/>
                <w:bCs w:val="0"/>
                <w:lang w:eastAsia="zh-CN"/>
              </w:rPr>
            </w:pPr>
            <w:r>
              <w:rPr>
                <w:rFonts w:hint="eastAsia" w:ascii="宋体" w:hAnsi="宋体" w:eastAsia="宋体" w:cs="宋体"/>
                <w:b/>
                <w:bCs/>
                <w:sz w:val="24"/>
                <w:szCs w:val="24"/>
                <w:lang w:val="en-US" w:eastAsia="zh-CN" w:bidi="ar-SA"/>
              </w:rPr>
              <w:t>（</w:t>
            </w:r>
            <w:r>
              <w:rPr>
                <w:rFonts w:hint="eastAsia" w:cs="宋体"/>
                <w:b/>
                <w:bCs/>
                <w:sz w:val="24"/>
                <w:szCs w:val="24"/>
                <w:lang w:val="en-US" w:eastAsia="zh-CN" w:bidi="ar-SA"/>
              </w:rPr>
              <w:t>六</w:t>
            </w:r>
            <w:r>
              <w:rPr>
                <w:rFonts w:hint="eastAsia" w:ascii="宋体" w:hAnsi="宋体" w:eastAsia="宋体" w:cs="宋体"/>
                <w:b/>
                <w:bCs/>
                <w:sz w:val="24"/>
                <w:szCs w:val="24"/>
                <w:lang w:val="en-US" w:eastAsia="zh-CN" w:bidi="ar-SA"/>
              </w:rPr>
              <w:t>）项目研究进度安排</w:t>
            </w:r>
          </w:p>
          <w:p w14:paraId="53937501">
            <w:pPr>
              <w:numPr>
                <w:ilvl w:val="0"/>
                <w:numId w:val="0"/>
              </w:numPr>
              <w:spacing w:line="360" w:lineRule="auto"/>
              <w:ind w:left="0" w:leftChars="0" w:firstLine="0" w:firstLineChars="0"/>
              <w:rPr>
                <w:rFonts w:hint="eastAsia" w:ascii="宋体" w:hAnsi="宋体" w:eastAsia="宋体" w:cs="宋体"/>
                <w:b/>
                <w:bCs/>
                <w:sz w:val="24"/>
                <w:szCs w:val="24"/>
                <w:lang w:val="en-US" w:eastAsia="zh-CN" w:bidi="ar-SA"/>
              </w:rPr>
            </w:pPr>
          </w:p>
          <w:p w14:paraId="502692C3">
            <w:pPr>
              <w:numPr>
                <w:ilvl w:val="0"/>
                <w:numId w:val="0"/>
              </w:numPr>
              <w:spacing w:line="360" w:lineRule="auto"/>
              <w:ind w:left="0" w:leftChars="0" w:firstLine="0" w:firstLineChars="0"/>
              <w:rPr>
                <w:rFonts w:hint="eastAsia" w:cs="宋体"/>
                <w:b/>
                <w:bCs/>
                <w:sz w:val="24"/>
                <w:szCs w:val="24"/>
                <w:lang w:val="en-US" w:eastAsia="zh-CN" w:bidi="ar-SA"/>
              </w:rPr>
            </w:pPr>
            <w:r>
              <w:rPr>
                <w:rFonts w:hint="eastAsia" w:ascii="宋体" w:hAnsi="宋体" w:eastAsia="宋体" w:cs="宋体"/>
                <w:b/>
                <w:bCs/>
                <w:sz w:val="24"/>
                <w:szCs w:val="24"/>
                <w:lang w:val="en-US" w:eastAsia="zh-CN" w:bidi="ar-SA"/>
              </w:rPr>
              <w:t>（</w:t>
            </w:r>
            <w:r>
              <w:rPr>
                <w:rFonts w:hint="eastAsia" w:cs="宋体"/>
                <w:b/>
                <w:bCs/>
                <w:sz w:val="24"/>
                <w:szCs w:val="24"/>
                <w:lang w:val="en-US" w:eastAsia="zh-CN" w:bidi="ar-SA"/>
              </w:rPr>
              <w:t>七</w:t>
            </w:r>
            <w:r>
              <w:rPr>
                <w:rFonts w:hint="eastAsia" w:ascii="宋体" w:hAnsi="宋体" w:eastAsia="宋体" w:cs="宋体"/>
                <w:b/>
                <w:bCs/>
                <w:sz w:val="24"/>
                <w:szCs w:val="24"/>
                <w:lang w:val="en-US" w:eastAsia="zh-CN" w:bidi="ar-SA"/>
              </w:rPr>
              <w:t>）</w:t>
            </w:r>
            <w:r>
              <w:rPr>
                <w:rFonts w:hint="eastAsia" w:cs="宋体"/>
                <w:b/>
                <w:bCs/>
                <w:sz w:val="24"/>
                <w:szCs w:val="24"/>
                <w:lang w:val="en-US" w:eastAsia="zh-CN" w:bidi="ar-SA"/>
              </w:rPr>
              <w:t>已有基础</w:t>
            </w:r>
          </w:p>
          <w:p w14:paraId="527A97EF">
            <w:pPr>
              <w:pStyle w:val="2"/>
              <w:keepNext w:val="0"/>
              <w:keepLines w:val="0"/>
              <w:pageBreakBefore w:val="0"/>
              <w:widowControl/>
              <w:numPr>
                <w:ilvl w:val="0"/>
                <w:numId w:val="7"/>
              </w:numPr>
              <w:kinsoku/>
              <w:wordWrap/>
              <w:overflowPunct/>
              <w:topLinePunct w:val="0"/>
              <w:autoSpaceDE/>
              <w:autoSpaceDN/>
              <w:bidi w:val="0"/>
              <w:adjustRightInd/>
              <w:snapToGrid/>
              <w:spacing w:before="0" w:beforeAutospacing="0" w:after="0" w:afterAutospacing="0" w:line="360" w:lineRule="auto"/>
              <w:ind w:right="240" w:rightChars="100" w:firstLine="482" w:firstLineChars="200"/>
              <w:jc w:val="both"/>
              <w:textAlignment w:val="center"/>
              <w:rPr>
                <w:rFonts w:hint="eastAsia" w:ascii="仿宋" w:hAnsi="仿宋" w:eastAsia="仿宋" w:cs="宋体"/>
                <w:color w:val="000000"/>
                <w:kern w:val="2"/>
                <w:sz w:val="24"/>
                <w:szCs w:val="24"/>
                <w:lang w:val="en-US" w:eastAsia="zh-CN"/>
              </w:rPr>
            </w:pPr>
            <w:r>
              <w:rPr>
                <w:rFonts w:hint="eastAsia" w:ascii="仿宋" w:hAnsi="仿宋" w:eastAsia="仿宋" w:cs="宋体"/>
                <w:color w:val="000000"/>
                <w:kern w:val="2"/>
                <w:sz w:val="24"/>
                <w:szCs w:val="24"/>
                <w:lang w:val="en-US" w:eastAsia="zh-CN"/>
              </w:rPr>
              <w:t>与本项目有关的研究积累和已取得的成绩</w:t>
            </w:r>
          </w:p>
          <w:p w14:paraId="5868B2F5">
            <w:pPr>
              <w:numPr>
                <w:ilvl w:val="0"/>
                <w:numId w:val="0"/>
              </w:numPr>
              <w:tabs>
                <w:tab w:val="left" w:pos="449"/>
              </w:tabs>
              <w:spacing w:line="480" w:lineRule="atLeast"/>
              <w:ind w:firstLine="480" w:firstLineChars="200"/>
              <w:rPr>
                <w:rFonts w:hint="eastAsia" w:ascii="仿宋" w:hAnsi="仿宋" w:eastAsia="仿宋" w:cs="宋体"/>
                <w:b/>
                <w:bCs/>
                <w:kern w:val="2"/>
                <w:sz w:val="24"/>
                <w:szCs w:val="24"/>
                <w:lang w:val="en-US" w:eastAsia="zh-CN" w:bidi="ar-SA"/>
              </w:rPr>
            </w:pPr>
            <w:r>
              <w:rPr>
                <w:rFonts w:hint="eastAsia" w:ascii="宋体" w:hAnsi="宋体" w:eastAsia="宋体" w:cs="宋体"/>
                <w:b w:val="0"/>
                <w:bCs w:val="0"/>
                <w:kern w:val="2"/>
                <w:sz w:val="24"/>
                <w:szCs w:val="24"/>
                <w:lang w:val="en-US" w:eastAsia="zh-CN" w:bidi="ar-SA"/>
              </w:rPr>
              <w:t>（1）项目依托与导师指导：</w:t>
            </w:r>
          </w:p>
          <w:p w14:paraId="5A224FBA">
            <w:pPr>
              <w:numPr>
                <w:ilvl w:val="0"/>
                <w:numId w:val="0"/>
              </w:numPr>
              <w:tabs>
                <w:tab w:val="left" w:pos="449"/>
              </w:tabs>
              <w:spacing w:line="480" w:lineRule="atLeast"/>
              <w:ind w:firstLine="480" w:firstLineChars="20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本项目直接依托指导老师主持的2024年国家社科基金一般项目“农业文化遗产系统性保护研究与政策创新”。该项目为本研究提供了理论框架、政策视野和坚实的研究基础，确保本项目站在学术前沿，并与之形成有效的联动与深化。此外，小组指导老师近十年来一直从事教学、科研工作，有着丰富的农业文化遗产研究经验，发表了众多农业文化遗产领域的权威论文，可为本课题的研究提供详细的知识指导和技术指导。</w:t>
            </w:r>
          </w:p>
          <w:p w14:paraId="025735D8">
            <w:pPr>
              <w:numPr>
                <w:ilvl w:val="0"/>
                <w:numId w:val="8"/>
              </w:numPr>
              <w:tabs>
                <w:tab w:val="left" w:pos="449"/>
              </w:tabs>
              <w:spacing w:line="480" w:lineRule="atLeast"/>
              <w:ind w:firstLine="480" w:firstLineChars="20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前期研究与实践积累：</w:t>
            </w:r>
          </w:p>
          <w:p w14:paraId="24BEF2AA">
            <w:pPr>
              <w:numPr>
                <w:ilvl w:val="0"/>
                <w:numId w:val="0"/>
              </w:numPr>
              <w:tabs>
                <w:tab w:val="left" w:pos="449"/>
              </w:tabs>
              <w:spacing w:line="480" w:lineRule="atLeast"/>
              <w:ind w:firstLine="480" w:firstLineChars="200"/>
              <w:rPr>
                <w:rFonts w:hint="eastAsia" w:ascii="宋体" w:hAnsi="宋体" w:eastAsia="宋体" w:cs="宋体"/>
                <w:b w:val="0"/>
                <w:bCs w:val="0"/>
                <w:kern w:val="2"/>
                <w:sz w:val="24"/>
                <w:szCs w:val="24"/>
                <w:lang w:val="en-US" w:eastAsia="zh-CN" w:bidi="ar-SA"/>
              </w:rPr>
            </w:pPr>
            <w:r>
              <w:rPr>
                <w:rFonts w:hint="eastAsia" w:cs="宋体"/>
                <w:b w:val="0"/>
                <w:bCs w:val="0"/>
                <w:kern w:val="2"/>
                <w:sz w:val="24"/>
                <w:szCs w:val="24"/>
                <w:lang w:val="en-US" w:eastAsia="zh-CN"/>
              </w:rPr>
              <w:t>在准备工作前期阶段已查阅了大量与农业文化遗产、高邮湖湿地系统相关的文献，已对农业文化遗产的系统性保护有了深入的理论认识和一定的实践经验，明确了相关概念，对于有关领域的研究现状和不足、课题的研究思路有了清楚认识。</w:t>
            </w:r>
          </w:p>
          <w:p w14:paraId="271FEB44">
            <w:pPr>
              <w:numPr>
                <w:ilvl w:val="0"/>
                <w:numId w:val="0"/>
              </w:numPr>
              <w:tabs>
                <w:tab w:val="left" w:pos="449"/>
              </w:tabs>
              <w:spacing w:line="480" w:lineRule="atLeast"/>
              <w:ind w:leftChars="200"/>
              <w:rPr>
                <w:rFonts w:hint="eastAsia" w:ascii="宋体" w:hAnsi="宋体" w:eastAsia="宋体" w:cs="宋体"/>
                <w:b w:val="0"/>
                <w:bCs w:val="0"/>
                <w:kern w:val="2"/>
                <w:sz w:val="24"/>
                <w:szCs w:val="24"/>
                <w:lang w:val="en-US" w:eastAsia="zh-CN" w:bidi="ar-SA"/>
              </w:rPr>
            </w:pPr>
            <w:r>
              <w:rPr>
                <w:rFonts w:hint="eastAsia" w:cs="宋体"/>
                <w:b w:val="0"/>
                <w:bCs w:val="0"/>
                <w:kern w:val="2"/>
                <w:sz w:val="24"/>
                <w:szCs w:val="24"/>
                <w:lang w:val="en-US" w:eastAsia="zh-CN" w:bidi="ar-SA"/>
              </w:rPr>
              <w:t>（3）</w:t>
            </w:r>
            <w:r>
              <w:rPr>
                <w:rFonts w:hint="eastAsia" w:ascii="宋体" w:hAnsi="宋体" w:eastAsia="宋体" w:cs="宋体"/>
                <w:b w:val="0"/>
                <w:bCs w:val="0"/>
                <w:kern w:val="2"/>
                <w:sz w:val="24"/>
                <w:szCs w:val="24"/>
                <w:lang w:val="en-US" w:eastAsia="zh-CN" w:bidi="ar-SA"/>
              </w:rPr>
              <w:t>现实问题导向：</w:t>
            </w:r>
          </w:p>
          <w:p w14:paraId="746C12F9">
            <w:pPr>
              <w:numPr>
                <w:ilvl w:val="0"/>
                <w:numId w:val="0"/>
              </w:numPr>
              <w:tabs>
                <w:tab w:val="left" w:pos="449"/>
              </w:tabs>
              <w:spacing w:line="480" w:lineRule="atLeast"/>
              <w:ind w:firstLine="480" w:firstLineChars="20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团队在前期文献研究和预调研中，已敏锐地识别出高邮湖湿地系统保护中的核心瓶颈，即“政出多门、缺乏统筹”导致的系统性缺失。具体表现为：管理上水利、农业等部门职能交叉重叠；保护措施上各类遗产“碎片化”并行，缺乏协同效应；发展上产业化冲击割裂了系统的生态链。本研究正是为了探索解决这些在地交叠、职能重叠问题的系统性方案而生，具有极强的现实针对性。</w:t>
            </w:r>
          </w:p>
          <w:p w14:paraId="350E7778">
            <w:pPr>
              <w:numPr>
                <w:ilvl w:val="0"/>
                <w:numId w:val="7"/>
              </w:numPr>
              <w:tabs>
                <w:tab w:val="left" w:pos="449"/>
                <w:tab w:val="clear" w:pos="312"/>
              </w:tabs>
              <w:spacing w:line="480" w:lineRule="atLeast"/>
              <w:ind w:left="0" w:leftChars="0" w:firstLine="482" w:firstLineChars="200"/>
              <w:rPr>
                <w:rFonts w:hint="eastAsia" w:ascii="仿宋" w:hAnsi="仿宋" w:eastAsia="仿宋" w:cs="宋体"/>
                <w:b/>
                <w:bCs/>
                <w:color w:val="000000"/>
                <w:kern w:val="2"/>
                <w:sz w:val="24"/>
                <w:szCs w:val="24"/>
                <w:lang w:val="en-US" w:eastAsia="zh-CN" w:bidi="ar-SA"/>
              </w:rPr>
            </w:pPr>
            <w:r>
              <w:rPr>
                <w:rFonts w:hint="eastAsia" w:ascii="仿宋" w:hAnsi="仿宋" w:eastAsia="仿宋" w:cs="宋体"/>
                <w:b/>
                <w:bCs/>
                <w:color w:val="000000"/>
                <w:kern w:val="2"/>
                <w:sz w:val="24"/>
                <w:szCs w:val="24"/>
                <w:lang w:val="en-US" w:eastAsia="zh-CN" w:bidi="ar-SA"/>
              </w:rPr>
              <w:t>已具备的条件，尚缺少的条件及解决方法</w:t>
            </w:r>
          </w:p>
          <w:p w14:paraId="156441E4">
            <w:pPr>
              <w:numPr>
                <w:ilvl w:val="0"/>
                <w:numId w:val="0"/>
              </w:numPr>
              <w:tabs>
                <w:tab w:val="left" w:pos="449"/>
              </w:tabs>
              <w:spacing w:line="480" w:lineRule="atLeast"/>
              <w:ind w:leftChars="200"/>
              <w:rPr>
                <w:rFonts w:hint="default" w:cs="宋体"/>
                <w:b w:val="0"/>
                <w:bCs w:val="0"/>
                <w:kern w:val="2"/>
                <w:sz w:val="24"/>
                <w:szCs w:val="24"/>
                <w:lang w:val="en-US" w:eastAsia="zh-CN" w:bidi="ar-SA"/>
              </w:rPr>
            </w:pPr>
            <w:r>
              <w:rPr>
                <w:rFonts w:hint="eastAsia" w:cs="宋体"/>
                <w:b w:val="0"/>
                <w:bCs w:val="0"/>
                <w:kern w:val="2"/>
                <w:sz w:val="24"/>
                <w:szCs w:val="24"/>
                <w:lang w:val="en-US" w:eastAsia="zh-CN" w:bidi="ar-SA"/>
              </w:rPr>
              <w:t>（1）已具备的条件</w:t>
            </w:r>
          </w:p>
          <w:p w14:paraId="5464EF48">
            <w:pPr>
              <w:numPr>
                <w:ilvl w:val="0"/>
                <w:numId w:val="0"/>
              </w:numPr>
              <w:tabs>
                <w:tab w:val="left" w:pos="449"/>
              </w:tabs>
              <w:spacing w:line="480" w:lineRule="atLeast"/>
              <w:ind w:firstLine="480" w:firstLineChars="20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①理论条件：依托导师的国家级项目，已构建起农业文化遗产系统性保护研究的初步理论框架，并对“多类型遗产”“系统性保护”等核心概念有了清晰界定。</w:t>
            </w:r>
          </w:p>
          <w:p w14:paraId="122FF32F">
            <w:pPr>
              <w:numPr>
                <w:ilvl w:val="0"/>
                <w:numId w:val="0"/>
              </w:numPr>
              <w:tabs>
                <w:tab w:val="left" w:pos="449"/>
              </w:tabs>
              <w:spacing w:line="480" w:lineRule="atLeast"/>
              <w:ind w:firstLine="480" w:firstLineChars="20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②实践条件：团队拥有在</w:t>
            </w:r>
            <w:r>
              <w:rPr>
                <w:rFonts w:hint="eastAsia" w:cs="宋体"/>
                <w:b w:val="0"/>
                <w:bCs w:val="0"/>
                <w:kern w:val="2"/>
                <w:sz w:val="24"/>
                <w:szCs w:val="24"/>
                <w:lang w:val="en-US" w:eastAsia="zh-CN" w:bidi="ar-SA"/>
              </w:rPr>
              <w:t>高邮</w:t>
            </w:r>
            <w:r>
              <w:rPr>
                <w:rFonts w:hint="eastAsia" w:ascii="宋体" w:hAnsi="宋体" w:eastAsia="宋体" w:cs="宋体"/>
                <w:b w:val="0"/>
                <w:bCs w:val="0"/>
                <w:kern w:val="2"/>
                <w:sz w:val="24"/>
                <w:szCs w:val="24"/>
                <w:lang w:val="en-US" w:eastAsia="zh-CN" w:bidi="ar-SA"/>
              </w:rPr>
              <w:t>的农业文化遗产地调研经验，熟悉实地调研的基本流程与方法，能够设计出科学合理的访谈提纲和调研方案。</w:t>
            </w:r>
          </w:p>
          <w:p w14:paraId="7772E018">
            <w:pPr>
              <w:numPr>
                <w:ilvl w:val="0"/>
                <w:numId w:val="0"/>
              </w:numPr>
              <w:tabs>
                <w:tab w:val="left" w:pos="449"/>
              </w:tabs>
              <w:spacing w:line="480" w:lineRule="atLeast"/>
              <w:ind w:firstLine="480" w:firstLineChars="200"/>
              <w:rPr>
                <w:rFonts w:hint="eastAsia" w:ascii="仿宋" w:hAnsi="仿宋" w:eastAsia="仿宋" w:cs="宋体"/>
                <w:color w:val="000000"/>
                <w:kern w:val="2"/>
                <w:sz w:val="24"/>
                <w:szCs w:val="24"/>
                <w:lang w:val="en-US" w:eastAsia="zh-CN"/>
              </w:rPr>
            </w:pPr>
            <w:r>
              <w:rPr>
                <w:rFonts w:hint="eastAsia" w:ascii="宋体" w:hAnsi="宋体" w:eastAsia="宋体" w:cs="宋体"/>
                <w:b w:val="0"/>
                <w:bCs w:val="0"/>
                <w:kern w:val="2"/>
                <w:sz w:val="24"/>
                <w:szCs w:val="24"/>
                <w:lang w:val="en-US" w:eastAsia="zh-CN" w:bidi="ar-SA"/>
              </w:rPr>
              <w:t>③资源条件：校图书馆数据库、学院资料室可满足文献检索需求；指导教师团队在本领域深耕多年，能提供全方位、深层次的学术指导。</w:t>
            </w:r>
          </w:p>
          <w:p w14:paraId="75B0164A">
            <w:pPr>
              <w:numPr>
                <w:ilvl w:val="0"/>
                <w:numId w:val="0"/>
              </w:numPr>
              <w:tabs>
                <w:tab w:val="left" w:pos="449"/>
              </w:tabs>
              <w:spacing w:line="480" w:lineRule="atLeast"/>
              <w:ind w:leftChars="200"/>
              <w:rPr>
                <w:rFonts w:hint="eastAsia" w:cs="宋体"/>
                <w:b w:val="0"/>
                <w:bCs w:val="0"/>
                <w:kern w:val="2"/>
                <w:sz w:val="24"/>
                <w:szCs w:val="24"/>
                <w:lang w:val="en-US" w:eastAsia="zh-CN" w:bidi="ar-SA"/>
              </w:rPr>
            </w:pPr>
            <w:r>
              <w:rPr>
                <w:rFonts w:hint="eastAsia" w:cs="宋体"/>
                <w:b w:val="0"/>
                <w:bCs w:val="0"/>
                <w:kern w:val="2"/>
                <w:sz w:val="24"/>
                <w:szCs w:val="24"/>
                <w:lang w:val="en-US" w:eastAsia="zh-CN" w:bidi="ar-SA"/>
              </w:rPr>
              <w:t>（2）尚缺少的条件</w:t>
            </w:r>
          </w:p>
          <w:p w14:paraId="7B3BC195">
            <w:pPr>
              <w:numPr>
                <w:ilvl w:val="0"/>
                <w:numId w:val="0"/>
              </w:numPr>
              <w:tabs>
                <w:tab w:val="left" w:pos="449"/>
              </w:tabs>
              <w:spacing w:line="480" w:lineRule="atLeast"/>
              <w:ind w:firstLine="480" w:firstLineChars="200"/>
              <w:rPr>
                <w:rFonts w:hint="eastAsia" w:cs="宋体"/>
                <w:b w:val="0"/>
                <w:bCs w:val="0"/>
                <w:kern w:val="2"/>
                <w:sz w:val="24"/>
                <w:szCs w:val="24"/>
                <w:lang w:val="en-US" w:eastAsia="zh-CN" w:bidi="ar-SA"/>
              </w:rPr>
            </w:pPr>
            <w:r>
              <w:rPr>
                <w:rFonts w:hint="eastAsia" w:cs="宋体"/>
                <w:b w:val="0"/>
                <w:bCs w:val="0"/>
                <w:kern w:val="2"/>
                <w:sz w:val="24"/>
                <w:szCs w:val="24"/>
                <w:lang w:val="en-US" w:eastAsia="zh-CN" w:bidi="ar-SA"/>
              </w:rPr>
              <w:t>①团队对高邮湖地区的实地调研经验尚浅，团队成员虽具备调研经验，但对高邮湖湿地系统核心区的具体情况、社区网络及管理部门的实际运作了解不够深入。</w:t>
            </w:r>
          </w:p>
          <w:p w14:paraId="2DEADCA8">
            <w:pPr>
              <w:numPr>
                <w:ilvl w:val="0"/>
                <w:numId w:val="0"/>
              </w:numPr>
              <w:tabs>
                <w:tab w:val="left" w:pos="449"/>
              </w:tabs>
              <w:spacing w:line="480" w:lineRule="atLeast"/>
              <w:ind w:firstLine="480" w:firstLineChars="200"/>
              <w:rPr>
                <w:rFonts w:hint="default" w:cs="宋体"/>
                <w:b w:val="0"/>
                <w:bCs w:val="0"/>
                <w:kern w:val="2"/>
                <w:sz w:val="24"/>
                <w:szCs w:val="24"/>
                <w:lang w:val="en-US" w:eastAsia="zh-CN" w:bidi="ar-SA"/>
              </w:rPr>
            </w:pPr>
            <w:r>
              <w:rPr>
                <w:rFonts w:hint="eastAsia" w:cs="宋体"/>
                <w:b w:val="0"/>
                <w:bCs w:val="0"/>
                <w:kern w:val="2"/>
                <w:sz w:val="24"/>
                <w:szCs w:val="24"/>
                <w:lang w:val="en-US" w:eastAsia="zh-CN" w:bidi="ar-SA"/>
              </w:rPr>
              <w:t>②资料的完备性缺乏。一手资料方面，对例如渔民、养殖户、非遗传承人等基层社区成员的鲜活访谈素材有待深化，揭示遗产系统的协同效应的动态性一手资料缺乏。二手资料方面，对本地统计年鉴、历年政策公文、政府工作报告等的获取和分析尚显不足，学术论文中的理论与实际情况的交叉验证和分析有所不足。</w:t>
            </w:r>
          </w:p>
          <w:p w14:paraId="7A7CD8C4">
            <w:pPr>
              <w:numPr>
                <w:ilvl w:val="0"/>
                <w:numId w:val="0"/>
              </w:numPr>
              <w:tabs>
                <w:tab w:val="left" w:pos="449"/>
              </w:tabs>
              <w:spacing w:line="480" w:lineRule="atLeast"/>
              <w:ind w:firstLine="480" w:firstLineChars="200"/>
              <w:rPr>
                <w:rFonts w:hint="eastAsia" w:cs="宋体"/>
                <w:b w:val="0"/>
                <w:bCs w:val="0"/>
                <w:kern w:val="2"/>
                <w:sz w:val="24"/>
                <w:szCs w:val="24"/>
                <w:lang w:val="en-US" w:eastAsia="zh-CN" w:bidi="ar-SA"/>
              </w:rPr>
            </w:pPr>
            <w:r>
              <w:rPr>
                <w:rFonts w:hint="eastAsia" w:cs="宋体"/>
                <w:b w:val="0"/>
                <w:bCs w:val="0"/>
                <w:kern w:val="2"/>
                <w:sz w:val="24"/>
                <w:szCs w:val="24"/>
                <w:lang w:val="en-US" w:eastAsia="zh-CN" w:bidi="ar-SA"/>
              </w:rPr>
              <w:t>③如何将“统筹保护”带来的“协同效应”和“片区带动效应”进行量化呈现，是研究深化的难点，目前缺乏成熟的评估模型可供直接套用。</w:t>
            </w:r>
          </w:p>
          <w:p w14:paraId="5D787D5A">
            <w:pPr>
              <w:numPr>
                <w:ilvl w:val="0"/>
                <w:numId w:val="0"/>
              </w:numPr>
              <w:tabs>
                <w:tab w:val="left" w:pos="449"/>
              </w:tabs>
              <w:spacing w:line="480" w:lineRule="atLeast"/>
              <w:ind w:leftChars="200"/>
              <w:rPr>
                <w:rFonts w:hint="eastAsia" w:cs="宋体"/>
                <w:b w:val="0"/>
                <w:bCs w:val="0"/>
                <w:kern w:val="2"/>
                <w:sz w:val="24"/>
                <w:szCs w:val="24"/>
                <w:lang w:val="en-US" w:eastAsia="zh-CN" w:bidi="ar-SA"/>
              </w:rPr>
            </w:pPr>
            <w:r>
              <w:rPr>
                <w:rFonts w:hint="eastAsia" w:cs="宋体"/>
                <w:b w:val="0"/>
                <w:bCs w:val="0"/>
                <w:kern w:val="2"/>
                <w:sz w:val="24"/>
                <w:szCs w:val="24"/>
                <w:lang w:val="en-US" w:eastAsia="zh-CN" w:bidi="ar-SA"/>
              </w:rPr>
              <w:t>（3）解决方法</w:t>
            </w:r>
          </w:p>
          <w:p w14:paraId="0CB4DFAE">
            <w:pPr>
              <w:numPr>
                <w:ilvl w:val="0"/>
                <w:numId w:val="0"/>
              </w:numPr>
              <w:tabs>
                <w:tab w:val="left" w:pos="449"/>
              </w:tabs>
              <w:spacing w:line="480" w:lineRule="atLeast"/>
              <w:ind w:firstLine="480" w:firstLineChars="20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①深化实地调研，一方面，通过深度访谈、参与式观察与当地农民、渔民、非遗传承人建立信任，获取社区层面的一手资料；另一方面，积极寻求指导教师及学院的行政支持，开具正式介绍信，以学术研究的名义接洽相关政府部门，提高关键信息获取的成功率。</w:t>
            </w:r>
          </w:p>
          <w:p w14:paraId="2E5BE4C8">
            <w:pPr>
              <w:numPr>
                <w:ilvl w:val="0"/>
                <w:numId w:val="0"/>
              </w:numPr>
              <w:tabs>
                <w:tab w:val="left" w:pos="449"/>
              </w:tabs>
              <w:spacing w:line="480" w:lineRule="atLeast"/>
              <w:ind w:firstLine="480" w:firstLineChars="200"/>
              <w:rPr>
                <w:rFonts w:hint="default"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②对于</w:t>
            </w:r>
            <w:r>
              <w:rPr>
                <w:rFonts w:hint="eastAsia" w:cs="宋体"/>
                <w:b w:val="0"/>
                <w:bCs w:val="0"/>
                <w:kern w:val="2"/>
                <w:sz w:val="24"/>
                <w:szCs w:val="24"/>
                <w:lang w:val="en-US" w:eastAsia="zh-CN" w:bidi="ar-SA"/>
              </w:rPr>
              <w:t>资料完备性</w:t>
            </w:r>
            <w:r>
              <w:rPr>
                <w:rFonts w:hint="eastAsia" w:ascii="宋体" w:hAnsi="宋体" w:eastAsia="宋体" w:cs="宋体"/>
                <w:b w:val="0"/>
                <w:bCs w:val="0"/>
                <w:kern w:val="2"/>
                <w:sz w:val="24"/>
                <w:szCs w:val="24"/>
                <w:lang w:val="en-US" w:eastAsia="zh-CN" w:bidi="ar-SA"/>
              </w:rPr>
              <w:t>，将通过政策文本分析、半结构化访谈（对象包括不同部门的官员）来间接透视其内在逻辑。</w:t>
            </w:r>
            <w:r>
              <w:rPr>
                <w:rFonts w:hint="eastAsia" w:cs="宋体"/>
                <w:b w:val="0"/>
                <w:bCs w:val="0"/>
                <w:kern w:val="2"/>
                <w:sz w:val="24"/>
                <w:szCs w:val="24"/>
                <w:lang w:val="en-US" w:eastAsia="zh-CN" w:bidi="ar-SA"/>
              </w:rPr>
              <w:t>通过加强对官方公开资料数据的搜集、整理和分析形成具有历时性和权威性的支撑框架。</w:t>
            </w:r>
            <w:r>
              <w:rPr>
                <w:rFonts w:hint="eastAsia" w:ascii="宋体" w:hAnsi="宋体" w:eastAsia="宋体" w:cs="宋体"/>
                <w:b w:val="0"/>
                <w:bCs w:val="0"/>
                <w:kern w:val="2"/>
                <w:sz w:val="24"/>
                <w:szCs w:val="24"/>
                <w:lang w:val="en-US" w:eastAsia="zh-CN" w:bidi="ar-SA"/>
              </w:rPr>
              <w:t>对于协同效应的量化，将尝试构建“保护效能-经济发展-社区认同”等多维指标体系，通过对比系统性保护实施前后的变化，或</w:t>
            </w:r>
            <w:r>
              <w:rPr>
                <w:rFonts w:hint="eastAsia" w:cs="宋体"/>
                <w:b w:val="0"/>
                <w:bCs w:val="0"/>
                <w:kern w:val="2"/>
                <w:sz w:val="24"/>
                <w:szCs w:val="24"/>
                <w:lang w:val="en-US" w:eastAsia="zh-CN" w:bidi="ar-SA"/>
              </w:rPr>
              <w:t>借鉴成熟研究中的评估维度，构建一个简明的效益评估框架，实现效应的直观、有力呈现。</w:t>
            </w:r>
          </w:p>
          <w:p w14:paraId="43B53332">
            <w:pPr>
              <w:numPr>
                <w:ilvl w:val="0"/>
                <w:numId w:val="0"/>
              </w:numPr>
              <w:tabs>
                <w:tab w:val="left" w:pos="449"/>
              </w:tabs>
              <w:spacing w:line="480" w:lineRule="atLeast"/>
              <w:ind w:firstLine="480" w:firstLineChars="20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③加强团队内部与导师的研讨，定期举行小组会议，及时梳理调研中发现的问题，并通过与指导教师的密集沟通，不断调整和优化研究策略，确保项目始终朝着解决核心痛点的方向推进。</w:t>
            </w:r>
          </w:p>
          <w:p w14:paraId="00F0BF8B">
            <w:pPr>
              <w:numPr>
                <w:ilvl w:val="0"/>
                <w:numId w:val="0"/>
              </w:numPr>
              <w:spacing w:line="360" w:lineRule="auto"/>
              <w:ind w:leftChars="0"/>
              <w:rPr>
                <w:rFonts w:hint="eastAsia" w:ascii="宋体" w:hAnsi="宋体" w:eastAsia="宋体" w:cs="宋体"/>
                <w:sz w:val="21"/>
                <w:szCs w:val="21"/>
                <w:lang w:val="en-US" w:eastAsia="zh-CN"/>
              </w:rPr>
            </w:pPr>
          </w:p>
          <w:p w14:paraId="70C4E4BD">
            <w:pPr>
              <w:spacing w:line="480" w:lineRule="atLeast"/>
              <w:ind w:firstLine="480"/>
            </w:pPr>
          </w:p>
        </w:tc>
      </w:tr>
    </w:tbl>
    <w:p w14:paraId="384D0041"/>
    <w:sectPr>
      <w:footerReference r:id="rId4" w:type="first"/>
      <w:footerReference r:id="rId3" w:type="default"/>
      <w:pgSz w:w="12240" w:h="15840"/>
      <w:pgMar w:top="1440" w:right="1440" w:bottom="1440" w:left="1440" w:header="720" w:footer="720"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F8F56">
    <w:pPr>
      <w:pStyle w:val="4"/>
      <w:jc w:val="center"/>
      <w:rPr>
        <w:rFonts w:hint="eastAsia" w:eastAsia="等线"/>
        <w:lang w:eastAsia="zh-CN"/>
      </w:rPr>
    </w:pPr>
    <w:r>
      <w:rPr>
        <w:rFonts w:hint="eastAsia"/>
      </w:rPr>
      <w:fldChar w:fldCharType="begin"/>
    </w:r>
    <w:r>
      <w:rPr>
        <w:rFonts w:hint="eastAsia"/>
      </w:rPr>
      <w:instrText xml:space="preserve">PAGE</w:instrText>
    </w:r>
    <w:r>
      <w:rPr>
        <w:rFonts w:hint="eastAsia"/>
      </w:rPr>
      <w:fldChar w:fldCharType="separate"/>
    </w:r>
    <w:r>
      <w:t>5</w:t>
    </w:r>
    <w:r>
      <w:rPr>
        <w:rFonts w:hint="eastAsia"/>
      </w:rPr>
      <w:fldChar w:fldCharType="end"/>
    </w:r>
    <w:r>
      <w:rPr>
        <w:rFonts w:hint="eastAsia"/>
      </w:rPr>
      <w:t>/</w:t>
    </w:r>
    <w:r>
      <w:rPr>
        <w:rFonts w:hint="eastAsia"/>
      </w:rPr>
      <w:fldChar w:fldCharType="begin"/>
    </w:r>
    <w:r>
      <w:rPr>
        <w:rFonts w:hint="eastAsia"/>
      </w:rPr>
      <w:instrText xml:space="preserve">NUMPAGES</w:instrText>
    </w:r>
    <w:r>
      <w:rPr>
        <w:rFonts w:hint="eastAsia"/>
      </w:rPr>
      <w:fldChar w:fldCharType="separate"/>
    </w:r>
    <w:r>
      <w:t>6</w:t>
    </w:r>
    <w:r>
      <w:rPr>
        <w:rFonts w:hint="eastAsia"/>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2A13A">
    <w:pPr>
      <w:pStyle w:val="4"/>
      <w:jc w:val="center"/>
      <w:rPr>
        <w:rFonts w:hint="eastAsia" w:eastAsia="等线"/>
        <w:lang w:eastAsia="zh-CN"/>
      </w:rPr>
    </w:pPr>
    <w:r>
      <w:rPr>
        <w:rFonts w:hint="eastAsia"/>
      </w:rPr>
      <w:fldChar w:fldCharType="begin"/>
    </w:r>
    <w:r>
      <w:rPr>
        <w:rFonts w:hint="eastAsia"/>
      </w:rPr>
      <w:instrText xml:space="preserve">PAGE</w:instrText>
    </w:r>
    <w:r>
      <w:rPr>
        <w:rFonts w:hint="eastAsia"/>
      </w:rPr>
      <w:fldChar w:fldCharType="separate"/>
    </w:r>
    <w:r>
      <w:t>1</w:t>
    </w:r>
    <w:r>
      <w:rPr>
        <w:rFonts w:hint="eastAsia"/>
      </w:rPr>
      <w:fldChar w:fldCharType="end"/>
    </w:r>
    <w:r>
      <w:rPr>
        <w:rFonts w:hint="eastAsia"/>
      </w:rPr>
      <w:t>/</w:t>
    </w:r>
    <w:r>
      <w:rPr>
        <w:rFonts w:hint="eastAsia"/>
      </w:rPr>
      <w:fldChar w:fldCharType="begin"/>
    </w:r>
    <w:r>
      <w:rPr>
        <w:rFonts w:hint="eastAsia"/>
      </w:rPr>
      <w:instrText xml:space="preserve">NUMPAGES</w:instrText>
    </w:r>
    <w:r>
      <w:rPr>
        <w:rFonts w:hint="eastAsia"/>
      </w:rPr>
      <w:fldChar w:fldCharType="separate"/>
    </w:r>
    <w:r>
      <w:t>6</w:t>
    </w:r>
    <w:r>
      <w:rPr>
        <w:rFonts w:hint="eastAsia"/>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8C905E"/>
    <w:multiLevelType w:val="singleLevel"/>
    <w:tmpl w:val="A68C905E"/>
    <w:lvl w:ilvl="0" w:tentative="0">
      <w:start w:val="2"/>
      <w:numFmt w:val="decimal"/>
      <w:lvlText w:val="%1."/>
      <w:lvlJc w:val="left"/>
      <w:pPr>
        <w:tabs>
          <w:tab w:val="left" w:pos="312"/>
        </w:tabs>
      </w:pPr>
    </w:lvl>
  </w:abstractNum>
  <w:abstractNum w:abstractNumId="1">
    <w:nsid w:val="BF9B1DDC"/>
    <w:multiLevelType w:val="singleLevel"/>
    <w:tmpl w:val="BF9B1DDC"/>
    <w:lvl w:ilvl="0" w:tentative="0">
      <w:start w:val="3"/>
      <w:numFmt w:val="chineseCounting"/>
      <w:suff w:val="nothing"/>
      <w:lvlText w:val="（%1）"/>
      <w:lvlJc w:val="left"/>
      <w:rPr>
        <w:rFonts w:hint="eastAsia"/>
      </w:rPr>
    </w:lvl>
  </w:abstractNum>
  <w:abstractNum w:abstractNumId="2">
    <w:nsid w:val="CD1A02FE"/>
    <w:multiLevelType w:val="singleLevel"/>
    <w:tmpl w:val="CD1A02FE"/>
    <w:lvl w:ilvl="0" w:tentative="0">
      <w:start w:val="2"/>
      <w:numFmt w:val="decimal"/>
      <w:suff w:val="nothing"/>
      <w:lvlText w:val="（%1）"/>
      <w:lvlJc w:val="left"/>
    </w:lvl>
  </w:abstractNum>
  <w:abstractNum w:abstractNumId="3">
    <w:nsid w:val="EFBF003F"/>
    <w:multiLevelType w:val="singleLevel"/>
    <w:tmpl w:val="EFBF003F"/>
    <w:lvl w:ilvl="0" w:tentative="0">
      <w:start w:val="1"/>
      <w:numFmt w:val="decimal"/>
      <w:lvlText w:val="%1."/>
      <w:lvlJc w:val="left"/>
      <w:pPr>
        <w:tabs>
          <w:tab w:val="left" w:pos="312"/>
        </w:tabs>
      </w:pPr>
    </w:lvl>
  </w:abstractNum>
  <w:abstractNum w:abstractNumId="4">
    <w:nsid w:val="FE15895D"/>
    <w:multiLevelType w:val="singleLevel"/>
    <w:tmpl w:val="FE15895D"/>
    <w:lvl w:ilvl="0" w:tentative="0">
      <w:start w:val="1"/>
      <w:numFmt w:val="decimal"/>
      <w:lvlText w:val="%1."/>
      <w:lvlJc w:val="left"/>
      <w:pPr>
        <w:tabs>
          <w:tab w:val="left" w:pos="312"/>
        </w:tabs>
      </w:pPr>
    </w:lvl>
  </w:abstractNum>
  <w:abstractNum w:abstractNumId="5">
    <w:nsid w:val="14F3CC9B"/>
    <w:multiLevelType w:val="singleLevel"/>
    <w:tmpl w:val="14F3CC9B"/>
    <w:lvl w:ilvl="0" w:tentative="0">
      <w:start w:val="2"/>
      <w:numFmt w:val="chineseCounting"/>
      <w:suff w:val="nothing"/>
      <w:lvlText w:val="（%1）"/>
      <w:lvlJc w:val="left"/>
      <w:rPr>
        <w:rFonts w:hint="eastAsia"/>
      </w:rPr>
    </w:lvl>
  </w:abstractNum>
  <w:abstractNum w:abstractNumId="6">
    <w:nsid w:val="7BEFF3D2"/>
    <w:multiLevelType w:val="singleLevel"/>
    <w:tmpl w:val="7BEFF3D2"/>
    <w:lvl w:ilvl="0" w:tentative="0">
      <w:start w:val="1"/>
      <w:numFmt w:val="decimal"/>
      <w:lvlText w:val="%1."/>
      <w:lvlJc w:val="left"/>
      <w:pPr>
        <w:tabs>
          <w:tab w:val="left" w:pos="312"/>
        </w:tabs>
      </w:pPr>
    </w:lvl>
  </w:abstractNum>
  <w:abstractNum w:abstractNumId="7">
    <w:nsid w:val="7F5B07C9"/>
    <w:multiLevelType w:val="multilevel"/>
    <w:tmpl w:val="7F5B07C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0"/>
  </w:num>
  <w:num w:numId="4">
    <w:abstractNumId w:val="1"/>
  </w:num>
  <w:num w:numId="5">
    <w:abstractNumId w:val="3"/>
  </w:num>
  <w:num w:numId="6">
    <w:abstractNumId w:val="4"/>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hyphenationZone w:val="360"/>
  <w:displayHorizontalDrawingGridEvery w:val="1"/>
  <w:displayVerticalDrawingGridEvery w:val="1"/>
  <w:noPunctuationKerning w:val="1"/>
  <w:characterSpacingControl w:val="doNotCompress"/>
  <w:compat>
    <w:doNotLeaveBackslashAlon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76A"/>
    <w:rsid w:val="00123BFF"/>
    <w:rsid w:val="00231EC9"/>
    <w:rsid w:val="002359CB"/>
    <w:rsid w:val="002E2F5B"/>
    <w:rsid w:val="003B7C7E"/>
    <w:rsid w:val="00501CEB"/>
    <w:rsid w:val="00544506"/>
    <w:rsid w:val="005E2E9C"/>
    <w:rsid w:val="006D376A"/>
    <w:rsid w:val="0071580E"/>
    <w:rsid w:val="00AA69EE"/>
    <w:rsid w:val="00AC5922"/>
    <w:rsid w:val="00B52B48"/>
    <w:rsid w:val="00B658D6"/>
    <w:rsid w:val="00BE2082"/>
    <w:rsid w:val="00BF0B81"/>
    <w:rsid w:val="00D63D39"/>
    <w:rsid w:val="00DA7AF1"/>
    <w:rsid w:val="00DD2C09"/>
    <w:rsid w:val="02C848FD"/>
    <w:rsid w:val="032611CD"/>
    <w:rsid w:val="04E377CC"/>
    <w:rsid w:val="04F25C61"/>
    <w:rsid w:val="052A3623"/>
    <w:rsid w:val="05F5473C"/>
    <w:rsid w:val="070F07AB"/>
    <w:rsid w:val="096A1F15"/>
    <w:rsid w:val="0C386A39"/>
    <w:rsid w:val="0CFE0242"/>
    <w:rsid w:val="0D7D7B4C"/>
    <w:rsid w:val="14757D15"/>
    <w:rsid w:val="14AA1ABA"/>
    <w:rsid w:val="14E4050E"/>
    <w:rsid w:val="18FF4D89"/>
    <w:rsid w:val="19EB119F"/>
    <w:rsid w:val="1A932AD1"/>
    <w:rsid w:val="1C9A4CB6"/>
    <w:rsid w:val="1DDC2909"/>
    <w:rsid w:val="1DF20628"/>
    <w:rsid w:val="1EB23704"/>
    <w:rsid w:val="2047772C"/>
    <w:rsid w:val="21751354"/>
    <w:rsid w:val="218A531E"/>
    <w:rsid w:val="22E44504"/>
    <w:rsid w:val="235F2314"/>
    <w:rsid w:val="25C1069E"/>
    <w:rsid w:val="26153106"/>
    <w:rsid w:val="28A47CC9"/>
    <w:rsid w:val="2BBD61DA"/>
    <w:rsid w:val="2BD54E0F"/>
    <w:rsid w:val="2C22675B"/>
    <w:rsid w:val="2C806343"/>
    <w:rsid w:val="2CE96523"/>
    <w:rsid w:val="2EA41AE0"/>
    <w:rsid w:val="2F615880"/>
    <w:rsid w:val="30957F90"/>
    <w:rsid w:val="31CC0E19"/>
    <w:rsid w:val="324D51CB"/>
    <w:rsid w:val="33623EE7"/>
    <w:rsid w:val="34495988"/>
    <w:rsid w:val="344A041F"/>
    <w:rsid w:val="353B174F"/>
    <w:rsid w:val="36C5112A"/>
    <w:rsid w:val="36CF1672"/>
    <w:rsid w:val="37873C36"/>
    <w:rsid w:val="3A9B19D4"/>
    <w:rsid w:val="3D2739F3"/>
    <w:rsid w:val="3EE61FD4"/>
    <w:rsid w:val="3F7042C0"/>
    <w:rsid w:val="3F9D5530"/>
    <w:rsid w:val="4154403A"/>
    <w:rsid w:val="418758EA"/>
    <w:rsid w:val="442F6DEA"/>
    <w:rsid w:val="457052B2"/>
    <w:rsid w:val="46AD3C70"/>
    <w:rsid w:val="47BC742D"/>
    <w:rsid w:val="483979C5"/>
    <w:rsid w:val="48913EB4"/>
    <w:rsid w:val="4A4B200C"/>
    <w:rsid w:val="4ACA343F"/>
    <w:rsid w:val="4DFA6B23"/>
    <w:rsid w:val="4ED06FE3"/>
    <w:rsid w:val="518D5A6C"/>
    <w:rsid w:val="54D03DCE"/>
    <w:rsid w:val="5955323E"/>
    <w:rsid w:val="5A105671"/>
    <w:rsid w:val="5A271811"/>
    <w:rsid w:val="5A731BCE"/>
    <w:rsid w:val="5A7F705A"/>
    <w:rsid w:val="5AFB3706"/>
    <w:rsid w:val="5DDE1246"/>
    <w:rsid w:val="623F264E"/>
    <w:rsid w:val="63237C09"/>
    <w:rsid w:val="64091E2A"/>
    <w:rsid w:val="651D3EF1"/>
    <w:rsid w:val="659936BF"/>
    <w:rsid w:val="663E4585"/>
    <w:rsid w:val="692D4AE7"/>
    <w:rsid w:val="6AB1680B"/>
    <w:rsid w:val="6C956B80"/>
    <w:rsid w:val="6CB15E09"/>
    <w:rsid w:val="6E331948"/>
    <w:rsid w:val="6F6D49E6"/>
    <w:rsid w:val="700C7E61"/>
    <w:rsid w:val="709561C1"/>
    <w:rsid w:val="71911819"/>
    <w:rsid w:val="75AE7B06"/>
    <w:rsid w:val="7A6C5371"/>
    <w:rsid w:val="7B8626B2"/>
    <w:rsid w:val="7C1728A9"/>
    <w:rsid w:val="7C344618"/>
    <w:rsid w:val="7D22761B"/>
    <w:rsid w:val="7D470F6C"/>
    <w:rsid w:val="7D4A16D3"/>
    <w:rsid w:val="7E5A3E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4"/>
    <w:basedOn w:val="1"/>
    <w:link w:val="9"/>
    <w:qFormat/>
    <w:uiPriority w:val="9"/>
    <w:pPr>
      <w:spacing w:before="100" w:beforeAutospacing="1" w:after="100" w:afterAutospacing="1"/>
      <w:outlineLvl w:val="3"/>
    </w:pPr>
    <w:rPr>
      <w:b/>
      <w:bCs/>
    </w:rPr>
  </w:style>
  <w:style w:type="character" w:default="1" w:styleId="8">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3">
    <w:name w:val="annotation text"/>
    <w:basedOn w:val="1"/>
    <w:unhideWhenUsed/>
    <w:qFormat/>
    <w:uiPriority w:val="99"/>
    <w:pPr>
      <w:jc w:val="left"/>
    </w:pPr>
  </w:style>
  <w:style w:type="paragraph" w:styleId="4">
    <w:name w:val="footer"/>
    <w:basedOn w:val="1"/>
    <w:link w:val="10"/>
    <w:unhideWhenUsed/>
    <w:qFormat/>
    <w:uiPriority w:val="99"/>
    <w:pPr>
      <w:tabs>
        <w:tab w:val="center" w:pos="4320"/>
        <w:tab w:val="right" w:pos="8640"/>
      </w:tabs>
    </w:pPr>
    <w:rPr>
      <w:rFonts w:ascii="等线" w:hAnsi="等线" w:eastAsia="等线"/>
    </w:rPr>
  </w:style>
  <w:style w:type="paragraph" w:styleId="5">
    <w:name w:val="header"/>
    <w:basedOn w:val="1"/>
    <w:link w:val="11"/>
    <w:unhideWhenUsed/>
    <w:qFormat/>
    <w:uiPriority w:val="99"/>
    <w:pPr>
      <w:spacing w:before="100" w:beforeAutospacing="1" w:after="100" w:afterAutospacing="1"/>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9">
    <w:name w:val="标题 4 字符"/>
    <w:basedOn w:val="8"/>
    <w:link w:val="2"/>
    <w:semiHidden/>
    <w:qFormat/>
    <w:locked/>
    <w:uiPriority w:val="9"/>
    <w:rPr>
      <w:rFonts w:hint="eastAsia" w:ascii="等线 Light" w:hAnsi="等线 Light" w:eastAsia="等线 Light" w:cs="Times New Roman"/>
      <w:b/>
      <w:bCs/>
      <w:sz w:val="28"/>
      <w:szCs w:val="28"/>
    </w:rPr>
  </w:style>
  <w:style w:type="character" w:customStyle="1" w:styleId="10">
    <w:name w:val="页脚 字符"/>
    <w:basedOn w:val="8"/>
    <w:link w:val="4"/>
    <w:qFormat/>
    <w:locked/>
    <w:uiPriority w:val="99"/>
    <w:rPr>
      <w:rFonts w:hint="eastAsia" w:ascii="宋体" w:hAnsi="宋体" w:eastAsia="宋体" w:cs="宋体"/>
      <w:sz w:val="18"/>
      <w:szCs w:val="18"/>
    </w:rPr>
  </w:style>
  <w:style w:type="character" w:customStyle="1" w:styleId="11">
    <w:name w:val="页眉 字符"/>
    <w:basedOn w:val="8"/>
    <w:link w:val="5"/>
    <w:qFormat/>
    <w:locked/>
    <w:uiPriority w:val="99"/>
    <w:rPr>
      <w:rFonts w:hint="eastAsia" w:ascii="宋体" w:hAnsi="宋体" w:eastAsia="宋体" w:cs="宋体"/>
      <w:sz w:val="18"/>
      <w:szCs w:val="18"/>
    </w:rPr>
  </w:style>
  <w:style w:type="paragraph" w:customStyle="1" w:styleId="12">
    <w:name w:val="msonormal"/>
    <w:basedOn w:val="1"/>
    <w:qFormat/>
    <w:uiPriority w:val="0"/>
    <w:pPr>
      <w:spacing w:before="100" w:beforeAutospacing="1" w:after="100" w:afterAutospacing="1"/>
    </w:pPr>
  </w:style>
  <w:style w:type="paragraph" w:styleId="13">
    <w:name w:val="List Paragraph"/>
    <w:basedOn w:val="1"/>
    <w:qFormat/>
    <w:uiPriority w:val="34"/>
    <w:pPr>
      <w:ind w:firstLine="420" w:firstLineChars="200"/>
    </w:pPr>
  </w:style>
  <w:style w:type="paragraph" w:customStyle="1" w:styleId="14">
    <w:name w:val="c-word--empty"/>
    <w:basedOn w:val="1"/>
    <w:qFormat/>
    <w:uiPriority w:val="0"/>
    <w:pPr>
      <w:spacing w:before="100" w:beforeAutospacing="1" w:after="100" w:afterAutospacing="1"/>
      <w:jc w:val="center"/>
    </w:pPr>
    <w:rPr>
      <w:color w:val="DDDDDD"/>
      <w:sz w:val="36"/>
      <w:szCs w:val="36"/>
    </w:rPr>
  </w:style>
  <w:style w:type="paragraph" w:customStyle="1" w:styleId="15">
    <w:name w:val="c-word--title"/>
    <w:basedOn w:val="1"/>
    <w:qFormat/>
    <w:uiPriority w:val="0"/>
    <w:pPr>
      <w:jc w:val="center"/>
    </w:pPr>
  </w:style>
  <w:style w:type="paragraph" w:customStyle="1" w:styleId="16">
    <w:name w:val="text-center"/>
    <w:basedOn w:val="1"/>
    <w:qFormat/>
    <w:uiPriority w:val="0"/>
    <w:pPr>
      <w:spacing w:before="100" w:beforeAutospacing="1" w:after="100" w:afterAutospacing="1"/>
      <w:jc w:val="center"/>
    </w:pPr>
  </w:style>
  <w:style w:type="paragraph" w:customStyle="1" w:styleId="17">
    <w:name w:val="c-lxyj-title"/>
    <w:basedOn w:val="1"/>
    <w:qFormat/>
    <w:uiPriority w:val="0"/>
    <w:pPr>
      <w:spacing w:before="100" w:beforeAutospacing="1" w:after="100" w:afterAutospacing="1"/>
    </w:pPr>
  </w:style>
  <w:style w:type="paragraph" w:customStyle="1" w:styleId="18">
    <w:name w:val="c-lxyj-content"/>
    <w:basedOn w:val="1"/>
    <w:qFormat/>
    <w:uiPriority w:val="0"/>
    <w:pPr>
      <w:spacing w:before="100" w:beforeAutospacing="1" w:after="100" w:afterAutospacing="1"/>
    </w:pPr>
  </w:style>
  <w:style w:type="paragraph" w:customStyle="1" w:styleId="19">
    <w:name w:val="word-logo"/>
    <w:basedOn w:val="1"/>
    <w:qFormat/>
    <w:uiPriority w:val="0"/>
    <w:pPr>
      <w:spacing w:before="100" w:beforeAutospacing="1" w:after="100" w:afterAutospacing="1"/>
    </w:pPr>
  </w:style>
  <w:style w:type="paragraph" w:customStyle="1" w:styleId="20">
    <w:name w:val="word-title1"/>
    <w:basedOn w:val="1"/>
    <w:qFormat/>
    <w:uiPriority w:val="0"/>
    <w:pPr>
      <w:spacing w:before="100" w:beforeAutospacing="1" w:after="100" w:afterAutospacing="1"/>
    </w:pPr>
  </w:style>
  <w:style w:type="paragraph" w:customStyle="1" w:styleId="21">
    <w:name w:val="c-base-info-title"/>
    <w:basedOn w:val="1"/>
    <w:qFormat/>
    <w:uiPriority w:val="0"/>
    <w:pPr>
      <w:spacing w:before="100" w:beforeAutospacing="1" w:after="100" w:afterAutospacing="1"/>
    </w:pPr>
  </w:style>
  <w:style w:type="paragraph" w:customStyle="1" w:styleId="22">
    <w:name w:val="c-base-info-content"/>
    <w:basedOn w:val="1"/>
    <w:qFormat/>
    <w:uiPriority w:val="0"/>
    <w:pPr>
      <w:spacing w:before="100" w:beforeAutospacing="1" w:after="100" w:afterAutospacing="1"/>
    </w:pPr>
  </w:style>
  <w:style w:type="paragraph" w:customStyle="1" w:styleId="23">
    <w:name w:val="c-yijian-sign"/>
    <w:basedOn w:val="1"/>
    <w:qFormat/>
    <w:uiPriority w:val="0"/>
    <w:pPr>
      <w:spacing w:before="100" w:beforeAutospacing="1" w:after="100" w:afterAutospacing="1"/>
    </w:pPr>
  </w:style>
  <w:style w:type="paragraph" w:customStyle="1" w:styleId="24">
    <w:name w:val="c-yijian-content"/>
    <w:basedOn w:val="1"/>
    <w:qFormat/>
    <w:uiPriority w:val="0"/>
    <w:pPr>
      <w:spacing w:before="100" w:beforeAutospacing="1" w:after="100" w:afterAutospacing="1"/>
    </w:pPr>
  </w:style>
  <w:style w:type="paragraph" w:customStyle="1" w:styleId="25">
    <w:name w:val="c-lxyj-sub"/>
    <w:basedOn w:val="1"/>
    <w:qFormat/>
    <w:uiPriority w:val="0"/>
    <w:pPr>
      <w:spacing w:before="100" w:beforeAutospacing="1" w:after="100" w:afterAutospacing="1"/>
    </w:pPr>
  </w:style>
  <w:style w:type="paragraph" w:customStyle="1" w:styleId="26">
    <w:name w:val="c-lxyj-sub-title"/>
    <w:basedOn w:val="1"/>
    <w:qFormat/>
    <w:uiPriority w:val="0"/>
    <w:pPr>
      <w:spacing w:before="100" w:beforeAutospacing="1" w:after="100" w:afterAutospacing="1"/>
    </w:pPr>
  </w:style>
  <w:style w:type="paragraph" w:customStyle="1" w:styleId="27">
    <w:name w:val="c-lxyj-sub-contet"/>
    <w:basedOn w:val="1"/>
    <w:qFormat/>
    <w:uiPriority w:val="0"/>
    <w:pPr>
      <w:spacing w:before="100" w:beforeAutospacing="1" w:after="100" w:afterAutospacing="1"/>
    </w:pPr>
  </w:style>
  <w:style w:type="paragraph" w:customStyle="1" w:styleId="28">
    <w:name w:val="word-logo1"/>
    <w:basedOn w:val="1"/>
    <w:qFormat/>
    <w:uiPriority w:val="0"/>
    <w:pPr>
      <w:spacing w:before="200" w:after="200"/>
      <w:jc w:val="center"/>
    </w:pPr>
  </w:style>
  <w:style w:type="paragraph" w:customStyle="1" w:styleId="29">
    <w:name w:val="word-title11"/>
    <w:basedOn w:val="1"/>
    <w:qFormat/>
    <w:uiPriority w:val="0"/>
    <w:pPr>
      <w:spacing w:before="200" w:after="400"/>
      <w:jc w:val="center"/>
    </w:pPr>
    <w:rPr>
      <w:rFonts w:ascii="黑体" w:hAnsi="黑体" w:eastAsia="黑体"/>
      <w:sz w:val="52"/>
      <w:szCs w:val="52"/>
    </w:rPr>
  </w:style>
  <w:style w:type="paragraph" w:customStyle="1" w:styleId="30">
    <w:name w:val="c-base-info-title1"/>
    <w:basedOn w:val="1"/>
    <w:qFormat/>
    <w:uiPriority w:val="0"/>
    <w:pPr>
      <w:keepNext/>
      <w:spacing w:before="100" w:beforeAutospacing="1" w:after="100" w:afterAutospacing="1" w:line="600" w:lineRule="atLeast"/>
    </w:pPr>
    <w:rPr>
      <w:rFonts w:ascii="黑体" w:hAnsi="黑体" w:eastAsia="黑体"/>
      <w:sz w:val="28"/>
      <w:szCs w:val="28"/>
    </w:rPr>
  </w:style>
  <w:style w:type="paragraph" w:customStyle="1" w:styleId="31">
    <w:name w:val="c-base-info-content1"/>
    <w:basedOn w:val="1"/>
    <w:qFormat/>
    <w:uiPriority w:val="0"/>
    <w:pPr>
      <w:spacing w:before="20" w:after="20"/>
    </w:pPr>
  </w:style>
  <w:style w:type="paragraph" w:customStyle="1" w:styleId="32">
    <w:name w:val="c-lxyj-title1"/>
    <w:basedOn w:val="1"/>
    <w:qFormat/>
    <w:uiPriority w:val="0"/>
    <w:pPr>
      <w:spacing w:before="120" w:after="120" w:line="400" w:lineRule="atLeast"/>
    </w:pPr>
    <w:rPr>
      <w:b/>
      <w:bCs/>
    </w:rPr>
  </w:style>
  <w:style w:type="paragraph" w:customStyle="1" w:styleId="33">
    <w:name w:val="c-lxyj-content1"/>
    <w:basedOn w:val="1"/>
    <w:qFormat/>
    <w:uiPriority w:val="0"/>
    <w:pPr>
      <w:spacing w:before="240" w:after="480" w:line="480" w:lineRule="atLeast"/>
      <w:ind w:left="80" w:right="80" w:firstLine="480"/>
    </w:pPr>
  </w:style>
  <w:style w:type="paragraph" w:customStyle="1" w:styleId="34">
    <w:name w:val="c-lxyj-sub1"/>
    <w:basedOn w:val="1"/>
    <w:qFormat/>
    <w:uiPriority w:val="0"/>
    <w:pPr>
      <w:spacing w:before="120" w:after="240"/>
    </w:pPr>
  </w:style>
  <w:style w:type="paragraph" w:customStyle="1" w:styleId="35">
    <w:name w:val="c-lxyj-sub-title1"/>
    <w:basedOn w:val="1"/>
    <w:qFormat/>
    <w:uiPriority w:val="0"/>
    <w:pPr>
      <w:spacing w:before="100" w:beforeAutospacing="1" w:after="100" w:afterAutospacing="1"/>
      <w:ind w:firstLine="480"/>
    </w:pPr>
    <w:rPr>
      <w:rFonts w:ascii="仿宋" w:hAnsi="仿宋" w:eastAsia="仿宋"/>
      <w:b/>
      <w:bCs/>
    </w:rPr>
  </w:style>
  <w:style w:type="paragraph" w:customStyle="1" w:styleId="36">
    <w:name w:val="c-lxyj-sub-contet1"/>
    <w:basedOn w:val="1"/>
    <w:qFormat/>
    <w:uiPriority w:val="0"/>
    <w:pPr>
      <w:spacing w:before="40" w:after="240"/>
      <w:ind w:left="480" w:right="480" w:firstLine="480"/>
    </w:pPr>
  </w:style>
  <w:style w:type="paragraph" w:customStyle="1" w:styleId="37">
    <w:name w:val="c-yijian-sign1"/>
    <w:basedOn w:val="1"/>
    <w:qFormat/>
    <w:uiPriority w:val="0"/>
    <w:pPr>
      <w:spacing w:before="240" w:after="40"/>
      <w:ind w:right="800"/>
      <w:jc w:val="right"/>
    </w:pPr>
    <w:rPr>
      <w:rFonts w:ascii="仿宋" w:hAnsi="仿宋" w:eastAsia="仿宋"/>
      <w:b/>
      <w:bCs/>
    </w:rPr>
  </w:style>
  <w:style w:type="paragraph" w:customStyle="1" w:styleId="38">
    <w:name w:val="c-yijian-content1"/>
    <w:basedOn w:val="1"/>
    <w:qFormat/>
    <w:uiPriority w:val="0"/>
    <w:pPr>
      <w:spacing w:before="240" w:after="240"/>
      <w:ind w:left="240" w:right="240"/>
    </w:pPr>
  </w:style>
  <w:style w:type="character" w:customStyle="1" w:styleId="39">
    <w:name w:val="c-title"/>
    <w:basedOn w:val="8"/>
    <w:qFormat/>
    <w:uiPriority w:val="0"/>
  </w:style>
  <w:style w:type="character" w:customStyle="1" w:styleId="40">
    <w:name w:val="c-value"/>
    <w:basedOn w:val="8"/>
    <w:qFormat/>
    <w:uiPriority w:val="0"/>
  </w:style>
  <w:style w:type="paragraph" w:customStyle="1" w:styleId="41">
    <w:name w:val="普通(网站) Char"/>
    <w:basedOn w:val="1"/>
    <w:qFormat/>
    <w:uiPriority w:val="0"/>
    <w:pPr>
      <w:spacing w:before="100" w:beforeAutospacing="1" w:after="100" w:afterAutospacing="1"/>
    </w:pPr>
    <w:rPr>
      <w:rFonts w:hint="eastAsia"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13936</Words>
  <Characters>16861</Characters>
  <Lines>6</Lines>
  <Paragraphs>4</Paragraphs>
  <TotalTime>62</TotalTime>
  <ScaleCrop>false</ScaleCrop>
  <LinksUpToDate>false</LinksUpToDate>
  <CharactersWithSpaces>17102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2021-01-12T07:12:00Z</dcterms:created>
  <dc:creator>雷颖</dc:creator>
  <cp:lastModifiedBy>自强农村娃</cp:lastModifiedBy>
  <dcterms:modified xsi:type="dcterms:W3CDTF">2026-08-03T13:11:47Z</dcterms:modified>
  <dc:title>南京农业大学_创新训练项目_2021年01月08日11时23分47秒</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eyJoZGlkIjoiNzdiZTc5YTRjY2YzNDc0YzRjYWRmNzM4MzU3MzZiMjQiLCJ1c2VySWQiOiIxMzQyNTU3MzY4In0=</vt:lpwstr>
  </property>
  <property fmtid="{D5CDD505-2E9C-101B-9397-08002B2CF9AE}" pid="3" name="KSOProductBuildVer">
    <vt:lpwstr>2052-12.1.0.28043</vt:lpwstr>
  </property>
  <property fmtid="{D5CDD505-2E9C-101B-9397-08002B2CF9AE}" pid="4" name="ICV">
    <vt:lpwstr>C34F802BBDC944BAB8325FBECF816A9F_13</vt:lpwstr>
  </property>
</Properties>
</file>