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BADA2">
      <w:pPr>
        <w:rPr>
          <w:rFonts w:hint="eastAsia"/>
        </w:rPr>
      </w:pPr>
      <w:r>
        <w:rPr>
          <w:rFonts w:hint="eastAsia"/>
        </w:rPr>
        <w:t>3-1 项目总体实施思路</w:t>
      </w:r>
    </w:p>
    <w:p w14:paraId="14CD997E">
      <w:pPr>
        <w:rPr>
          <w:rFonts w:hint="eastAsia"/>
        </w:rPr>
      </w:pPr>
    </w:p>
    <w:p w14:paraId="2BAC2C86">
      <w:pPr>
        <w:rPr>
          <w:rFonts w:hint="eastAsia"/>
        </w:rPr>
      </w:pPr>
      <w:r>
        <w:rPr>
          <w:rFonts w:hint="eastAsia"/>
        </w:rPr>
        <w:t>本项目以高邮湖泊湿地多类型遗产系统为核心，构建“数据基座构建—IP体系开发—多端场景落地”的完整实施路径，实现多类型遗产的资源整合与活化利用。</w:t>
      </w:r>
    </w:p>
    <w:p w14:paraId="2E188168">
      <w:pPr>
        <w:rPr>
          <w:rFonts w:hint="eastAsia"/>
        </w:rPr>
      </w:pPr>
    </w:p>
    <w:p w14:paraId="5F461EEF">
      <w:pPr>
        <w:rPr>
          <w:rFonts w:hint="eastAsia"/>
        </w:rPr>
      </w:pPr>
      <w:r>
        <w:rPr>
          <w:rFonts w:hint="eastAsia"/>
        </w:rPr>
        <w:t>首先，构建多类型遗产数据基座与智能关联平台。通过文献研究与实地走访，系统采集高邮湖湿地气候数据、大运河及里运河—高邮灌区水位数据、湿地面积变化数据等多源异构信息，建立遗产资源数据库。前端基于地图引擎构建可视化平台，以空间标注形式综合呈现灌区闸口、共作农田、非遗工坊等遗产资源的地理分布，支持多维度检索与动态查询。在此基础上，挖掘数据间的内在关联机制——通过历史数据建模，分析气候因子与水位涨落的耦合关系，为农业生产提供风险预警；同时利用水位监测数据，为公众推荐最佳观景时段，实现数据价值向实际应用的转化。</w:t>
      </w:r>
    </w:p>
    <w:p w14:paraId="4225400D">
      <w:pPr>
        <w:rPr>
          <w:rFonts w:hint="eastAsia"/>
        </w:rPr>
      </w:pPr>
    </w:p>
    <w:p w14:paraId="5B4FAABA">
      <w:pPr>
        <w:rPr>
          <w:rFonts w:hint="eastAsia"/>
        </w:rPr>
      </w:pPr>
      <w:r>
        <w:rPr>
          <w:rFonts w:hint="eastAsia"/>
        </w:rPr>
        <w:t>其次，打造多类型遗产文旅IP体系与交互产品。围绕高邮湖泊湿地多类型遗产，设计统一的IP形象与视觉识别系统，形成从虚拟形象到实体文创的产品矩阵。开发IP形象展示与遗产知识传播网站，作为文旅IP的线上门户。基于交互叙事引擎构建沉浸式游戏体验，遵循“探索—沉浸—收获”的体验流程进行开发，将灌区调水智慧、稻鸭共作技艺、非遗民俗故事转化为可互动的游戏内容。配套开发湿地实景剧本杀，通过线下实景探索与线上剧情推进相结合，构建“线上互动+线下场景”的融合体验模式。</w:t>
      </w:r>
    </w:p>
    <w:p w14:paraId="67D28A9A">
      <w:pPr>
        <w:rPr>
          <w:rFonts w:hint="eastAsia"/>
        </w:rPr>
      </w:pPr>
    </w:p>
    <w:p w14:paraId="544B26CE">
      <w:r>
        <w:rPr>
          <w:rFonts w:hint="eastAsia"/>
        </w:rPr>
        <w:t>最后，构建多端联动的遗产传播与体验体系。利用跨平台发布能力，将交互游戏与IP展示内容覆盖至网页端与移动端。针对线上传播场景，在游戏中内置知识问答与成就系统，激发用户主动探索；针对线下文旅体验场景，开发实景剧本杀的空间解码功能，引导用户实地走访高邮湖遗产点位，完成线上叙事与线下空间的深度联动。所有用户数据通过后端统一管理，确保“数据平台—IP内容—线下体验”模式稳定运行，最终形成可复制的多类型遗产系统性保护利用范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E4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2026-08-27T09:23:45Z</dcterms:created>
  <dc:creator>lenovo</dc:creator>
  <cp:lastModifiedBy>自强农村娃</cp:lastModifiedBy>
  <dcterms:modified xsi:type="dcterms:W3CDTF">2026-08-27T09:23:55Z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eyJoZGlkIjoiMGJhZDA4MWUyYmZlZmQ0MTdlMzAzZjM3MzQ1NjUyNzYiLCJ1c2VySWQiOiI2ODMzMjAzNTcifQ==</vt:lpwstr>
  </property>
  <property fmtid="{D5CDD505-2E9C-101B-9397-08002B2CF9AE}" pid="4" name="ICV">
    <vt:lpwstr>7AB3DA1F3FCE4B9390F41D77DC493839_12</vt:lpwstr>
  </property>
</Properties>
</file>